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Harbor Identity Modernization Solution Design Specification</w:t>
      </w:r>
    </w:p>
    <w:p>
      <w:pPr>
        <w:jc w:val="center"/>
      </w:pPr>
      <w:r>
        <w:rPr>
          <w:i/>
        </w:rPr>
        <w:t>Meridian Group | Harbor Identity Modernization | Synthetic enterprise project artifact</w:t>
      </w:r>
    </w:p>
    <w:p>
      <w:pPr>
        <w:pStyle w:val="Heading1"/>
      </w:pPr>
      <w:r>
        <w:t>Executive Context</w:t>
      </w:r>
    </w:p>
    <w:p>
      <w:r>
        <w:t>Harbor Identity Modernization is a cybersecurity transformation initiative at Meridian Group. The goal is to modernize enterprise identity, provisioning and access governance. The program is designed as an operating-model change, not just a technical implementation.</w:t>
      </w:r>
    </w:p>
    <w:p>
      <w:r>
        <w:t>The project team includes IAM Operations, Application Owners, Security Architecture, Service Desk, Client Security SMEs.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Applications migrate in readiness-based waves; Privileged access receives stronger controls; Non-SCIM applications may remain outside phase 1.</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HR / Lifecycle Feed, Enterprise Directory, Provisioning Layer, Policy Engine, SSO Gateway, Access Audit. Component boundaries exist so source-system authority, project-owned processing and downstream user experiences remain explicit.</w:t>
      </w:r>
    </w:p>
    <w:p>
      <w:r>
        <w:t>Cross-project dependencies include ATLAS: pilot authentication dependency; NOVA: account-team authorization model. Shared dependency timing is managed through enterprise architecture and project steering rather than by silently duplicating shared capabilities.</w:t>
      </w:r>
    </w:p>
    <w:p>
      <w:pPr>
        <w:pStyle w:val="Heading1"/>
      </w:pPr>
      <w:r>
        <w:t>Delivery and Risk</w:t>
      </w:r>
    </w:p>
    <w:p>
      <w:r>
        <w:t>Primary risks include legacy provisioning gaps, role mapping ambiguity, Atlas timing pressure, privileged-access control change, directory cleanup.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Component Design</w:t>
      </w:r>
    </w:p>
    <w:p>
      <w:r>
        <w:t>The target design separates responsibilities across HR / Lifecycle Feed, Enterprise Directory, Provisioning Layer, Policy Engine, SSO Gateway, Access Audit. Business rules are implemented where ownership is clear; shared platform services remain reusable and project services retain project-specific state.</w:t>
      </w:r>
    </w:p>
    <w:p>
      <w:r>
        <w:t>External calls are idempotent where repeat delivery is possible. Failures are observable and do not silently advance business state. Permission checks occur before sensitive evidence or controls are exposed.</w:t>
      </w:r>
    </w:p>
    <w:p>
      <w:pPr>
        <w:pStyle w:val="Heading1"/>
      </w:pPr>
      <w:r>
        <w:t>Data Model and Controls</w:t>
      </w:r>
    </w:p>
    <w:p>
      <w:r>
        <w:t>Core entities include business identifier, source reference, current state or result, owner, evidence, dependency reference, approval or exception state, timestamps and audit history. Derived fields retain references to the data and rule that produced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