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Harbor Identity Modernization UAT and Acceptance Plan</w:t>
      </w:r>
    </w:p>
    <w:p>
      <w:pPr>
        <w:jc w:val="center"/>
      </w:pPr>
      <w:r>
        <w:rPr>
          <w:i/>
        </w:rPr>
        <w:t>Meridian Group | Harbor Identity Modernization | Synthetic enterprise project artifact</w:t>
      </w:r>
    </w:p>
    <w:p>
      <w:pPr>
        <w:pStyle w:val="Heading1"/>
      </w:pPr>
      <w:r>
        <w:t>Executive Context</w:t>
      </w:r>
    </w:p>
    <w:p>
      <w:r>
        <w:t>Harbor Identity Modernization is a cybersecurity transformation initiative at Meridian Group. The goal is to modernize enterprise identity, provisioning and access governance. The program is designed as an operating-model change, not just a technical implementation.</w:t>
      </w:r>
    </w:p>
    <w:p>
      <w:r>
        <w:t>The project team includes IAM Operations, Application Owners, Security Architecture, Service Desk, Client Security SMEs. Decision records, meeting transcripts and working documents intentionally overlap so a long-term memory system can preserve both current truth and historical rationale.</w:t>
      </w:r>
    </w:p>
    <w:p>
      <w:pPr>
        <w:pStyle w:val="Heading1"/>
      </w:pPr>
      <w:r>
        <w:t>Business Requirements</w:t>
      </w:r>
    </w:p>
    <w:p>
      <w:r>
        <w:t>The solution must improve consistency, traceability and decision quality without creating hidden systems of record. Key first-phase principles are: Applications migrate in readiness-based waves; Privileged access receives stronger controls; Non-SCIM applications may remain outside phase 1.</w:t>
      </w:r>
    </w:p>
    <w:p>
      <w:r>
        <w:t>Users need understandable status, accountable ownership, explicit exception paths, and enough provenance to explain why a decision or result exists. Material changes must be reflected in acceptance criteria and operating documentation.</w:t>
      </w:r>
    </w:p>
    <w:p>
      <w:pPr>
        <w:pStyle w:val="Heading1"/>
      </w:pPr>
      <w:r>
        <w:t>Architecture and Dependencies</w:t>
      </w:r>
    </w:p>
    <w:p>
      <w:r>
        <w:t>The solution is composed of HR / Lifecycle Feed, Enterprise Directory, Provisioning Layer, Policy Engine, SSO Gateway, Access Audit. Component boundaries exist so source-system authority, project-owned processing and downstream user experiences remain explicit.</w:t>
      </w:r>
    </w:p>
    <w:p>
      <w:r>
        <w:t>Cross-project dependencies include ATLAS: pilot authentication dependency; NOVA: account-team authorization model. Shared dependency timing is managed through enterprise architecture and project steering rather than by silently duplicating shared capabilities.</w:t>
      </w:r>
    </w:p>
    <w:p>
      <w:pPr>
        <w:pStyle w:val="Heading1"/>
      </w:pPr>
      <w:r>
        <w:t>Delivery and Risk</w:t>
      </w:r>
    </w:p>
    <w:p>
      <w:r>
        <w:t>Primary risks include legacy provisioning gaps, role mapping ambiguity, Atlas timing pressure, privileged-access control change, directory cleanup. These risks are treated as business and operating-model concerns in addition to technical concerns because each can change adoption, support effort or the reliability of business decisions.</w:t>
      </w:r>
    </w:p>
    <w:p>
      <w:r>
        <w:t>A dependency delay does not automatically move the project milestone. The project manager first evaluates resequencing, degraded-mode operation, scope protection and temporary controls before seeking a formal decision.</w:t>
      </w:r>
    </w:p>
    <w:p>
      <w:pPr>
        <w:pStyle w:val="Heading1"/>
      </w:pPr>
      <w:r>
        <w:t>Governance and Traceability</w:t>
      </w:r>
    </w:p>
    <w:p>
      <w:r>
        <w:t>Material decisions retain rationale, alternatives, owner and supersession history. Older assumptions are preserved because they explain why the project evolved. Current truth should be determined from accepted decision status and provenance, not simply the newest timestamp.</w:t>
      </w:r>
    </w:p>
    <w:p>
      <w:r>
        <w:t>Temporary exceptions require an owner and review condition. Shared SMEs resolve enterprise-standard questions; local teams may not redefine shared semantics purely to unblock a milestone.</w:t>
      </w:r>
    </w:p>
    <w:p>
      <w:pPr>
        <w:pStyle w:val="Heading1"/>
      </w:pPr>
      <w:r>
        <w:t>Test Strategy</w:t>
      </w:r>
    </w:p>
    <w:p>
      <w:r>
        <w:t>UAT covers normal flow plus the material risks: legacy provisioning gaps, role mapping ambiguity, Atlas timing pressure, privileged-access control change, directory cleanup. Scenarios include stale or missing upstream data, permission failures, dependency unavailability, retry behavior, conflicting configuration, negative paths and support handoff.</w:t>
      </w:r>
    </w:p>
    <w:p>
      <w:r>
        <w:t>Business acceptance is not limited to screen behavior. Participants must confirm that status, decisions and exception paths are understandable and that users can determine what to do next without relying on undocumented tribal knowledge.</w:t>
      </w:r>
    </w:p>
    <w:p>
      <w:pPr>
        <w:pStyle w:val="Heading1"/>
      </w:pPr>
      <w:r>
        <w:t>Entry and Exit Criteria</w:t>
      </w:r>
    </w:p>
    <w:p>
      <w:r>
        <w:t>Entry requires stable integration contracts, approved key decisions, named dependency owners and a triaged defect baseline. Exit requires no unresolved critical defects, accepted treatment for known limitations, signed business scenarios and a production-support owner.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