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Nova Sales Opportunity Intelligence Implementation Specification</w:t>
      </w:r>
    </w:p>
    <w:p>
      <w:pPr>
        <w:jc w:val="center"/>
      </w:pPr>
      <w:r>
        <w:rPr>
          <w:i/>
        </w:rPr>
        <w:t>Meridian Group | Nova Sales Opportunity Intelligence | Synthetic enterprise project artifact</w:t>
      </w:r>
    </w:p>
    <w:p>
      <w:pPr>
        <w:pStyle w:val="Heading1"/>
      </w:pPr>
      <w:r>
        <w:t>Executive Context</w:t>
      </w:r>
    </w:p>
    <w:p>
      <w:r>
        <w:t>Nova Sales Opportunity Intelligence is a sales transformation initiative at Meridian Group. The goal is to assist strategic account teams with evidence-backed opportunity recommendations. The program is designed as an operating-model change, not just a technical implementation.</w:t>
      </w:r>
    </w:p>
    <w:p>
      <w:r>
        <w:t>The project team includes Strategic Account Directors, Sales Leadership, CRM Operations, AI Evaluation, Security. Decision records, meeting transcripts and working documents intentionally overlap so a long-term memory system can preserve both current truth and historical rationale.</w:t>
      </w:r>
    </w:p>
    <w:p>
      <w:pPr>
        <w:pStyle w:val="Heading1"/>
      </w:pPr>
      <w:r>
        <w:t>Business Requirements</w:t>
      </w:r>
    </w:p>
    <w:p>
      <w:r>
        <w:t>The solution must improve consistency, traceability and decision quality without creating hidden systems of record. Key first-phase principles are: Human review before CRM action; Every recommendation requires evidence; Permissions follow existing account-team access.</w:t>
      </w:r>
    </w:p>
    <w:p>
      <w:r>
        <w:t>Users need understandable status, accountable ownership, explicit exception paths, and enough provenance to explain why a decision or result exists. Material changes must be reflected in acceptance criteria and operating documentation.</w:t>
      </w:r>
    </w:p>
    <w:p>
      <w:pPr>
        <w:pStyle w:val="Heading1"/>
      </w:pPr>
      <w:r>
        <w:t>Architecture and Dependencies</w:t>
      </w:r>
    </w:p>
    <w:p>
      <w:r>
        <w:t>The solution is composed of CRM, Meeting Evidence, Account Plans, Evidence Resolver, Recommendation Engine, Seller Workspace. Component boundaries exist so source-system authority, project-owned processing and downstream user experiences remain explicit.</w:t>
      </w:r>
    </w:p>
    <w:p>
      <w:r>
        <w:t>Cross-project dependencies include ATLAS: CRM customer and account identity; HARBOR: identity role mappings and authorization model. Shared dependency timing is managed through enterprise architecture and project steering rather than by silently duplicating shared capabilities.</w:t>
      </w:r>
    </w:p>
    <w:p>
      <w:pPr>
        <w:pStyle w:val="Heading1"/>
      </w:pPr>
      <w:r>
        <w:t>Delivery and Risk</w:t>
      </w:r>
    </w:p>
    <w:p>
      <w:r>
        <w:t>Primary risks include inconsistent sales notes, recent-meeting bias, qualification disagreement, CRM permission variance, poor evidence quality. These risks are treated as business and operating-model concerns in addition to technical concerns because each can change adoption, support effort or the reliability of business decisions.</w:t>
      </w:r>
    </w:p>
    <w:p>
      <w:r>
        <w:t>A dependency delay does not automatically move the project milestone. The project manager first evaluates resequencing, degraded-mode operation, scope protection and temporary controls before seeking a formal decision.</w:t>
      </w:r>
    </w:p>
    <w:p>
      <w:pPr>
        <w:pStyle w:val="Heading1"/>
      </w:pPr>
      <w:r>
        <w:t>Governance and Traceability</w:t>
      </w:r>
    </w:p>
    <w:p>
      <w:r>
        <w:t>Material decisions retain rationale, alternatives, owner and supersession history. Older assumptions are preserved because they explain why the project evolved. Current truth should be determined from accepted decision status and provenance, not simply the newest timestamp.</w:t>
      </w:r>
    </w:p>
    <w:p>
      <w:r>
        <w:t>Temporary exceptions require an owner and review condition. Shared SMEs resolve enterprise-standard questions; local teams may not redefine shared semantics purely to unblock a milestone.</w:t>
      </w:r>
    </w:p>
    <w:p>
      <w:pPr>
        <w:pStyle w:val="Heading1"/>
      </w:pPr>
      <w:r>
        <w:t>Detailed Implementation Flow</w:t>
      </w:r>
    </w:p>
    <w:p>
      <w:r>
        <w:t>The implementation flow connects CRM, Meeting Evidence, Account Plans, Evidence Resolver, Recommendation Engine, Seller Workspace. Each stage validates required inputs before progression, persists enough state for support and audit, and emits only outputs that are permitted for the requesting role.</w:t>
      </w:r>
    </w:p>
    <w:p>
      <w:r>
        <w:t>External dependency failures are modeled explicitly. Retryable failures may be replayed safely; non-retryable business failures require an owner and a visible resolution path. No integration failure may silently advance business status.</w:t>
      </w:r>
    </w:p>
    <w:p>
      <w:pPr>
        <w:pStyle w:val="Heading1"/>
      </w:pPr>
      <w:r>
        <w:t>Implementation Constraints</w:t>
      </w:r>
    </w:p>
    <w:p>
      <w:r>
        <w:t>Current constraints include inconsistent sales notes, recent-meeting bias, qualification disagreement, CRM permission variance, poor evidence quality. The project must preserve the following accepted rules: Human review before CRM action; Every recommendation requires evidence; Permissions follow existing account-team access.</w:t>
      </w:r>
    </w:p>
    <w:p>
      <w:r>
        <w:t>Temporary workarounds need an owner, review date, monitoring signal and a reference to the decision that authorized them. They cannot become permanent behavior by omission.</w:t>
      </w:r>
    </w:p>
    <w:p>
      <w:pPr>
        <w:pStyle w:val="Heading1"/>
      </w:pPr>
      <w:r>
        <w:t>Observability and Support</w:t>
      </w:r>
    </w:p>
    <w:p>
      <w:r>
        <w:t>Logs and operational records carry correlation identifiers across project and dependency boundaries. Dashboards distinguish upstream data quality, permission failure, dependency outage, project processing errors and user-action failures.</w:t>
      </w:r>
    </w:p>
    <w:p>
      <w:r>
        <w:t>Runbooks identify the owning team, evidence to capture, safe retry steps, escalation path and known limitations. Support guidance is updated when accepted decisions materially change behavior.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