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Nova Sales Opportunity Intelligence Operational Readiness Runbook</w:t>
      </w:r>
    </w:p>
    <w:p>
      <w:pPr>
        <w:jc w:val="center"/>
      </w:pPr>
      <w:r>
        <w:rPr>
          <w:i/>
        </w:rPr>
        <w:t>Meridian Group | Nova Sales Opportunity Intelligence | Synthetic enterprise project artifact</w:t>
      </w:r>
    </w:p>
    <w:p>
      <w:pPr>
        <w:pStyle w:val="Heading1"/>
      </w:pPr>
      <w:r>
        <w:t>Executive Context</w:t>
      </w:r>
    </w:p>
    <w:p>
      <w:r>
        <w:t>Nova Sales Opportunity Intelligence is a sales transformation initiative at Meridian Group. The goal is to assist strategic account teams with evidence-backed opportunity recommendations. The program is designed as an operating-model change, not just a technical implementation.</w:t>
      </w:r>
    </w:p>
    <w:p>
      <w:r>
        <w:t>The project team includes Strategic Account Directors, Sales Leadership, CRM Operations, AI Evaluation, Security.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Human review before CRM action; Every recommendation requires evidence; Permissions follow existing account-team access.</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CRM, Meeting Evidence, Account Plans, Evidence Resolver, Recommendation Engine, Seller Workspace. Component boundaries exist so source-system authority, project-owned processing and downstream user experiences remain explicit.</w:t>
      </w:r>
    </w:p>
    <w:p>
      <w:r>
        <w:t>Cross-project dependencies include ATLAS: CRM customer and account identity; HARBOR: identity role mappings and authorization model. Shared dependency timing is managed through enterprise architecture and project steering rather than by silently duplicating shared capabilities.</w:t>
      </w:r>
    </w:p>
    <w:p>
      <w:pPr>
        <w:pStyle w:val="Heading1"/>
      </w:pPr>
      <w:r>
        <w:t>Delivery and Risk</w:t>
      </w:r>
    </w:p>
    <w:p>
      <w:r>
        <w:t>Primary risks include inconsistent sales notes, recent-meeting bias, qualification disagreement, CRM permission variance, poor evidence quality.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Support Model</w:t>
      </w:r>
    </w:p>
    <w:p>
      <w:r>
        <w:t>First-line support identifies user, data, permission and dependency issues. Project support owns service-specific failures. Shared platform or identity teams own failures within their services. Cross-project incidents use a shared correlation identifier and named incident owner.</w:t>
      </w:r>
    </w:p>
    <w:p>
      <w:r>
        <w:t>Runbooks include expected healthy signals, common failure symptoms, safe retry guidance, escalation paths, evidence to capture and the decision owner for temporary mitigations.</w:t>
      </w:r>
    </w:p>
    <w:p>
      <w:pPr>
        <w:pStyle w:val="Heading1"/>
      </w:pPr>
      <w:r>
        <w:t>Go-Live Checklist</w:t>
      </w:r>
    </w:p>
    <w:p>
      <w:r>
        <w:t>Confirm monitoring, alert ownership, service accounts, support rosters, known limitations, rollback criteria, business communications and dependency contacts before launch. A checklist item marked complete must link to evidence rather than relying on verbal confirmation.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