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Nova Sales Opportunity Intelligence Solution Design Specification</w:t>
      </w:r>
    </w:p>
    <w:p>
      <w:pPr>
        <w:jc w:val="center"/>
      </w:pPr>
      <w:r>
        <w:rPr>
          <w:i/>
        </w:rPr>
        <w:t>Meridian Group | Nova Sales Opportunity Intelligence | Synthetic enterprise project artifact</w:t>
      </w:r>
    </w:p>
    <w:p>
      <w:pPr>
        <w:pStyle w:val="Heading1"/>
      </w:pPr>
      <w:r>
        <w:t>Executive Context</w:t>
      </w:r>
    </w:p>
    <w:p>
      <w:r>
        <w:t>Nova Sales Opportunity Intelligence is a sales transformation initiative at Meridian Group. The goal is to assist strategic account teams with evidence-backed opportunity recommendations. The program is designed as an operating-model change, not just a technical implementation.</w:t>
      </w:r>
    </w:p>
    <w:p>
      <w:r>
        <w:t>The project team includes Strategic Account Directors, Sales Leadership, CRM Operations, AI Evaluation, Security.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Human review before CRM action; Every recommendation requires evidence; Permissions follow existing account-team access.</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CRM, Meeting Evidence, Account Plans, Evidence Resolver, Recommendation Engine, Seller Workspace. Component boundaries exist so source-system authority, project-owned processing and downstream user experiences remain explicit.</w:t>
      </w:r>
    </w:p>
    <w:p>
      <w:r>
        <w:t>Cross-project dependencies include ATLAS: CRM customer and account identity; HARBOR: identity role mappings and authorization model. Shared dependency timing is managed through enterprise architecture and project steering rather than by silently duplicating shared capabilities.</w:t>
      </w:r>
    </w:p>
    <w:p>
      <w:pPr>
        <w:pStyle w:val="Heading1"/>
      </w:pPr>
      <w:r>
        <w:t>Delivery and Risk</w:t>
      </w:r>
    </w:p>
    <w:p>
      <w:r>
        <w:t>Primary risks include inconsistent sales notes, recent-meeting bias, qualification disagreement, CRM permission variance, poor evidence quality.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Component Design</w:t>
      </w:r>
    </w:p>
    <w:p>
      <w:r>
        <w:t>The target design separates responsibilities across CRM, Meeting Evidence, Account Plans, Evidence Resolver, Recommendation Engine, Seller Workspace. Business rules are implemented where ownership is clear; shared platform services remain reusable and project services retain project-specific state.</w:t>
      </w:r>
    </w:p>
    <w:p>
      <w:r>
        <w:t>External calls are idempotent where repeat delivery is possible. Failures are observable and do not silently advance business state. Permission checks occur before sensitive evidence or controls are exposed.</w:t>
      </w:r>
    </w:p>
    <w:p>
      <w:pPr>
        <w:pStyle w:val="Heading1"/>
      </w:pPr>
      <w:r>
        <w:t>Data Model and Controls</w:t>
      </w:r>
    </w:p>
    <w:p>
      <w:r>
        <w:t>Core entities include business identifier, source reference, current state or result, owner, evidence, dependency reference, approval or exception state, timestamps and audit history. Derived fields retain references to the data and rule that produced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