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Nova Sales Opportunity Intelligence UAT and Acceptance Plan</w:t>
      </w:r>
    </w:p>
    <w:p>
      <w:pPr>
        <w:jc w:val="center"/>
      </w:pPr>
      <w:r>
        <w:rPr>
          <w:i/>
        </w:rPr>
        <w:t>Meridian Group | Nova Sales Opportunity Intelligence | Synthetic enterprise project artifact</w:t>
      </w:r>
    </w:p>
    <w:p>
      <w:pPr>
        <w:pStyle w:val="Heading1"/>
      </w:pPr>
      <w:r>
        <w:t>Executive Context</w:t>
      </w:r>
    </w:p>
    <w:p>
      <w:r>
        <w:t>Nova Sales Opportunity Intelligence is a sales transformation initiative at Meridian Group. The goal is to assist strategic account teams with evidence-backed opportunity recommendations. The program is designed as an operating-model change, not just a technical implementation.</w:t>
      </w:r>
    </w:p>
    <w:p>
      <w:r>
        <w:t>The project team includes Strategic Account Directors, Sales Leadership, CRM Operations, AI Evaluation, Security.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Human review before CRM action; Every recommendation requires evidence; Permissions follow existing account-team access.</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CRM, Meeting Evidence, Account Plans, Evidence Resolver, Recommendation Engine, Seller Workspace. Component boundaries exist so source-system authority, project-owned processing and downstream user experiences remain explicit.</w:t>
      </w:r>
    </w:p>
    <w:p>
      <w:r>
        <w:t>Cross-project dependencies include ATLAS: CRM customer and account identity; HARBOR: identity role mappings and authorization model. Shared dependency timing is managed through enterprise architecture and project steering rather than by silently duplicating shared capabilities.</w:t>
      </w:r>
    </w:p>
    <w:p>
      <w:pPr>
        <w:pStyle w:val="Heading1"/>
      </w:pPr>
      <w:r>
        <w:t>Delivery and Risk</w:t>
      </w:r>
    </w:p>
    <w:p>
      <w:r>
        <w:t>Primary risks include inconsistent sales notes, recent-meeting bias, qualification disagreement, CRM permission variance, poor evidence quality.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Test Strategy</w:t>
      </w:r>
    </w:p>
    <w:p>
      <w:r>
        <w:t>UAT covers normal flow plus the material risks: inconsistent sales notes, recent-meeting bias, qualification disagreement, CRM permission variance, poor evidence quality. Scenarios include stale or missing upstream data, permission failures, dependency unavailability, retry behavior, conflicting configuration, negative paths and support handoff.</w:t>
      </w:r>
    </w:p>
    <w:p>
      <w:r>
        <w:t>Business acceptance is not limited to screen behavior. Participants must confirm that status, decisions and exception paths are understandable and that users can determine what to do next without relying on undocumented tribal knowledge.</w:t>
      </w:r>
    </w:p>
    <w:p>
      <w:pPr>
        <w:pStyle w:val="Heading1"/>
      </w:pPr>
      <w:r>
        <w:t>Entry and Exit Criteria</w:t>
      </w:r>
    </w:p>
    <w:p>
      <w:r>
        <w:t>Entry requires stable integration contracts, approved key decisions, named dependency owners and a triaged defect baseline. Exit requires no unresolved critical defects, accepted treatment for known limitations, signed business scenarios and a production-support owner.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