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Orbit Financial Planning Business Requirements Document</w:t>
      </w:r>
    </w:p>
    <w:p>
      <w:pPr>
        <w:jc w:val="center"/>
      </w:pPr>
      <w:r>
        <w:rPr>
          <w:i/>
        </w:rPr>
        <w:t>Meridian Group | Orbit Financial Planning | Synthetic enterprise project artifact</w:t>
      </w:r>
    </w:p>
    <w:p>
      <w:pPr>
        <w:pStyle w:val="Heading1"/>
      </w:pPr>
      <w:r>
        <w:t>Executive Context</w:t>
      </w:r>
    </w:p>
    <w:p>
      <w:r>
        <w:t>Orbit Financial Planning is a finance transformation initiative at Meridian Group. The goal is to replace fragmented planning spreadsheets with rolling forecast and scenario planning. The program is designed as an operating-model change, not just a technical implementation.</w:t>
      </w:r>
    </w:p>
    <w:p>
      <w:r>
        <w:t>The project team includes FP&amp;A, Finance Leadership, Business Unit Owners, Data Platform, Internal Audit.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ERP actuals remain authoritative; AI cannot change forecast values; Scenario phase 1 is limited to finance leadership.</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ERP, Planning Inputs, Finance Ingestion, Forecast Engine, Scenario Store, Planning Workspace. Component boundaries exist so source-system authority, project-owned processing and downstream user experiences remain explicit.</w:t>
      </w:r>
    </w:p>
    <w:p>
      <w:r>
        <w:t>Cross-project dependencies include PULSE: shared platform compute and batch windows. Shared dependency timing is managed through enterprise architecture and project steering rather than by silently duplicating shared capabilities.</w:t>
      </w:r>
    </w:p>
    <w:p>
      <w:pPr>
        <w:pStyle w:val="Heading1"/>
      </w:pPr>
      <w:r>
        <w:t>Delivery and Risk</w:t>
      </w:r>
    </w:p>
    <w:p>
      <w:r>
        <w:t>Primary risks include template incompatibility, platform capacity contention, ERP close delay, scenario scope expansion, manual adjustment governance.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Detailed Requirements</w:t>
      </w:r>
    </w:p>
    <w:p>
      <w:r>
        <w:t>The business process begins only when required source data and ownership are present. The solution must represent status explicitly, prevent silent progression on failed dependencies, and make business exceptions visible to the accountable role.</w:t>
      </w:r>
    </w:p>
    <w:p>
      <w:r>
        <w:t>Decision controls must reflect the project-specific rules: ERP actuals remain authoritative; AI cannot change forecast values; Scenario phase 1 is limited to finance leadership. Where business units or regions require variation, the variation must remain compatible with enterprise reporting and support.</w:t>
      </w:r>
    </w:p>
    <w:p>
      <w:pPr>
        <w:pStyle w:val="Heading1"/>
      </w:pPr>
      <w:r>
        <w:t>Non-Functional Expectations</w:t>
      </w:r>
    </w:p>
    <w:p>
      <w:r>
        <w:t>The solution must be auditable, resilient to retries, least-privilege by default and supportable using observable failure states. Operational teams need correlation identifiers and enough historical context to distinguish upstream data issues, configuration problems, dependency failures and user actions.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