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Orbit Financial Planning Operational Readiness Runbook</w:t>
      </w:r>
    </w:p>
    <w:p>
      <w:pPr>
        <w:jc w:val="center"/>
      </w:pPr>
      <w:r>
        <w:rPr>
          <w:i/>
        </w:rPr>
        <w:t>Meridian Group | Orbit Financial Planning | Synthetic enterprise project artifact</w:t>
      </w:r>
    </w:p>
    <w:p>
      <w:pPr>
        <w:pStyle w:val="Heading1"/>
      </w:pPr>
      <w:r>
        <w:t>Executive Context</w:t>
      </w:r>
    </w:p>
    <w:p>
      <w:r>
        <w:t>Orbit Financial Planning is a finance transformation initiative at Meridian Group. The goal is to replace fragmented planning spreadsheets with rolling forecast and scenario planning. The program is designed as an operating-model change, not just a technical implementation.</w:t>
      </w:r>
    </w:p>
    <w:p>
      <w:r>
        <w:t>The project team includes FP&amp;A, Finance Leadership, Business Unit Owners, Data Platform, Internal Audit.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ERP actuals remain authoritative; AI cannot change forecast values; Scenario phase 1 is limited to finance leadership.</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ERP, Planning Inputs, Finance Ingestion, Forecast Engine, Scenario Store, Planning Workspace. Component boundaries exist so source-system authority, project-owned processing and downstream user experiences remain explicit.</w:t>
      </w:r>
    </w:p>
    <w:p>
      <w:r>
        <w:t>Cross-project dependencies include PULSE: shared platform compute and batch windows. Shared dependency timing is managed through enterprise architecture and project steering rather than by silently duplicating shared capabilities.</w:t>
      </w:r>
    </w:p>
    <w:p>
      <w:pPr>
        <w:pStyle w:val="Heading1"/>
      </w:pPr>
      <w:r>
        <w:t>Delivery and Risk</w:t>
      </w:r>
    </w:p>
    <w:p>
      <w:r>
        <w:t>Primary risks include template incompatibility, platform capacity contention, ERP close delay, scenario scope expansion, manual adjustment governance.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Support Model</w:t>
      </w:r>
    </w:p>
    <w:p>
      <w:r>
        <w:t>First-line support identifies user, data, permission and dependency issues. Project support owns service-specific failures. Shared platform or identity teams own failures within their services. Cross-project incidents use a shared correlation identifier and named incident owner.</w:t>
      </w:r>
    </w:p>
    <w:p>
      <w:r>
        <w:t>Runbooks include expected healthy signals, common failure symptoms, safe retry guidance, escalation paths, evidence to capture and the decision owner for temporary mitigations.</w:t>
      </w:r>
    </w:p>
    <w:p>
      <w:pPr>
        <w:pStyle w:val="Heading1"/>
      </w:pPr>
      <w:r>
        <w:t>Go-Live Checklist</w:t>
      </w:r>
    </w:p>
    <w:p>
      <w:r>
        <w:t>Confirm monitoring, alert ownership, service accounts, support rosters, known limitations, rollback criteria, business communications and dependency contacts before launch. A checklist item marked complete must link to evidence rather than relying on verbal confirmation.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