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Orbit Financial Planning Solution Design Specification</w:t>
      </w:r>
    </w:p>
    <w:p>
      <w:pPr>
        <w:jc w:val="center"/>
      </w:pPr>
      <w:r>
        <w:rPr>
          <w:i/>
        </w:rPr>
        <w:t>Meridian Group | Orbit Financial Planning | Synthetic enterprise project artifact</w:t>
      </w:r>
    </w:p>
    <w:p>
      <w:pPr>
        <w:pStyle w:val="Heading1"/>
      </w:pPr>
      <w:r>
        <w:t>Executive Context</w:t>
      </w:r>
    </w:p>
    <w:p>
      <w:r>
        <w:t>Orbit Financial Planning is a finance transformation initiative at Meridian Group. The goal is to replace fragmented planning spreadsheets with rolling forecast and scenario planning. The program is designed as an operating-model change, not just a technical implementation.</w:t>
      </w:r>
    </w:p>
    <w:p>
      <w:r>
        <w:t>The project team includes FP&amp;A, Finance Leadership, Business Unit Owners, Data Platform, Internal Audit.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ERP actuals remain authoritative; AI cannot change forecast values; Scenario phase 1 is limited to finance leadership.</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ERP, Planning Inputs, Finance Ingestion, Forecast Engine, Scenario Store, Planning Workspace. Component boundaries exist so source-system authority, project-owned processing and downstream user experiences remain explicit.</w:t>
      </w:r>
    </w:p>
    <w:p>
      <w:r>
        <w:t>Cross-project dependencies include PULSE: shared platform compute and batch windows. Shared dependency timing is managed through enterprise architecture and project steering rather than by silently duplicating shared capabilities.</w:t>
      </w:r>
    </w:p>
    <w:p>
      <w:pPr>
        <w:pStyle w:val="Heading1"/>
      </w:pPr>
      <w:r>
        <w:t>Delivery and Risk</w:t>
      </w:r>
    </w:p>
    <w:p>
      <w:r>
        <w:t>Primary risks include template incompatibility, platform capacity contention, ERP close delay, scenario scope expansion, manual adjustment governance.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Component Design</w:t>
      </w:r>
    </w:p>
    <w:p>
      <w:r>
        <w:t>The target design separates responsibilities across ERP, Planning Inputs, Finance Ingestion, Forecast Engine, Scenario Store, Planning Workspace. Business rules are implemented where ownership is clear; shared platform services remain reusable and project services retain project-specific state.</w:t>
      </w:r>
    </w:p>
    <w:p>
      <w:r>
        <w:t>External calls are idempotent where repeat delivery is possible. Failures are observable and do not silently advance business state. Permission checks occur before sensitive evidence or controls are exposed.</w:t>
      </w:r>
    </w:p>
    <w:p>
      <w:pPr>
        <w:pStyle w:val="Heading1"/>
      </w:pPr>
      <w:r>
        <w:t>Data Model and Controls</w:t>
      </w:r>
    </w:p>
    <w:p>
      <w:r>
        <w:t>Core entities include business identifier, source reference, current state or result, owner, evidence, dependency reference, approval or exception state, timestamps and audit history. Derived fields retain references to the data and rule that produced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