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Pulse Store Operations Intelligence Business Requirements Document</w:t>
      </w:r>
    </w:p>
    <w:p>
      <w:pPr>
        <w:jc w:val="center"/>
      </w:pPr>
      <w:r>
        <w:rPr>
          <w:i/>
        </w:rPr>
        <w:t>Meridian Group | Pulse Store Operations Intelligence | Synthetic enterprise project artifact</w:t>
      </w:r>
    </w:p>
    <w:p>
      <w:pPr>
        <w:pStyle w:val="Heading1"/>
      </w:pPr>
      <w:r>
        <w:t>Executive Context</w:t>
      </w:r>
    </w:p>
    <w:p>
      <w:r>
        <w:t>Pulse Store Operations Intelligence is a retail operations transformation initiative at Meridian Group. The goal is to create a unified operational intelligence and alerting layer for regional stores. The program is designed as an operating-model change, not just a technical implementation.</w:t>
      </w:r>
    </w:p>
    <w:p>
      <w:r>
        <w:t>The project team includes Regional Operations, Store Managers, Data Platform, QA, Change Management. Decision records, meeting transcripts and working documents intentionally overlap so a long-term memory system can preserve both current truth and historical rationale.</w:t>
      </w:r>
    </w:p>
    <w:p>
      <w:pPr>
        <w:pStyle w:val="Heading1"/>
      </w:pPr>
      <w:r>
        <w:t>Business Requirements</w:t>
      </w:r>
    </w:p>
    <w:p>
      <w:r>
        <w:t>The solution must improve consistency, traceability and decision quality without creating hidden systems of record. Key first-phase principles are: No employee-level scoring in phase 1; Enterprise KPI definitions win over legacy regional scorecards; Midwest region is the first production pilot.</w:t>
      </w:r>
    </w:p>
    <w:p>
      <w:r>
        <w:t>Users need understandable status, accountable ownership, explicit exception paths, and enough provenance to explain why a decision or result exists. Material changes must be reflected in acceptance criteria and operating documentation.</w:t>
      </w:r>
    </w:p>
    <w:p>
      <w:pPr>
        <w:pStyle w:val="Heading1"/>
      </w:pPr>
      <w:r>
        <w:t>Architecture and Dependencies</w:t>
      </w:r>
    </w:p>
    <w:p>
      <w:r>
        <w:t>The solution is composed of Store Systems, Ingestion Layer, Shared Data Platform, KPI Registry, Rules Engine, Ops Console. Component boundaries exist so source-system authority, project-owned processing and downstream user experiences remain explicit.</w:t>
      </w:r>
    </w:p>
    <w:p>
      <w:r>
        <w:t>Cross-project dependencies include ORBIT: shared analytical platform capacity and batch windows. Shared dependency timing is managed through enterprise architecture and project steering rather than by silently duplicating shared capabilities.</w:t>
      </w:r>
    </w:p>
    <w:p>
      <w:pPr>
        <w:pStyle w:val="Heading1"/>
      </w:pPr>
      <w:r>
        <w:t>Delivery and Risk</w:t>
      </w:r>
    </w:p>
    <w:p>
      <w:r>
        <w:t>Primary risks include missing telemetry, high false positives, regional KPI conflicts, platform capacity contention, store adoption resistance. These risks are treated as business and operating-model concerns in addition to technical concerns because each can change adoption, support effort or the reliability of business decisions.</w:t>
      </w:r>
    </w:p>
    <w:p>
      <w:r>
        <w:t>A dependency delay does not automatically move the project milestone. The project manager first evaluates resequencing, degraded-mode operation, scope protection and temporary controls before seeking a formal decision.</w:t>
      </w:r>
    </w:p>
    <w:p>
      <w:pPr>
        <w:pStyle w:val="Heading1"/>
      </w:pPr>
      <w:r>
        <w:t>Governance and Traceability</w:t>
      </w:r>
    </w:p>
    <w:p>
      <w:r>
        <w:t>Material decisions retain rationale, alternatives, owner and supersession history. Older assumptions are preserved because they explain why the project evolved. Current truth should be determined from accepted decision status and provenance, not simply the newest timestamp.</w:t>
      </w:r>
    </w:p>
    <w:p>
      <w:r>
        <w:t>Temporary exceptions require an owner and review condition. Shared SMEs resolve enterprise-standard questions; local teams may not redefine shared semantics purely to unblock a milestone.</w:t>
      </w:r>
    </w:p>
    <w:p>
      <w:pPr>
        <w:pStyle w:val="Heading1"/>
      </w:pPr>
      <w:r>
        <w:t>Detailed Requirements</w:t>
      </w:r>
    </w:p>
    <w:p>
      <w:r>
        <w:t>The business process begins only when required source data and ownership are present. The solution must represent status explicitly, prevent silent progression on failed dependencies, and make business exceptions visible to the accountable role.</w:t>
      </w:r>
    </w:p>
    <w:p>
      <w:r>
        <w:t>Decision controls must reflect the project-specific rules: No employee-level scoring in phase 1; Enterprise KPI definitions win over legacy regional scorecards; Midwest region is the first production pilot. Where business units or regions require variation, the variation must remain compatible with enterprise reporting and support.</w:t>
      </w:r>
    </w:p>
    <w:p>
      <w:pPr>
        <w:pStyle w:val="Heading1"/>
      </w:pPr>
      <w:r>
        <w:t>Non-Functional Expectations</w:t>
      </w:r>
    </w:p>
    <w:p>
      <w:r>
        <w:t>The solution must be auditable, resilient to retries, least-privilege by default and supportable using observable failure states. Operational teams need correlation identifiers and enough historical context to distinguish upstream data issues, configuration problems, dependency failures and user actions.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