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Pulse Store Operations Intelligence Implementation Specification</w:t>
      </w:r>
    </w:p>
    <w:p>
      <w:pPr>
        <w:jc w:val="center"/>
      </w:pPr>
      <w:r>
        <w:rPr>
          <w:i/>
        </w:rPr>
        <w:t>Meridian Group | Pulse Store Operations Intelligence | Synthetic enterprise project artifact</w:t>
      </w:r>
    </w:p>
    <w:p>
      <w:pPr>
        <w:pStyle w:val="Heading1"/>
      </w:pPr>
      <w:r>
        <w:t>Executive Context</w:t>
      </w:r>
    </w:p>
    <w:p>
      <w:r>
        <w:t>Pulse Store Operations Intelligence is a retail operations transformation initiative at Meridian Group. The goal is to create a unified operational intelligence and alerting layer for regional stores. The program is designed as an operating-model change, not just a technical implementation.</w:t>
      </w:r>
    </w:p>
    <w:p>
      <w:r>
        <w:t>The project team includes Regional Operations, Store Managers, Data Platform, QA, Change Management.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No employee-level scoring in phase 1; Enterprise KPI definitions win over legacy regional scorecards; Midwest region is the first production pilot.</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Store Systems, Ingestion Layer, Shared Data Platform, KPI Registry, Rules Engine, Ops Console. Component boundaries exist so source-system authority, project-owned processing and downstream user experiences remain explicit.</w:t>
      </w:r>
    </w:p>
    <w:p>
      <w:r>
        <w:t>Cross-project dependencies include ORBIT: shared analytical platform capacity and batch windows. Shared dependency timing is managed through enterprise architecture and project steering rather than by silently duplicating shared capabilities.</w:t>
      </w:r>
    </w:p>
    <w:p>
      <w:pPr>
        <w:pStyle w:val="Heading1"/>
      </w:pPr>
      <w:r>
        <w:t>Delivery and Risk</w:t>
      </w:r>
    </w:p>
    <w:p>
      <w:r>
        <w:t>Primary risks include missing telemetry, high false positives, regional KPI conflicts, platform capacity contention, store adoption resistance.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Detailed Implementation Flow</w:t>
      </w:r>
    </w:p>
    <w:p>
      <w:r>
        <w:t>The implementation flow connects Store Systems, Ingestion Layer, Shared Data Platform, KPI Registry, Rules Engine, Ops Console. Each stage validates required inputs before progression, persists enough state for support and audit, and emits only outputs that are permitted for the requesting role.</w:t>
      </w:r>
    </w:p>
    <w:p>
      <w:r>
        <w:t>External dependency failures are modeled explicitly. Retryable failures may be replayed safely; non-retryable business failures require an owner and a visible resolution path. No integration failure may silently advance business status.</w:t>
      </w:r>
    </w:p>
    <w:p>
      <w:pPr>
        <w:pStyle w:val="Heading1"/>
      </w:pPr>
      <w:r>
        <w:t>Implementation Constraints</w:t>
      </w:r>
    </w:p>
    <w:p>
      <w:r>
        <w:t>Current constraints include missing telemetry, high false positives, regional KPI conflicts, platform capacity contention, store adoption resistance. The project must preserve the following accepted rules: No employee-level scoring in phase 1; Enterprise KPI definitions win over legacy regional scorecards; Midwest region is the first production pilot.</w:t>
      </w:r>
    </w:p>
    <w:p>
      <w:r>
        <w:t>Temporary workarounds need an owner, review date, monitoring signal and a reference to the decision that authorized them. They cannot become permanent behavior by omission.</w:t>
      </w:r>
    </w:p>
    <w:p>
      <w:pPr>
        <w:pStyle w:val="Heading1"/>
      </w:pPr>
      <w:r>
        <w:t>Observability and Support</w:t>
      </w:r>
    </w:p>
    <w:p>
      <w:r>
        <w:t>Logs and operational records carry correlation identifiers across project and dependency boundaries. Dashboards distinguish upstream data quality, permission failure, dependency outage, project processing errors and user-action failures.</w:t>
      </w:r>
    </w:p>
    <w:p>
      <w:r>
        <w:t>Runbooks identify the owning team, evidence to capture, safe retry steps, escalation path and known limitations. Support guidance is updated when accepted decisions materially change behavior.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