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Pulse Store Operations Intelligence Operational Readiness Runbook</w:t>
      </w:r>
    </w:p>
    <w:p>
      <w:pPr>
        <w:jc w:val="center"/>
      </w:pPr>
      <w:r>
        <w:rPr>
          <w:i/>
        </w:rPr>
        <w:t>Meridian Group | Pulse Store Operations Intelligence | Synthetic enterprise project artifact</w:t>
      </w:r>
    </w:p>
    <w:p>
      <w:pPr>
        <w:pStyle w:val="Heading1"/>
      </w:pPr>
      <w:r>
        <w:t>Executive Context</w:t>
      </w:r>
    </w:p>
    <w:p>
      <w:r>
        <w:t>Pulse Store Operations Intelligence is a retail operations transformation initiative at Meridian Group. The goal is to create a unified operational intelligence and alerting layer for regional stores. The program is designed as an operating-model change, not just a technical implementation.</w:t>
      </w:r>
    </w:p>
    <w:p>
      <w:r>
        <w:t>The project team includes Regional Operations, Store Managers, Data Platform, QA, Change Management. Decision records, meeting transcripts and working documents intentionally overlap so a long-term memory system can preserve both current truth and historical rationale.</w:t>
      </w:r>
    </w:p>
    <w:p>
      <w:pPr>
        <w:pStyle w:val="Heading1"/>
      </w:pPr>
      <w:r>
        <w:t>Business Requirements</w:t>
      </w:r>
    </w:p>
    <w:p>
      <w:r>
        <w:t>The solution must improve consistency, traceability and decision quality without creating hidden systems of record. Key first-phase principles are: No employee-level scoring in phase 1; Enterprise KPI definitions win over legacy regional scorecards; Midwest region is the first production pilot.</w:t>
      </w:r>
    </w:p>
    <w:p>
      <w:r>
        <w:t>Users need understandable status, accountable ownership, explicit exception paths, and enough provenance to explain why a decision or result exists. Material changes must be reflected in acceptance criteria and operating documentation.</w:t>
      </w:r>
    </w:p>
    <w:p>
      <w:pPr>
        <w:pStyle w:val="Heading1"/>
      </w:pPr>
      <w:r>
        <w:t>Architecture and Dependencies</w:t>
      </w:r>
    </w:p>
    <w:p>
      <w:r>
        <w:t>The solution is composed of Store Systems, Ingestion Layer, Shared Data Platform, KPI Registry, Rules Engine, Ops Console. Component boundaries exist so source-system authority, project-owned processing and downstream user experiences remain explicit.</w:t>
      </w:r>
    </w:p>
    <w:p>
      <w:r>
        <w:t>Cross-project dependencies include ORBIT: shared analytical platform capacity and batch windows. Shared dependency timing is managed through enterprise architecture and project steering rather than by silently duplicating shared capabilities.</w:t>
      </w:r>
    </w:p>
    <w:p>
      <w:pPr>
        <w:pStyle w:val="Heading1"/>
      </w:pPr>
      <w:r>
        <w:t>Delivery and Risk</w:t>
      </w:r>
    </w:p>
    <w:p>
      <w:r>
        <w:t>Primary risks include missing telemetry, high false positives, regional KPI conflicts, platform capacity contention, store adoption resistance. These risks are treated as business and operating-model concerns in addition to technical concerns because each can change adoption, support effort or the reliability of business decisions.</w:t>
      </w:r>
    </w:p>
    <w:p>
      <w:r>
        <w:t>A dependency delay does not automatically move the project milestone. The project manager first evaluates resequencing, degraded-mode operation, scope protection and temporary controls before seeking a formal decision.</w:t>
      </w:r>
    </w:p>
    <w:p>
      <w:pPr>
        <w:pStyle w:val="Heading1"/>
      </w:pPr>
      <w:r>
        <w:t>Governance and Traceability</w:t>
      </w:r>
    </w:p>
    <w:p>
      <w:r>
        <w:t>Material decisions retain rationale, alternatives, owner and supersession history. Older assumptions are preserved because they explain why the project evolved. Current truth should be determined from accepted decision status and provenance, not simply the newest timestamp.</w:t>
      </w:r>
    </w:p>
    <w:p>
      <w:r>
        <w:t>Temporary exceptions require an owner and review condition. Shared SMEs resolve enterprise-standard questions; local teams may not redefine shared semantics purely to unblock a milestone.</w:t>
      </w:r>
    </w:p>
    <w:p>
      <w:pPr>
        <w:pStyle w:val="Heading1"/>
      </w:pPr>
      <w:r>
        <w:t>Support Model</w:t>
      </w:r>
    </w:p>
    <w:p>
      <w:r>
        <w:t>First-line support identifies user, data, permission and dependency issues. Project support owns service-specific failures. Shared platform or identity teams own failures within their services. Cross-project incidents use a shared correlation identifier and named incident owner.</w:t>
      </w:r>
    </w:p>
    <w:p>
      <w:r>
        <w:t>Runbooks include expected healthy signals, common failure symptoms, safe retry guidance, escalation paths, evidence to capture and the decision owner for temporary mitigations.</w:t>
      </w:r>
    </w:p>
    <w:p>
      <w:pPr>
        <w:pStyle w:val="Heading1"/>
      </w:pPr>
      <w:r>
        <w:t>Go-Live Checklist</w:t>
      </w:r>
    </w:p>
    <w:p>
      <w:r>
        <w:t>Confirm monitoring, alert ownership, service accounts, support rosters, known limitations, rollback criteria, business communications and dependency contacts before launch. A checklist item marked complete must link to evidence rather than relying on verbal confirmation.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