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Pulse Store Operations Intelligence UAT and Acceptance Plan</w:t>
      </w:r>
    </w:p>
    <w:p>
      <w:pPr>
        <w:jc w:val="center"/>
      </w:pPr>
      <w:r>
        <w:rPr>
          <w:i/>
        </w:rPr>
        <w:t>Meridian Group | Pulse Store Operations Intelligence | Synthetic enterprise project artifact</w:t>
      </w:r>
    </w:p>
    <w:p>
      <w:pPr>
        <w:pStyle w:val="Heading1"/>
      </w:pPr>
      <w:r>
        <w:t>Executive Context</w:t>
      </w:r>
    </w:p>
    <w:p>
      <w:r>
        <w:t>Pulse Store Operations Intelligence is a retail operations transformation initiative at Meridian Group. The goal is to create a unified operational intelligence and alerting layer for regional stores. The program is designed as an operating-model change, not just a technical implementation.</w:t>
      </w:r>
    </w:p>
    <w:p>
      <w:r>
        <w:t>The project team includes Regional Operations, Store Managers, Data Platform, QA, Change Management.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No employee-level scoring in phase 1; Enterprise KPI definitions win over legacy regional scorecards; Midwest region is the first production pilot.</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Store Systems, Ingestion Layer, Shared Data Platform, KPI Registry, Rules Engine, Ops Console. Component boundaries exist so source-system authority, project-owned processing and downstream user experiences remain explicit.</w:t>
      </w:r>
    </w:p>
    <w:p>
      <w:r>
        <w:t>Cross-project dependencies include ORBIT: shared analytical platform capacity and batch windows. Shared dependency timing is managed through enterprise architecture and project steering rather than by silently duplicating shared capabilities.</w:t>
      </w:r>
    </w:p>
    <w:p>
      <w:pPr>
        <w:pStyle w:val="Heading1"/>
      </w:pPr>
      <w:r>
        <w:t>Delivery and Risk</w:t>
      </w:r>
    </w:p>
    <w:p>
      <w:r>
        <w:t>Primary risks include missing telemetry, high false positives, regional KPI conflicts, platform capacity contention, store adoption resistance.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Test Strategy</w:t>
      </w:r>
    </w:p>
    <w:p>
      <w:r>
        <w:t>UAT covers normal flow plus the material risks: missing telemetry, high false positives, regional KPI conflicts, platform capacity contention, store adoption resistance. Scenarios include stale or missing upstream data, permission failures, dependency unavailability, retry behavior, conflicting configuration, negative paths and support handoff.</w:t>
      </w:r>
    </w:p>
    <w:p>
      <w:r>
        <w:t>Business acceptance is not limited to screen behavior. Participants must confirm that status, decisions and exception paths are understandable and that users can determine what to do next without relying on undocumented tribal knowledge.</w:t>
      </w:r>
    </w:p>
    <w:p>
      <w:pPr>
        <w:pStyle w:val="Heading1"/>
      </w:pPr>
      <w:r>
        <w:t>Entry and Exit Criteria</w:t>
      </w:r>
    </w:p>
    <w:p>
      <w:r>
        <w:t>Entry requires stable integration contracts, approved key decisions, named dependency owners and a triaged defect baseline. Exit requires no unresolved critical defects, accepted treatment for known limitations, signed business scenarios and a production-support owner.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