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0EF0" w14:textId="0E055E20" w:rsidR="001F7204" w:rsidRDefault="007668DE">
      <w:r>
        <w:t>Na dzień 31.12.2023 roku ustalono inflację dla przyszłych przepływów w następujący sposób: dla wypłat przypadających w miesiącach 1-12 przyjęto wartość inflacji na poziomie 1,045 (4,5%), a dla wypłat w miesiącach 13-24 ustalono inflację na poziomie 1,01 (1%</w:t>
      </w:r>
      <w:proofErr w:type="gramStart"/>
      <w:r>
        <w:t>).Dla</w:t>
      </w:r>
      <w:proofErr w:type="gramEnd"/>
      <w:r>
        <w:t xml:space="preserve"> tych rocznych stóp inflacji (4,5% i 1%) zostały wyznaczone równoważne kwartalne stopy inflacji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t=1,…,8</m:t>
        </m:r>
      </m:oMath>
      <w:r>
        <w:rPr>
          <w:rFonts w:eastAsiaTheme="minorEastAsia"/>
        </w:rPr>
        <w:t xml:space="preserve">, </w:t>
      </w:r>
      <w:r>
        <w:t>odpowiadające ośmiu kolejnym kwartałom w okresie dwóch lat, zgodnie z następującymi wartościami:</w:t>
      </w:r>
    </w:p>
    <w:p w14:paraId="2272B8AC" w14:textId="68F978F6" w:rsidR="007668DE" w:rsidRPr="007668DE" w:rsidRDefault="007668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&amp;1,011    &amp;&amp;</m:t>
                  </m:r>
                  <m:r>
                    <m:rPr>
                      <m:nor/>
                    </m:rPr>
                    <m:t xml:space="preserve"> dla </m:t>
                  </m:r>
                  <m:r>
                    <w:rPr>
                      <w:rFonts w:ascii="Cambria Math" w:hAnsi="Cambria Math"/>
                    </w:rPr>
                    <m:t>t=1,2,3,4</m:t>
                  </m:r>
                </m:e>
                <m:e>
                  <m:r>
                    <w:rPr>
                      <w:rFonts w:ascii="Cambria Math" w:hAnsi="Cambria Math"/>
                    </w:rPr>
                    <m:t>&amp;1,0025    &amp;&amp;</m:t>
                  </m:r>
                  <m:r>
                    <m:rPr>
                      <m:nor/>
                    </m:rPr>
                    <m:t xml:space="preserve"> dla </m:t>
                  </m:r>
                  <m:r>
                    <w:rPr>
                      <w:rFonts w:ascii="Cambria Math" w:hAnsi="Cambria Math"/>
                    </w:rPr>
                    <m:t>t=5,6,7,8</m:t>
                  </m:r>
                </m:e>
              </m:eqArr>
            </m:e>
          </m:d>
        </m:oMath>
      </m:oMathPara>
    </w:p>
    <w:p w14:paraId="50D9A9FB" w14:textId="77777777" w:rsidR="007668DE" w:rsidRDefault="007668DE" w:rsidP="007668DE">
      <w:pPr>
        <w:pStyle w:val="NormalnyWeb"/>
      </w:pPr>
      <w:r>
        <w:t>Stąd, roczna inflacja na dzień 31.03.2024 została ustalona jako:</w:t>
      </w:r>
    </w:p>
    <w:p w14:paraId="02298EE0" w14:textId="7DB7205D" w:rsidR="007668DE" w:rsidRPr="007668DE" w:rsidRDefault="007668DE">
      <w:pPr>
        <w:rPr>
          <w:rFonts w:eastAsiaTheme="minorEastAsia"/>
        </w:rPr>
      </w:pPr>
      <m:oMathPara>
        <m:oMath>
          <m:r>
            <m:rPr>
              <m:nor/>
            </m:rPr>
            <m:t xml:space="preserve">inflacja </m:t>
          </m:r>
          <m:r>
            <m:rPr>
              <m:sty m:val="p"/>
            </m:rPr>
            <w:rPr>
              <w:rFonts w:ascii="Cambria Math" w:hAnsi="Cambria Math"/>
            </w:rPr>
            <m:t>_i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&amp;1,0361    &amp;&amp;</m:t>
                  </m:r>
                  <m:r>
                    <m:rPr>
                      <m:nor/>
                    </m:rPr>
                    <m:t xml:space="preserve"> dla przepływu </m:t>
                  </m:r>
                  <m:r>
                    <w:rPr>
                      <w:rFonts w:ascii="Cambria Math" w:hAnsi="Cambria Math"/>
                    </w:rPr>
                    <m:t>i=1(</m:t>
                  </m:r>
                  <m:r>
                    <m:rPr>
                      <m:nor/>
                    </m:rPr>
                    <m:t xml:space="preserve"> miesiące 1-12) </m:t>
                  </m:r>
                </m:e>
                <m:e>
                  <m:r>
                    <w:rPr>
                      <w:rFonts w:ascii="Cambria Math" w:hAnsi="Cambria Math"/>
                    </w:rPr>
                    <m:t>&amp;1,0075    &amp;&amp;</m:t>
                  </m:r>
                  <m:r>
                    <m:rPr>
                      <m:nor/>
                    </m:rPr>
                    <m:t xml:space="preserve"> dla przepływu </m:t>
                  </m:r>
                  <m:r>
                    <w:rPr>
                      <w:rFonts w:ascii="Cambria Math" w:hAnsi="Cambria Math"/>
                    </w:rPr>
                    <m:t>i=2(</m:t>
                  </m:r>
                  <m:r>
                    <m:rPr>
                      <m:nor/>
                    </m:rPr>
                    <m:t xml:space="preserve"> miesiące 13-24). </m:t>
                  </m:r>
                </m:e>
              </m:eqArr>
            </m:e>
          </m:d>
        </m:oMath>
      </m:oMathPara>
    </w:p>
    <w:p w14:paraId="388D894D" w14:textId="77777777" w:rsidR="007668DE" w:rsidRDefault="007668DE">
      <w:pPr>
        <w:rPr>
          <w:rFonts w:eastAsiaTheme="minorEastAsia"/>
        </w:rPr>
      </w:pPr>
    </w:p>
    <w:p w14:paraId="29FA7389" w14:textId="27767390" w:rsidR="007668DE" w:rsidRDefault="007668DE">
      <w:r>
        <w:t>Następnie przechodzimy do kolumny „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Factor</w:t>
      </w:r>
      <w:proofErr w:type="spellEnd"/>
      <w:r>
        <w:t>,” która reprezentuje skumulowaną inflację w kolejnych latach przy założeniu, że wypłata następuje punktowo w połowie roku. „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Factor</w:t>
      </w:r>
      <w:proofErr w:type="spellEnd"/>
      <w:r>
        <w:t>” jest wyznaczony w następujący sposób:</w:t>
      </w:r>
    </w:p>
    <w:p w14:paraId="4AB999EA" w14:textId="77777777" w:rsidR="007668DE" w:rsidRDefault="007668DE"/>
    <w:p w14:paraId="7183B38D" w14:textId="6BB1E04E" w:rsidR="007668DE" w:rsidRDefault="007668DE">
      <w:proofErr w:type="spellStart"/>
      <m:oMathPara>
        <m:oMath>
          <m:r>
            <m:rPr>
              <m:nor/>
            </m:rPr>
            <m:t>Inflation</m:t>
          </m:r>
          <w:proofErr w:type="spellEnd"/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Factor</m:t>
          </m:r>
          <w:proofErr w:type="spellEnd"/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&amp;(1+0,361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-1=1,018    &amp;&amp;</m:t>
                  </m:r>
                  <m:r>
                    <m:rPr>
                      <m:nor/>
                    </m:rPr>
                    <m:t xml:space="preserve"> dla </m:t>
                  </m:r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&amp;(1+0,361)⋅(1,0075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-1=1,0436    &amp;&amp;</m:t>
                  </m:r>
                  <m:r>
                    <m:rPr>
                      <m:nor/>
                    </m:rPr>
                    <m:t xml:space="preserve"> dla </m:t>
                  </m:r>
                  <m:r>
                    <w:rPr>
                      <w:rFonts w:ascii="Cambria Math" w:hAnsi="Cambria Math"/>
                    </w:rPr>
                    <m:t>i=2</m:t>
                  </m:r>
                </m:e>
                <m:e>
                  <m:r>
                    <w:rPr>
                      <w:rFonts w:ascii="Cambria Math" w:hAnsi="Cambria Math"/>
                    </w:rPr>
                    <m:t>&amp;(1+0,361)⋅(1,0075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=1,044    &amp;&amp;</m:t>
                  </m:r>
                  <m:r>
                    <m:rPr>
                      <m:nor/>
                    </m:rPr>
                    <m:t xml:space="preserve"> dla </m:t>
                  </m:r>
                  <m:r>
                    <w:rPr>
                      <w:rFonts w:ascii="Cambria Math" w:hAnsi="Cambria Math"/>
                    </w:rPr>
                    <m:t>i&gt;2</m:t>
                  </m:r>
                </m:e>
              </m:eqArr>
            </m:e>
          </m:d>
        </m:oMath>
      </m:oMathPara>
    </w:p>
    <w:sectPr w:rsidR="00766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E"/>
    <w:rsid w:val="001456AE"/>
    <w:rsid w:val="001F7204"/>
    <w:rsid w:val="00382491"/>
    <w:rsid w:val="00462F04"/>
    <w:rsid w:val="004A15F7"/>
    <w:rsid w:val="006A0FCF"/>
    <w:rsid w:val="007668DE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4AC45"/>
  <w15:chartTrackingRefBased/>
  <w15:docId w15:val="{C7FC788B-A477-8047-A99F-86B5DDEE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456AE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6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56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6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6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6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6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6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456AE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sid w:val="001456AE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6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6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68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68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68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68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68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6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6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6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68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68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68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6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68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68D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668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961</Characters>
  <Application>Microsoft Office Word</Application>
  <DocSecurity>0</DocSecurity>
  <Lines>8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ac401</dc:creator>
  <cp:keywords/>
  <dc:description/>
  <cp:lastModifiedBy>ac401</cp:lastModifiedBy>
  <cp:revision>1</cp:revision>
  <dcterms:created xsi:type="dcterms:W3CDTF">2024-09-12T11:11:00Z</dcterms:created>
  <dcterms:modified xsi:type="dcterms:W3CDTF">2024-09-12T11:13:00Z</dcterms:modified>
</cp:coreProperties>
</file>