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68D2" w14:textId="6E360140" w:rsidR="00C90C0C" w:rsidRDefault="00C90C0C">
      <w:pPr>
        <w:rPr>
          <w:rFonts w:ascii="Source Sans Pro" w:hAnsi="Source Sans Pro" w:cs="Source Sans Pro"/>
          <w:color w:val="000000"/>
          <w:sz w:val="20"/>
          <w:szCs w:val="20"/>
        </w:rPr>
      </w:pPr>
    </w:p>
    <w:p w14:paraId="2C312FA3" w14:textId="77777777" w:rsidR="00585B5B" w:rsidRPr="00FD37A0" w:rsidRDefault="00585B5B" w:rsidP="003C3C3A">
      <w:pPr>
        <w:spacing w:line="276" w:lineRule="auto"/>
        <w:jc w:val="both"/>
        <w:rPr>
          <w:rFonts w:ascii="Arial" w:hAnsi="Arial" w:cs="Arial"/>
        </w:rPr>
      </w:pPr>
    </w:p>
    <w:p w14:paraId="572BA15C" w14:textId="77777777" w:rsidR="00123F63" w:rsidRDefault="00123F63" w:rsidP="00123F63">
      <w:pPr>
        <w:spacing w:line="276" w:lineRule="auto"/>
        <w:jc w:val="both"/>
        <w:rPr>
          <w:rFonts w:ascii="Arial" w:hAnsi="Arial" w:cs="Arial"/>
        </w:rPr>
      </w:pPr>
      <w:r w:rsidRPr="00257B51">
        <w:rPr>
          <w:rFonts w:ascii="Source Sans Pro" w:hAnsi="Source Sans Pro" w:cs="Source Sans Pro"/>
          <w:color w:val="000000"/>
          <w:sz w:val="20"/>
          <w:szCs w:val="20"/>
        </w:rPr>
        <w:t>W pośrednich kosztach likwidacji uwzględnia się koszty związane z procesem likwidacji szkód, których nie da się przypisać do konkretnej szkody, a które dotyczą m.in. kosztów wynagrodzeń osób zajmujących się procesem likwidacji szkód, koszty korespondencji, usługi kurierskie, koszty eksploatacji samochodów służbowych służących do likwidacji szkód, koszty telefonii komórkowej.</w:t>
      </w:r>
      <w:r>
        <w:rPr>
          <w:rFonts w:ascii="Source Sans Pro" w:hAnsi="Source Sans Pro" w:cs="Source Sans Pro"/>
          <w:color w:val="000000"/>
          <w:sz w:val="20"/>
          <w:szCs w:val="20"/>
        </w:rPr>
        <w:t xml:space="preserve"> </w:t>
      </w:r>
      <w:r>
        <w:rPr>
          <w:rFonts w:ascii="Arial" w:hAnsi="Arial" w:cs="Arial"/>
        </w:rPr>
        <w:t>Wpływ usuwania szkód poniżej 1000 złotych zaprezentowano w tabeli poniżej. (informacje dla GPT: zakład usuwa szkody poniżej 1000 zł. Zakład został poproszony o przedstawienie jak duże różnice w ilości szkód (czyli ilości rekordów) i w wartości przepływów są jeśli usuwamy  i jeśli nie usuwamy tych szkód.)</w:t>
      </w:r>
    </w:p>
    <w:p w14:paraId="1D1B9B25" w14:textId="419673FC" w:rsidR="00123F63" w:rsidRPr="00123F63" w:rsidRDefault="00123F63" w:rsidP="000E07F0">
      <w:pPr>
        <w:rPr>
          <w:rFonts w:ascii="Source Sans Pro" w:hAnsi="Source Sans Pro" w:cs="Source Sans Pro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3EC4F7B" wp14:editId="7D4B6092">
            <wp:extent cx="5760720" cy="11861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541B" w14:textId="282B384D" w:rsidR="000E07F0" w:rsidRDefault="0088738B" w:rsidP="000E07F0">
      <w:r>
        <w:t xml:space="preserve">Szczegółowe regulacje dotyczące wyceny rezerwy zostały zawarte w dokumentacji wewnętrznej Biura </w:t>
      </w:r>
      <w:r w:rsidRPr="0088738B">
        <w:t xml:space="preserve">Aktuarialnego: </w:t>
      </w:r>
      <w:r w:rsidRPr="0088738B">
        <w:rPr>
          <w:i/>
        </w:rPr>
        <w:t>Szczegółowe zasady tworzenia rezerwy na koszty likwidacji szkód</w:t>
      </w:r>
      <w:r w:rsidRPr="0088738B">
        <w:t>, w części II dotyczącej pośrednich kosztów likwidacji szkód</w:t>
      </w:r>
      <w:r w:rsidRPr="0088738B">
        <w:t xml:space="preserve"> oraz w </w:t>
      </w:r>
      <w:r w:rsidRPr="0088738B">
        <w:rPr>
          <w:rFonts w:ascii="Arial" w:hAnsi="Arial" w:cs="Arial"/>
        </w:rPr>
        <w:t>pliku „Metodyka wyznaczania najlepszego oszacowania.docx”</w:t>
      </w:r>
      <w:r>
        <w:rPr>
          <w:rFonts w:ascii="Arial" w:hAnsi="Arial" w:cs="Arial"/>
        </w:rPr>
        <w:t xml:space="preserve">. </w:t>
      </w:r>
      <w:r w:rsidRPr="0088738B">
        <w:rPr>
          <w:iCs/>
        </w:rPr>
        <w:t xml:space="preserve">Zespół inspekcyjny </w:t>
      </w:r>
      <w:r>
        <w:rPr>
          <w:iCs/>
        </w:rPr>
        <w:t xml:space="preserve">ustalił, że rozdział </w:t>
      </w:r>
      <w:r w:rsidRPr="00393EDE">
        <w:rPr>
          <w:rFonts w:ascii="Source Sans Pro" w:hAnsi="Source Sans Pro" w:cs="Source Sans Pro"/>
          <w:color w:val="000000"/>
          <w:sz w:val="18"/>
          <w:szCs w:val="18"/>
        </w:rPr>
        <w:t>„2.1.2.3 Pośrednie koszty likwidacji szkód”</w:t>
      </w:r>
      <w:r>
        <w:rPr>
          <w:rFonts w:ascii="Source Sans Pro" w:hAnsi="Source Sans Pro" w:cs="Source Sans Pro"/>
          <w:color w:val="000000"/>
          <w:sz w:val="18"/>
          <w:szCs w:val="18"/>
        </w:rPr>
        <w:t xml:space="preserve"> w pliku </w:t>
      </w:r>
      <w:r w:rsidRPr="0088738B">
        <w:rPr>
          <w:rFonts w:ascii="Arial" w:hAnsi="Arial" w:cs="Arial"/>
        </w:rPr>
        <w:t>„Metodyka wyznaczania najlepszego oszacowania.docx”</w:t>
      </w:r>
      <w:r>
        <w:rPr>
          <w:rFonts w:ascii="Arial" w:hAnsi="Arial" w:cs="Arial"/>
        </w:rPr>
        <w:t xml:space="preserve"> jest nieaktualny a zakład przyznał, że </w:t>
      </w:r>
      <w:r>
        <w:rPr>
          <w:rFonts w:ascii="Source Sans Pro" w:hAnsi="Source Sans Pro" w:cs="Source Sans Pro"/>
          <w:color w:val="000000"/>
          <w:sz w:val="18"/>
          <w:szCs w:val="18"/>
        </w:rPr>
        <w:t>opisy w podrozdziale nie są</w:t>
      </w:r>
      <w:r w:rsidRPr="00393EDE">
        <w:rPr>
          <w:rFonts w:ascii="Source Sans Pro" w:hAnsi="Source Sans Pro" w:cs="Source Sans Pro"/>
          <w:color w:val="000000"/>
          <w:sz w:val="18"/>
          <w:szCs w:val="18"/>
        </w:rPr>
        <w:t xml:space="preserve"> zgodne z obliczeniami stosowanymi do wyznaczenia najlepszego oszacowania brutto</w:t>
      </w:r>
      <w:r w:rsidR="000E07F0">
        <w:rPr>
          <w:rFonts w:ascii="Source Sans Pro" w:hAnsi="Source Sans Pro" w:cs="Source Sans Pro"/>
          <w:color w:val="000000"/>
          <w:sz w:val="18"/>
          <w:szCs w:val="18"/>
        </w:rPr>
        <w:t xml:space="preserve">. </w:t>
      </w:r>
      <w:r w:rsidR="000E07F0">
        <w:t>R</w:t>
      </w:r>
      <w:r w:rsidR="000E07F0">
        <w:t xml:space="preserve">ezerwa na pośrednie koszty likwidacji </w:t>
      </w:r>
      <w:r w:rsidR="000E07F0">
        <w:t>wyznaczana jest zgodnie z dokumentem „</w:t>
      </w:r>
      <w:r w:rsidR="000E07F0" w:rsidRPr="0088738B">
        <w:rPr>
          <w:rFonts w:ascii="Arial" w:hAnsi="Arial" w:cs="Arial"/>
        </w:rPr>
        <w:t>Metodyka wyznaczania najlepszego oszacowania.docx”</w:t>
      </w:r>
      <w:r w:rsidR="000E07F0">
        <w:rPr>
          <w:rFonts w:ascii="Arial" w:hAnsi="Arial" w:cs="Arial"/>
        </w:rPr>
        <w:t xml:space="preserve"> </w:t>
      </w:r>
      <w:r w:rsidR="000E07F0">
        <w:t xml:space="preserve"> </w:t>
      </w:r>
      <w:r w:rsidR="000E07F0">
        <w:t xml:space="preserve">z wykorzystaniem metody </w:t>
      </w:r>
      <w:r w:rsidR="000E07F0">
        <w:t>New York. Metoda ta polega na tworzeniu rezerwy na pośrednie koszty likwidacji szkód</w:t>
      </w:r>
      <w:r w:rsidR="00BF0E4C" w:rsidRPr="00285CC9">
        <w:rPr>
          <w:rFonts w:ascii="Source Sans Pro" w:hAnsi="Source Sans Pro" w:cs="Tahoma"/>
          <w:sz w:val="20"/>
          <w:szCs w:val="20"/>
        </w:rPr>
        <w:t>, dla roku wypadku (</w:t>
      </w:r>
      <w:r w:rsidR="00BF0E4C" w:rsidRPr="00285CC9">
        <w:rPr>
          <w:rFonts w:ascii="Source Sans Pro" w:hAnsi="Source Sans Pro" w:cs="Tahoma"/>
          <w:i/>
          <w:sz w:val="20"/>
          <w:szCs w:val="20"/>
        </w:rPr>
        <w:t>i)</w:t>
      </w:r>
      <w:r w:rsidR="00BF0E4C" w:rsidRPr="00285CC9">
        <w:rPr>
          <w:rFonts w:ascii="Source Sans Pro" w:hAnsi="Source Sans Pro" w:cs="Tahoma"/>
          <w:sz w:val="20"/>
          <w:szCs w:val="20"/>
        </w:rPr>
        <w:t xml:space="preserve"> oraz każdego produktu (</w:t>
      </w:r>
      <w:r w:rsidR="00BF0E4C" w:rsidRPr="00285CC9">
        <w:rPr>
          <w:rFonts w:ascii="Source Sans Pro" w:hAnsi="Source Sans Pro" w:cs="Tahoma"/>
          <w:i/>
          <w:sz w:val="20"/>
          <w:szCs w:val="20"/>
        </w:rPr>
        <w:t>z</w:t>
      </w:r>
      <w:r w:rsidR="00BF0E4C" w:rsidRPr="00285CC9">
        <w:rPr>
          <w:rFonts w:ascii="Source Sans Pro" w:hAnsi="Source Sans Pro" w:cs="Tahoma"/>
          <w:sz w:val="20"/>
          <w:szCs w:val="20"/>
        </w:rPr>
        <w:t>)</w:t>
      </w:r>
      <w:r w:rsidR="000E07F0">
        <w:t xml:space="preserve">, </w:t>
      </w:r>
      <w:r w:rsidR="00BF0E4C">
        <w:t xml:space="preserve">z udziałem </w:t>
      </w:r>
      <w:r w:rsidR="000E07F0">
        <w:t>wysokości rezerw szkodowych oraz bezpośrednich kosztów likwidacji szkód, zgodnie ze wzorem:</w:t>
      </w:r>
    </w:p>
    <w:p w14:paraId="4F4B6A33" w14:textId="1E4047DB" w:rsidR="000E07F0" w:rsidRDefault="000E07F0" w:rsidP="000E07F0">
      <w:pPr>
        <w:rPr>
          <w:rFonts w:ascii="Source Sans Pro" w:hAnsi="Source Sans Pro" w:cs="Tahoma"/>
          <w:sz w:val="20"/>
          <w:szCs w:val="20"/>
        </w:rPr>
      </w:pPr>
      <w:r w:rsidRPr="00285CC9">
        <w:rPr>
          <w:rFonts w:ascii="Source Sans Pro" w:hAnsi="Source Sans Pro" w:cs="Tahoma"/>
          <w:position w:val="-10"/>
          <w:sz w:val="20"/>
          <w:szCs w:val="20"/>
        </w:rPr>
        <w:object w:dxaOrig="9380" w:dyaOrig="360" w14:anchorId="1B360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pt;height:18pt" o:ole="">
            <v:imagedata r:id="rId8" o:title=""/>
          </v:shape>
          <o:OLEObject Type="Embed" ProgID="Equation.3" ShapeID="_x0000_i1025" DrawAspect="Content" ObjectID="_1787396079" r:id="rId9"/>
        </w:object>
      </w:r>
    </w:p>
    <w:p w14:paraId="23115030" w14:textId="35FD6271" w:rsidR="000E07F0" w:rsidRDefault="000E07F0" w:rsidP="000E07F0">
      <w:pPr>
        <w:rPr>
          <w:rFonts w:ascii="Source Sans Pro" w:hAnsi="Source Sans Pro" w:cs="Tahoma"/>
          <w:sz w:val="20"/>
          <w:szCs w:val="20"/>
        </w:rPr>
      </w:pPr>
      <w:r>
        <w:rPr>
          <w:rFonts w:ascii="Source Sans Pro" w:hAnsi="Source Sans Pro" w:cs="Tahoma"/>
          <w:sz w:val="20"/>
          <w:szCs w:val="20"/>
        </w:rPr>
        <w:t>gdzie:</w:t>
      </w:r>
    </w:p>
    <w:p w14:paraId="729546AA" w14:textId="77777777" w:rsidR="000E07F0" w:rsidRPr="00285CC9" w:rsidRDefault="000E07F0" w:rsidP="000E07F0">
      <w:pPr>
        <w:pStyle w:val="BodySingle"/>
        <w:ind w:left="709" w:hanging="709"/>
        <w:jc w:val="both"/>
        <w:rPr>
          <w:rFonts w:ascii="Source Sans Pro" w:hAnsi="Source Sans Pro" w:cs="Tahoma"/>
          <w:i/>
          <w:sz w:val="20"/>
          <w:lang w:val="pl-PL"/>
        </w:rPr>
      </w:pPr>
      <w:proofErr w:type="spellStart"/>
      <w:r w:rsidRPr="00285CC9">
        <w:rPr>
          <w:rFonts w:ascii="Source Sans Pro" w:hAnsi="Source Sans Pro" w:cs="Tahoma"/>
          <w:i/>
          <w:sz w:val="20"/>
          <w:lang w:val="pl-PL"/>
        </w:rPr>
        <w:t>IR</w:t>
      </w:r>
      <w:r w:rsidRPr="00285CC9">
        <w:rPr>
          <w:rFonts w:ascii="Source Sans Pro" w:hAnsi="Source Sans Pro" w:cs="Tahoma"/>
          <w:i/>
          <w:sz w:val="20"/>
          <w:vertAlign w:val="subscript"/>
          <w:lang w:val="pl-PL"/>
        </w:rPr>
        <w:t>i</w:t>
      </w:r>
      <w:r w:rsidRPr="00285CC9">
        <w:rPr>
          <w:rFonts w:ascii="Source Sans Pro" w:hAnsi="Source Sans Pro" w:cs="Tahoma"/>
          <w:i/>
          <w:sz w:val="20"/>
          <w:vertAlign w:val="superscript"/>
          <w:lang w:val="pl-PL"/>
        </w:rPr>
        <w:t>z</w:t>
      </w:r>
      <w:proofErr w:type="spellEnd"/>
      <w:r w:rsidRPr="00285CC9">
        <w:rPr>
          <w:rFonts w:ascii="Source Sans Pro" w:hAnsi="Source Sans Pro" w:cs="Tahoma"/>
          <w:sz w:val="20"/>
          <w:lang w:val="pl-PL"/>
        </w:rPr>
        <w:t xml:space="preserve"> - rezerwa na nie wypłacone odszkodowania i świadczenia za szkody i wypadki zaistniałe i zgłoszone</w:t>
      </w:r>
      <w:r w:rsidRPr="00285CC9">
        <w:rPr>
          <w:rFonts w:ascii="Source Sans Pro" w:hAnsi="Source Sans Pro" w:cs="Tahoma"/>
          <w:i/>
          <w:sz w:val="20"/>
          <w:lang w:val="pl-PL"/>
        </w:rPr>
        <w:t>,</w:t>
      </w:r>
    </w:p>
    <w:p w14:paraId="7BDE46C6" w14:textId="77777777" w:rsidR="000E07F0" w:rsidRPr="00285CC9" w:rsidRDefault="000E07F0" w:rsidP="000E07F0">
      <w:pPr>
        <w:pStyle w:val="BodySingle"/>
        <w:ind w:left="709" w:hanging="709"/>
        <w:jc w:val="both"/>
        <w:rPr>
          <w:rFonts w:ascii="Source Sans Pro" w:hAnsi="Source Sans Pro" w:cs="Tahoma"/>
          <w:i/>
          <w:sz w:val="20"/>
          <w:lang w:val="pl-PL"/>
        </w:rPr>
      </w:pPr>
      <w:proofErr w:type="spellStart"/>
      <w:r w:rsidRPr="00285CC9">
        <w:rPr>
          <w:rFonts w:ascii="Source Sans Pro" w:hAnsi="Source Sans Pro" w:cs="Tahoma"/>
          <w:i/>
          <w:sz w:val="20"/>
          <w:lang w:val="pl-PL"/>
        </w:rPr>
        <w:t>IBNR</w:t>
      </w:r>
      <w:r w:rsidRPr="00285CC9">
        <w:rPr>
          <w:rFonts w:ascii="Source Sans Pro" w:hAnsi="Source Sans Pro" w:cs="Tahoma"/>
          <w:i/>
          <w:sz w:val="20"/>
          <w:vertAlign w:val="subscript"/>
          <w:lang w:val="pl-PL"/>
        </w:rPr>
        <w:t>i</w:t>
      </w:r>
      <w:r w:rsidRPr="00285CC9">
        <w:rPr>
          <w:rFonts w:ascii="Source Sans Pro" w:hAnsi="Source Sans Pro" w:cs="Tahoma"/>
          <w:i/>
          <w:sz w:val="20"/>
          <w:vertAlign w:val="superscript"/>
          <w:lang w:val="pl-PL"/>
        </w:rPr>
        <w:t>z</w:t>
      </w:r>
      <w:proofErr w:type="spellEnd"/>
      <w:r w:rsidRPr="00285CC9">
        <w:rPr>
          <w:rFonts w:ascii="Source Sans Pro" w:hAnsi="Source Sans Pro" w:cs="Tahoma"/>
          <w:sz w:val="20"/>
          <w:lang w:val="pl-PL"/>
        </w:rPr>
        <w:t xml:space="preserve"> - rezerwa na szkody i wypadki zaistniałe i nie zgłoszone</w:t>
      </w:r>
      <w:r w:rsidRPr="00285CC9">
        <w:rPr>
          <w:rFonts w:ascii="Source Sans Pro" w:hAnsi="Source Sans Pro" w:cs="Tahoma"/>
          <w:i/>
          <w:sz w:val="20"/>
          <w:lang w:val="pl-PL"/>
        </w:rPr>
        <w:t>,</w:t>
      </w:r>
    </w:p>
    <w:p w14:paraId="2357D5A6" w14:textId="77777777" w:rsidR="000E07F0" w:rsidRPr="00285CC9" w:rsidRDefault="000E07F0" w:rsidP="000E07F0">
      <w:pPr>
        <w:pStyle w:val="BodySingle"/>
        <w:ind w:left="709" w:hanging="709"/>
        <w:jc w:val="both"/>
        <w:rPr>
          <w:rFonts w:ascii="Source Sans Pro" w:hAnsi="Source Sans Pro" w:cs="Tahoma"/>
          <w:sz w:val="20"/>
          <w:lang w:val="pl-PL"/>
        </w:rPr>
      </w:pPr>
      <w:proofErr w:type="spellStart"/>
      <w:r w:rsidRPr="00285CC9">
        <w:rPr>
          <w:rFonts w:ascii="Source Sans Pro" w:hAnsi="Source Sans Pro" w:cs="Tahoma"/>
          <w:i/>
          <w:sz w:val="20"/>
          <w:lang w:val="pl-PL"/>
        </w:rPr>
        <w:t>A_IR</w:t>
      </w:r>
      <w:r w:rsidRPr="00285CC9">
        <w:rPr>
          <w:rFonts w:ascii="Source Sans Pro" w:hAnsi="Source Sans Pro" w:cs="Tahoma"/>
          <w:i/>
          <w:sz w:val="20"/>
          <w:vertAlign w:val="subscript"/>
          <w:lang w:val="pl-PL"/>
        </w:rPr>
        <w:t>i</w:t>
      </w:r>
      <w:r w:rsidRPr="00285CC9">
        <w:rPr>
          <w:rFonts w:ascii="Source Sans Pro" w:hAnsi="Source Sans Pro" w:cs="Tahoma"/>
          <w:i/>
          <w:sz w:val="20"/>
          <w:vertAlign w:val="superscript"/>
          <w:lang w:val="pl-PL"/>
        </w:rPr>
        <w:t>z</w:t>
      </w:r>
      <w:proofErr w:type="spellEnd"/>
      <w:r w:rsidRPr="00285CC9">
        <w:rPr>
          <w:rFonts w:ascii="Source Sans Pro" w:hAnsi="Source Sans Pro" w:cs="Tahoma"/>
          <w:sz w:val="20"/>
          <w:lang w:val="pl-PL"/>
        </w:rPr>
        <w:t xml:space="preserve"> - rezerwa na bezpośrednie koszty likwidacji szkód z wypadków zaistniałych i zgłoszonych,</w:t>
      </w:r>
    </w:p>
    <w:p w14:paraId="7BD5828C" w14:textId="77777777" w:rsidR="000E07F0" w:rsidRPr="00285CC9" w:rsidRDefault="000E07F0" w:rsidP="000E07F0">
      <w:pPr>
        <w:pStyle w:val="BodySingle"/>
        <w:ind w:left="709" w:hanging="709"/>
        <w:jc w:val="both"/>
        <w:rPr>
          <w:rFonts w:ascii="Source Sans Pro" w:hAnsi="Source Sans Pro" w:cs="Tahoma"/>
          <w:sz w:val="20"/>
          <w:lang w:val="pl-PL"/>
        </w:rPr>
      </w:pPr>
      <w:proofErr w:type="spellStart"/>
      <w:r w:rsidRPr="00285CC9">
        <w:rPr>
          <w:rFonts w:ascii="Source Sans Pro" w:hAnsi="Source Sans Pro" w:cs="Tahoma"/>
          <w:i/>
          <w:sz w:val="20"/>
          <w:lang w:val="pl-PL"/>
        </w:rPr>
        <w:t>A_IBNR</w:t>
      </w:r>
      <w:r w:rsidRPr="00285CC9">
        <w:rPr>
          <w:rFonts w:ascii="Source Sans Pro" w:hAnsi="Source Sans Pro" w:cs="Tahoma"/>
          <w:i/>
          <w:sz w:val="20"/>
          <w:vertAlign w:val="subscript"/>
          <w:lang w:val="pl-PL"/>
        </w:rPr>
        <w:t>i</w:t>
      </w:r>
      <w:r w:rsidRPr="00285CC9">
        <w:rPr>
          <w:rFonts w:ascii="Source Sans Pro" w:hAnsi="Source Sans Pro" w:cs="Tahoma"/>
          <w:i/>
          <w:sz w:val="20"/>
          <w:vertAlign w:val="superscript"/>
          <w:lang w:val="pl-PL"/>
        </w:rPr>
        <w:t>z</w:t>
      </w:r>
      <w:proofErr w:type="spellEnd"/>
      <w:r w:rsidRPr="00285CC9">
        <w:rPr>
          <w:rFonts w:ascii="Source Sans Pro" w:hAnsi="Source Sans Pro" w:cs="Tahoma"/>
          <w:i/>
          <w:sz w:val="20"/>
          <w:vertAlign w:val="superscript"/>
          <w:lang w:val="pl-PL"/>
        </w:rPr>
        <w:t xml:space="preserve"> </w:t>
      </w:r>
      <w:r w:rsidRPr="00285CC9">
        <w:rPr>
          <w:rFonts w:ascii="Source Sans Pro" w:hAnsi="Source Sans Pro" w:cs="Tahoma"/>
          <w:sz w:val="20"/>
          <w:lang w:val="pl-PL"/>
        </w:rPr>
        <w:t>- rezerwa na bezpośrednie koszty likwidacji szkód z wypadków zaistniałych i nie zgłoszonych,</w:t>
      </w:r>
    </w:p>
    <w:p w14:paraId="5D7923D1" w14:textId="77777777" w:rsidR="000E07F0" w:rsidRPr="00285CC9" w:rsidRDefault="000E07F0" w:rsidP="000E07F0">
      <w:pPr>
        <w:pStyle w:val="BodySingle"/>
        <w:ind w:left="709" w:hanging="709"/>
        <w:jc w:val="both"/>
        <w:rPr>
          <w:rFonts w:ascii="Source Sans Pro" w:hAnsi="Source Sans Pro" w:cs="Tahoma"/>
          <w:sz w:val="20"/>
          <w:lang w:val="pl-PL"/>
        </w:rPr>
      </w:pPr>
      <w:r w:rsidRPr="00285CC9">
        <w:rPr>
          <w:rFonts w:ascii="Source Sans Pro" w:hAnsi="Source Sans Pro" w:cs="Tahoma"/>
          <w:i/>
          <w:sz w:val="20"/>
        </w:rPr>
        <w:t>z = p</w:t>
      </w:r>
      <w:r w:rsidRPr="00285CC9">
        <w:rPr>
          <w:rFonts w:ascii="Source Sans Pro" w:hAnsi="Source Sans Pro" w:cs="Tahoma"/>
          <w:sz w:val="20"/>
        </w:rPr>
        <w:t xml:space="preserve"> dla produktu oraz </w:t>
      </w:r>
      <w:r w:rsidRPr="00285CC9">
        <w:rPr>
          <w:rFonts w:ascii="Source Sans Pro" w:hAnsi="Source Sans Pro" w:cs="Tahoma"/>
          <w:i/>
          <w:sz w:val="20"/>
        </w:rPr>
        <w:t>z = g</w:t>
      </w:r>
      <w:r w:rsidRPr="00285CC9">
        <w:rPr>
          <w:rFonts w:ascii="Source Sans Pro" w:hAnsi="Source Sans Pro" w:cs="Tahoma"/>
          <w:sz w:val="20"/>
        </w:rPr>
        <w:t xml:space="preserve"> dla grupy,</w:t>
      </w:r>
    </w:p>
    <w:p w14:paraId="0B5FF5A6" w14:textId="6DF75647" w:rsidR="000E07F0" w:rsidRDefault="000E07F0" w:rsidP="000E07F0">
      <w:pPr>
        <w:jc w:val="both"/>
        <w:rPr>
          <w:rFonts w:ascii="Source Sans Pro" w:hAnsi="Source Sans Pro" w:cs="Tahoma"/>
          <w:sz w:val="20"/>
          <w:szCs w:val="20"/>
        </w:rPr>
      </w:pPr>
      <w:r w:rsidRPr="00285CC9">
        <w:rPr>
          <w:rFonts w:ascii="Source Sans Pro" w:hAnsi="Source Sans Pro" w:cs="Tahoma"/>
          <w:i/>
          <w:sz w:val="20"/>
          <w:szCs w:val="20"/>
        </w:rPr>
        <w:t>u</w:t>
      </w:r>
      <w:r w:rsidRPr="00285CC9">
        <w:rPr>
          <w:rFonts w:ascii="Source Sans Pro" w:hAnsi="Source Sans Pro" w:cs="Tahoma"/>
          <w:sz w:val="20"/>
          <w:szCs w:val="20"/>
        </w:rPr>
        <w:t xml:space="preserve"> = 50%.</w:t>
      </w:r>
    </w:p>
    <w:p w14:paraId="0A6270AB" w14:textId="435D1180" w:rsidR="00CF4B1E" w:rsidRDefault="00CF4B1E" w:rsidP="00CF4B1E">
      <w:pPr>
        <w:jc w:val="both"/>
        <w:rPr>
          <w:rFonts w:ascii="Source Sans Pro" w:hAnsi="Source Sans Pro" w:cs="Tahoma"/>
          <w:sz w:val="20"/>
          <w:szCs w:val="20"/>
        </w:rPr>
      </w:pPr>
      <w:r>
        <w:t>W</w:t>
      </w:r>
      <w:r>
        <w:t xml:space="preserve"> celu ustalenia wielkości współczynnik</w:t>
      </w:r>
      <w:r>
        <w:t>a</w:t>
      </w:r>
      <w:r>
        <w:t xml:space="preserve"> </w:t>
      </w:r>
      <w:r>
        <w:t xml:space="preserve">w </w:t>
      </w:r>
      <w:r>
        <w:t>zakład ubezpieczeń winien dokonać podziału portfela ubezpieczeń na dwie kategorie,</w:t>
      </w:r>
      <w:r w:rsidRPr="00285CC9">
        <w:rPr>
          <w:rFonts w:ascii="Source Sans Pro" w:hAnsi="Source Sans Pro" w:cs="Tahoma"/>
          <w:sz w:val="20"/>
          <w:szCs w:val="20"/>
        </w:rPr>
        <w:t xml:space="preserve"> w zależności od wielkości wypłaconych odszkodowań oraz poniesionych kosztów likwidacji szkód w ciągu ostatnich trzech lat:</w:t>
      </w:r>
    </w:p>
    <w:p w14:paraId="64753C88" w14:textId="461C4A28" w:rsidR="00CF4B1E" w:rsidRPr="008E5F19" w:rsidRDefault="008E5F19" w:rsidP="00CF4B1E">
      <w:pPr>
        <w:pStyle w:val="Akapitzlist"/>
        <w:numPr>
          <w:ilvl w:val="0"/>
          <w:numId w:val="14"/>
        </w:numPr>
        <w:jc w:val="both"/>
        <w:rPr>
          <w:rFonts w:ascii="Source Sans Pro" w:hAnsi="Source Sans Pro" w:cs="Tahoma"/>
          <w:sz w:val="20"/>
          <w:szCs w:val="20"/>
        </w:rPr>
      </w:pPr>
      <w:r>
        <w:t xml:space="preserve">kategoria 1: </w:t>
      </w:r>
      <w:r>
        <w:t>suma wypłaconych odszkodowań oraz poniesionych kosztów likwidacji</w:t>
      </w:r>
      <w:r>
        <w:t xml:space="preserve"> większa bądź równa 10 mln a pośrednie koszty likwidacji większe bądź równe od 1 mln.</w:t>
      </w:r>
    </w:p>
    <w:p w14:paraId="05A8117B" w14:textId="324F4F8C" w:rsidR="008E5F19" w:rsidRPr="00CF4B1E" w:rsidRDefault="008E5F19" w:rsidP="00CF4B1E">
      <w:pPr>
        <w:pStyle w:val="Akapitzlist"/>
        <w:numPr>
          <w:ilvl w:val="0"/>
          <w:numId w:val="14"/>
        </w:numPr>
        <w:jc w:val="both"/>
        <w:rPr>
          <w:rFonts w:ascii="Source Sans Pro" w:hAnsi="Source Sans Pro" w:cs="Tahoma"/>
          <w:sz w:val="20"/>
          <w:szCs w:val="20"/>
        </w:rPr>
      </w:pPr>
      <w:r>
        <w:rPr>
          <w:rFonts w:ascii="Source Sans Pro" w:hAnsi="Source Sans Pro" w:cs="Tahoma"/>
          <w:sz w:val="20"/>
          <w:szCs w:val="20"/>
        </w:rPr>
        <w:t>kategoria 2: pozostałe przypadki</w:t>
      </w:r>
    </w:p>
    <w:p w14:paraId="7E5D75FE" w14:textId="0DC496F8" w:rsidR="00CF4B1E" w:rsidRDefault="00CF4B1E" w:rsidP="00CF4B1E">
      <w:pPr>
        <w:jc w:val="both"/>
        <w:rPr>
          <w:rFonts w:ascii="Source Sans Pro" w:hAnsi="Source Sans Pro" w:cs="Tahoma"/>
          <w:sz w:val="20"/>
          <w:szCs w:val="20"/>
        </w:rPr>
      </w:pPr>
      <w:r w:rsidRPr="003405E6">
        <w:rPr>
          <w:rFonts w:ascii="Source Sans Pro" w:hAnsi="Source Sans Pro" w:cs="Tahoma"/>
          <w:color w:val="FF0000"/>
          <w:sz w:val="20"/>
          <w:szCs w:val="20"/>
        </w:rPr>
        <w:lastRenderedPageBreak/>
        <w:t xml:space="preserve">Następnie produkty należące do kategorii </w:t>
      </w:r>
      <w:r w:rsidR="004669BF" w:rsidRPr="003405E6">
        <w:rPr>
          <w:rFonts w:ascii="Source Sans Pro" w:hAnsi="Source Sans Pro" w:cs="Tahoma"/>
          <w:color w:val="FF0000"/>
          <w:sz w:val="20"/>
          <w:szCs w:val="20"/>
        </w:rPr>
        <w:t>2</w:t>
      </w:r>
      <w:r w:rsidRPr="003405E6">
        <w:rPr>
          <w:rFonts w:ascii="Source Sans Pro" w:hAnsi="Source Sans Pro" w:cs="Tahoma"/>
          <w:color w:val="FF0000"/>
          <w:sz w:val="20"/>
          <w:szCs w:val="20"/>
        </w:rPr>
        <w:t xml:space="preserve"> zostały pogrupowane według przynależności do odpowiednich jednorodnych grup ryzyka. </w:t>
      </w:r>
      <w:r w:rsidRPr="00285CC9">
        <w:rPr>
          <w:rFonts w:ascii="Source Sans Pro" w:hAnsi="Source Sans Pro" w:cs="Tahoma"/>
          <w:sz w:val="20"/>
          <w:szCs w:val="20"/>
        </w:rPr>
        <w:t>Dla tak dokonanego podziału portfela zostały policzone następujące wskaźniki dla każdego z trzech ostatnich lat bilansowych, w podziale na produkty (</w:t>
      </w:r>
      <w:r w:rsidRPr="00285CC9">
        <w:rPr>
          <w:rFonts w:ascii="Source Sans Pro" w:hAnsi="Source Sans Pro" w:cs="Tahoma"/>
          <w:i/>
          <w:sz w:val="20"/>
          <w:szCs w:val="20"/>
        </w:rPr>
        <w:t>p</w:t>
      </w:r>
      <w:r w:rsidRPr="00285CC9">
        <w:rPr>
          <w:rFonts w:ascii="Source Sans Pro" w:hAnsi="Source Sans Pro" w:cs="Tahoma"/>
          <w:sz w:val="20"/>
          <w:szCs w:val="20"/>
        </w:rPr>
        <w:t>) oraz grupy (</w:t>
      </w:r>
      <w:r w:rsidRPr="00285CC9">
        <w:rPr>
          <w:rFonts w:ascii="Source Sans Pro" w:hAnsi="Source Sans Pro" w:cs="Tahoma"/>
          <w:i/>
          <w:sz w:val="20"/>
          <w:szCs w:val="20"/>
        </w:rPr>
        <w:t>g</w:t>
      </w:r>
      <w:r w:rsidRPr="00285CC9">
        <w:rPr>
          <w:rFonts w:ascii="Source Sans Pro" w:hAnsi="Source Sans Pro" w:cs="Tahoma"/>
          <w:sz w:val="20"/>
          <w:szCs w:val="20"/>
        </w:rPr>
        <w:t>):</w:t>
      </w:r>
    </w:p>
    <w:p w14:paraId="49E053DA" w14:textId="1520430D" w:rsidR="004669BF" w:rsidRDefault="004669BF" w:rsidP="00CF4B1E">
      <w:pPr>
        <w:jc w:val="both"/>
        <w:rPr>
          <w:rFonts w:ascii="Source Sans Pro" w:hAnsi="Source Sans Pro" w:cs="Tahoma"/>
          <w:sz w:val="20"/>
          <w:szCs w:val="20"/>
        </w:rPr>
      </w:pPr>
      <w:r w:rsidRPr="00285CC9">
        <w:rPr>
          <w:rFonts w:ascii="Source Sans Pro" w:hAnsi="Source Sans Pro" w:cs="Tahoma"/>
          <w:position w:val="-30"/>
          <w:sz w:val="20"/>
          <w:szCs w:val="20"/>
        </w:rPr>
        <w:object w:dxaOrig="2220" w:dyaOrig="720" w14:anchorId="66D1450B">
          <v:shape id="_x0000_i1038" type="#_x0000_t75" style="width:111pt;height:37pt" o:ole="">
            <v:imagedata r:id="rId10" o:title=""/>
          </v:shape>
          <o:OLEObject Type="Embed" ProgID="Equation.3" ShapeID="_x0000_i1038" DrawAspect="Content" ObjectID="_1787396080" r:id="rId11"/>
        </w:object>
      </w:r>
    </w:p>
    <w:p w14:paraId="11B90CF0" w14:textId="1398DBA6" w:rsidR="004669BF" w:rsidRDefault="004669BF" w:rsidP="004669BF">
      <w:pPr>
        <w:pStyle w:val="Bezodstpw"/>
      </w:pPr>
      <w:r>
        <w:t>gdzie:</w:t>
      </w:r>
    </w:p>
    <w:p w14:paraId="6A2F3DE7" w14:textId="4139A739" w:rsidR="004669BF" w:rsidRDefault="004669BF" w:rsidP="004669BF">
      <w:pPr>
        <w:pStyle w:val="Bezodstpw"/>
        <w:rPr>
          <w:i/>
        </w:rPr>
      </w:pPr>
      <w:proofErr w:type="spellStart"/>
      <w:r w:rsidRPr="00285CC9">
        <w:rPr>
          <w:i/>
        </w:rPr>
        <w:t>OW</w:t>
      </w:r>
      <w:r w:rsidRPr="00285CC9">
        <w:rPr>
          <w:i/>
          <w:vertAlign w:val="subscript"/>
        </w:rPr>
        <w:t>k</w:t>
      </w:r>
      <w:r w:rsidRPr="00285CC9">
        <w:rPr>
          <w:i/>
          <w:vertAlign w:val="superscript"/>
        </w:rPr>
        <w:t>z</w:t>
      </w:r>
      <w:proofErr w:type="spellEnd"/>
      <w:r w:rsidRPr="00285CC9">
        <w:t xml:space="preserve"> – odszkodowania wypłacone w roku (</w:t>
      </w:r>
      <w:r w:rsidRPr="00285CC9">
        <w:rPr>
          <w:i/>
        </w:rPr>
        <w:t>k)</w:t>
      </w:r>
      <w:r w:rsidRPr="00285CC9">
        <w:t xml:space="preserve"> dla produktu/grupy (</w:t>
      </w:r>
      <w:r w:rsidRPr="00285CC9">
        <w:rPr>
          <w:i/>
        </w:rPr>
        <w:t>z),</w:t>
      </w:r>
    </w:p>
    <w:p w14:paraId="30E43F46" w14:textId="77777777" w:rsidR="004669BF" w:rsidRPr="00285CC9" w:rsidRDefault="004669BF" w:rsidP="004669BF">
      <w:pPr>
        <w:pStyle w:val="Bezodstpw"/>
        <w:rPr>
          <w:i/>
        </w:rPr>
      </w:pPr>
      <w:proofErr w:type="spellStart"/>
      <w:r w:rsidRPr="00285CC9">
        <w:rPr>
          <w:i/>
        </w:rPr>
        <w:t>BKLS</w:t>
      </w:r>
      <w:r w:rsidRPr="00285CC9">
        <w:rPr>
          <w:i/>
          <w:vertAlign w:val="subscript"/>
        </w:rPr>
        <w:t>k</w:t>
      </w:r>
      <w:r w:rsidRPr="00285CC9">
        <w:rPr>
          <w:i/>
          <w:vertAlign w:val="superscript"/>
        </w:rPr>
        <w:t>z</w:t>
      </w:r>
      <w:proofErr w:type="spellEnd"/>
      <w:r w:rsidRPr="00285CC9">
        <w:t xml:space="preserve"> – poniesione bezpośrednie koszty likwidacji szkód w roku (</w:t>
      </w:r>
      <w:r w:rsidRPr="00285CC9">
        <w:rPr>
          <w:i/>
        </w:rPr>
        <w:t>k)</w:t>
      </w:r>
      <w:r w:rsidRPr="00285CC9">
        <w:t xml:space="preserve"> dla produktu/grupy (</w:t>
      </w:r>
      <w:r w:rsidRPr="00285CC9">
        <w:rPr>
          <w:i/>
        </w:rPr>
        <w:t>z</w:t>
      </w:r>
      <w:r w:rsidRPr="00285CC9">
        <w:t>)</w:t>
      </w:r>
      <w:r w:rsidRPr="00285CC9">
        <w:rPr>
          <w:i/>
        </w:rPr>
        <w:t>,</w:t>
      </w:r>
    </w:p>
    <w:p w14:paraId="7573B91A" w14:textId="77777777" w:rsidR="004669BF" w:rsidRPr="00285CC9" w:rsidRDefault="004669BF" w:rsidP="004669BF">
      <w:pPr>
        <w:pStyle w:val="Bezodstpw"/>
        <w:rPr>
          <w:i/>
        </w:rPr>
      </w:pPr>
      <w:proofErr w:type="spellStart"/>
      <w:r w:rsidRPr="00285CC9">
        <w:rPr>
          <w:i/>
        </w:rPr>
        <w:t>PKLS</w:t>
      </w:r>
      <w:r w:rsidRPr="00285CC9">
        <w:rPr>
          <w:i/>
          <w:vertAlign w:val="subscript"/>
        </w:rPr>
        <w:t>k</w:t>
      </w:r>
      <w:r w:rsidRPr="00285CC9">
        <w:rPr>
          <w:i/>
          <w:vertAlign w:val="superscript"/>
        </w:rPr>
        <w:t>z</w:t>
      </w:r>
      <w:proofErr w:type="spellEnd"/>
      <w:r w:rsidRPr="00285CC9">
        <w:t xml:space="preserve"> – poniesione pośrednie koszty likwidacji szkód w roku (</w:t>
      </w:r>
      <w:r w:rsidRPr="00285CC9">
        <w:rPr>
          <w:i/>
        </w:rPr>
        <w:t>k</w:t>
      </w:r>
      <w:r w:rsidRPr="00285CC9">
        <w:t>) dla produktu/grupy (</w:t>
      </w:r>
      <w:r w:rsidRPr="00285CC9">
        <w:rPr>
          <w:i/>
        </w:rPr>
        <w:t>z</w:t>
      </w:r>
      <w:r w:rsidRPr="00285CC9">
        <w:t>)</w:t>
      </w:r>
      <w:r w:rsidRPr="00285CC9">
        <w:rPr>
          <w:i/>
        </w:rPr>
        <w:t>,</w:t>
      </w:r>
    </w:p>
    <w:p w14:paraId="4A26224F" w14:textId="77777777" w:rsidR="004669BF" w:rsidRPr="00285CC9" w:rsidRDefault="004669BF" w:rsidP="004669BF">
      <w:pPr>
        <w:pStyle w:val="Bezodstpw"/>
      </w:pPr>
      <w:r w:rsidRPr="00285CC9">
        <w:rPr>
          <w:i/>
        </w:rPr>
        <w:t>n</w:t>
      </w:r>
      <w:r w:rsidRPr="00285CC9">
        <w:t xml:space="preserve"> – bieżący rok bilansowy,</w:t>
      </w:r>
    </w:p>
    <w:p w14:paraId="33FF0272" w14:textId="77777777" w:rsidR="004669BF" w:rsidRPr="00285CC9" w:rsidRDefault="004669BF" w:rsidP="004669BF">
      <w:pPr>
        <w:pStyle w:val="Bezodstpw"/>
      </w:pPr>
      <w:r w:rsidRPr="00285CC9">
        <w:rPr>
          <w:i/>
        </w:rPr>
        <w:t>k</w:t>
      </w:r>
      <w:r w:rsidRPr="00285CC9">
        <w:t xml:space="preserve"> = </w:t>
      </w:r>
      <w:r w:rsidRPr="00285CC9">
        <w:rPr>
          <w:i/>
        </w:rPr>
        <w:t>n-2</w:t>
      </w:r>
      <w:r w:rsidRPr="00285CC9">
        <w:t xml:space="preserve">, </w:t>
      </w:r>
      <w:r w:rsidRPr="00285CC9">
        <w:rPr>
          <w:i/>
        </w:rPr>
        <w:t>n-1</w:t>
      </w:r>
      <w:r w:rsidRPr="00285CC9">
        <w:t xml:space="preserve">, </w:t>
      </w:r>
      <w:r w:rsidRPr="00285CC9">
        <w:rPr>
          <w:i/>
        </w:rPr>
        <w:t>n</w:t>
      </w:r>
      <w:r w:rsidRPr="00285CC9">
        <w:t>,</w:t>
      </w:r>
    </w:p>
    <w:p w14:paraId="590DAFC5" w14:textId="77777777" w:rsidR="004669BF" w:rsidRPr="00285CC9" w:rsidRDefault="004669BF" w:rsidP="004669BF">
      <w:pPr>
        <w:pStyle w:val="Bezodstpw"/>
      </w:pPr>
      <w:r w:rsidRPr="00285CC9">
        <w:rPr>
          <w:i/>
        </w:rPr>
        <w:t>z</w:t>
      </w:r>
      <w:r w:rsidRPr="00285CC9">
        <w:t xml:space="preserve"> = </w:t>
      </w:r>
      <w:r w:rsidRPr="00285CC9">
        <w:rPr>
          <w:i/>
        </w:rPr>
        <w:t>p</w:t>
      </w:r>
      <w:r w:rsidRPr="00285CC9">
        <w:t xml:space="preserve"> dla produktu oraz</w:t>
      </w:r>
      <w:r w:rsidRPr="00285CC9">
        <w:rPr>
          <w:i/>
        </w:rPr>
        <w:t xml:space="preserve"> z</w:t>
      </w:r>
      <w:r w:rsidRPr="00285CC9">
        <w:t xml:space="preserve"> = </w:t>
      </w:r>
      <w:r w:rsidRPr="00285CC9">
        <w:rPr>
          <w:i/>
        </w:rPr>
        <w:t>g</w:t>
      </w:r>
      <w:r w:rsidRPr="00285CC9">
        <w:t xml:space="preserve"> dla grupy.</w:t>
      </w:r>
    </w:p>
    <w:p w14:paraId="5BD10BCC" w14:textId="6D00C19B" w:rsidR="004669BF" w:rsidRDefault="004669BF" w:rsidP="00CF4B1E">
      <w:pPr>
        <w:jc w:val="both"/>
        <w:rPr>
          <w:rFonts w:ascii="Source Sans Pro" w:hAnsi="Source Sans Pro" w:cs="Tahoma"/>
          <w:iCs/>
          <w:sz w:val="20"/>
          <w:szCs w:val="20"/>
        </w:rPr>
      </w:pPr>
    </w:p>
    <w:p w14:paraId="4D0D0A8E" w14:textId="77777777" w:rsidR="00123F63" w:rsidRPr="00285CC9" w:rsidRDefault="00123F63" w:rsidP="00123F63">
      <w:pPr>
        <w:jc w:val="both"/>
        <w:rPr>
          <w:rFonts w:ascii="Source Sans Pro" w:hAnsi="Source Sans Pro" w:cs="Tahoma"/>
          <w:sz w:val="20"/>
          <w:szCs w:val="20"/>
        </w:rPr>
      </w:pPr>
      <w:r w:rsidRPr="00285CC9">
        <w:rPr>
          <w:rFonts w:ascii="Source Sans Pro" w:hAnsi="Source Sans Pro" w:cs="Tahoma"/>
          <w:sz w:val="20"/>
          <w:szCs w:val="20"/>
        </w:rPr>
        <w:t>W dalszej kolejności policzono średnią ważoną z trzech ostatnich lat wyznaczonych powyższą metodą wskaźników w następujący sposób:</w:t>
      </w:r>
    </w:p>
    <w:p w14:paraId="085ACE85" w14:textId="77777777" w:rsidR="00123F63" w:rsidRPr="004669BF" w:rsidRDefault="00123F63" w:rsidP="00123F63">
      <w:pPr>
        <w:jc w:val="both"/>
        <w:rPr>
          <w:rFonts w:ascii="Source Sans Pro" w:hAnsi="Source Sans Pro" w:cs="Tahoma"/>
          <w:iCs/>
          <w:sz w:val="20"/>
          <w:szCs w:val="20"/>
        </w:rPr>
      </w:pPr>
      <w:r w:rsidRPr="00285CC9">
        <w:rPr>
          <w:rFonts w:ascii="Source Sans Pro" w:hAnsi="Source Sans Pro" w:cs="Tahoma"/>
          <w:position w:val="-62"/>
          <w:sz w:val="20"/>
          <w:szCs w:val="20"/>
        </w:rPr>
        <w:object w:dxaOrig="6200" w:dyaOrig="1359" w14:anchorId="772E7A0C">
          <v:shape id="_x0000_i1045" type="#_x0000_t75" style="width:309.5pt;height:67.5pt" o:ole="">
            <v:imagedata r:id="rId12" o:title=""/>
          </v:shape>
          <o:OLEObject Type="Embed" ProgID="Equation.3" ShapeID="_x0000_i1045" DrawAspect="Content" ObjectID="_1787396081" r:id="rId13"/>
        </w:object>
      </w:r>
    </w:p>
    <w:p w14:paraId="1EB16B22" w14:textId="77777777" w:rsidR="00123F63" w:rsidRPr="00285CC9" w:rsidRDefault="00123F63" w:rsidP="00123F63">
      <w:pPr>
        <w:jc w:val="both"/>
        <w:rPr>
          <w:rFonts w:ascii="Source Sans Pro" w:hAnsi="Source Sans Pro" w:cs="Tahoma"/>
          <w:sz w:val="20"/>
          <w:szCs w:val="20"/>
        </w:rPr>
      </w:pPr>
    </w:p>
    <w:p w14:paraId="1767AE47" w14:textId="77777777" w:rsidR="00123F63" w:rsidRPr="00285CC9" w:rsidRDefault="00123F63" w:rsidP="00123F63">
      <w:pPr>
        <w:jc w:val="both"/>
        <w:rPr>
          <w:rFonts w:ascii="Source Sans Pro" w:hAnsi="Source Sans Pro" w:cs="Tahoma"/>
          <w:sz w:val="20"/>
          <w:szCs w:val="20"/>
        </w:rPr>
      </w:pPr>
      <w:r w:rsidRPr="00285CC9">
        <w:rPr>
          <w:rFonts w:ascii="Source Sans Pro" w:hAnsi="Source Sans Pro" w:cs="Tahoma"/>
          <w:sz w:val="20"/>
          <w:szCs w:val="20"/>
        </w:rPr>
        <w:t xml:space="preserve">gdzie </w:t>
      </w:r>
      <w:r w:rsidRPr="00285CC9">
        <w:rPr>
          <w:rFonts w:ascii="Source Sans Pro" w:hAnsi="Source Sans Pro" w:cs="Tahoma"/>
          <w:i/>
          <w:sz w:val="20"/>
          <w:szCs w:val="20"/>
        </w:rPr>
        <w:t>z = p</w:t>
      </w:r>
      <w:r w:rsidRPr="00285CC9">
        <w:rPr>
          <w:rFonts w:ascii="Source Sans Pro" w:hAnsi="Source Sans Pro" w:cs="Tahoma"/>
          <w:sz w:val="20"/>
          <w:szCs w:val="20"/>
        </w:rPr>
        <w:t xml:space="preserve"> dla produktu oraz </w:t>
      </w:r>
      <w:r w:rsidRPr="00285CC9">
        <w:rPr>
          <w:rFonts w:ascii="Source Sans Pro" w:hAnsi="Source Sans Pro" w:cs="Tahoma"/>
          <w:i/>
          <w:sz w:val="20"/>
          <w:szCs w:val="20"/>
        </w:rPr>
        <w:t>z = g</w:t>
      </w:r>
      <w:r w:rsidRPr="00285CC9">
        <w:rPr>
          <w:rFonts w:ascii="Source Sans Pro" w:hAnsi="Source Sans Pro" w:cs="Tahoma"/>
          <w:sz w:val="20"/>
          <w:szCs w:val="20"/>
        </w:rPr>
        <w:t xml:space="preserve"> dla grupy.</w:t>
      </w:r>
    </w:p>
    <w:p w14:paraId="51103E2F" w14:textId="77777777" w:rsidR="00123F63" w:rsidRDefault="00123F63" w:rsidP="00CF4B1E">
      <w:pPr>
        <w:jc w:val="both"/>
        <w:rPr>
          <w:rFonts w:ascii="Source Sans Pro" w:hAnsi="Source Sans Pro" w:cs="Tahoma"/>
          <w:iCs/>
          <w:sz w:val="20"/>
          <w:szCs w:val="20"/>
        </w:rPr>
      </w:pPr>
    </w:p>
    <w:p w14:paraId="5EDC66FB" w14:textId="2B959C56" w:rsidR="00123F63" w:rsidRDefault="00123F63" w:rsidP="00123F63">
      <w:pPr>
        <w:rPr>
          <w:rFonts w:ascii="Arial" w:hAnsi="Arial" w:cs="Arial"/>
        </w:rPr>
      </w:pPr>
      <w:r w:rsidRPr="00FD37A0">
        <w:rPr>
          <w:rFonts w:ascii="Arial" w:hAnsi="Arial" w:cs="Arial"/>
        </w:rPr>
        <w:t>Przyjęto 3 lata żeby złagodzić często istotne wahania współczynnika kosztów pośrednich. Nie była prowadzona analiza wrażliwości na długość okresu na podstawie którego jest wyznaczany współczynnik.</w:t>
      </w:r>
      <w:r>
        <w:rPr>
          <w:rFonts w:ascii="Arial" w:hAnsi="Arial" w:cs="Arial"/>
        </w:rPr>
        <w:t xml:space="preserve"> </w:t>
      </w:r>
      <w:r w:rsidRPr="00FD37A0">
        <w:rPr>
          <w:rFonts w:ascii="Arial" w:hAnsi="Arial" w:cs="Arial"/>
        </w:rPr>
        <w:t>Progi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Kategoria1</w:t>
      </w:r>
      <w:r>
        <w:rPr>
          <w:rFonts w:ascii="Arial" w:hAnsi="Arial" w:cs="Arial"/>
        </w:rPr>
        <w:t xml:space="preserve"> i </w:t>
      </w:r>
      <w:r>
        <w:rPr>
          <w:rFonts w:ascii="Arial" w:hAnsi="Arial" w:cs="Arial"/>
        </w:rPr>
        <w:t>kategoria2</w:t>
      </w:r>
      <w:r w:rsidRPr="00FD37A0">
        <w:rPr>
          <w:rFonts w:ascii="Arial" w:hAnsi="Arial" w:cs="Arial"/>
        </w:rPr>
        <w:t xml:space="preserve"> przyjęto tak by z jednej strony potraktować indywidualnie produkty, które są wystarczająco istotne na tle portfela, a z drugiej strony przyjąć wartości uśrednione dla produktów małych charakteryzujących się dużą nieregularnością. Progi przyjęto proporcjonalnie do skali portfela. 10 mln to niecałe 0,2% jeśli chodzi o sumę odszkodowań i kosztów likwidacji szkód, 100 tys. to 0,02% pośrednich kosztów likwidacji w ciągu roku. Takie progi nie powinny istotnie wpłynąć na wyniki obliczeń.</w:t>
      </w:r>
    </w:p>
    <w:p w14:paraId="53AE16BF" w14:textId="77777777" w:rsidR="00123F63" w:rsidRDefault="00123F63" w:rsidP="00CF4B1E">
      <w:pPr>
        <w:jc w:val="both"/>
        <w:rPr>
          <w:rFonts w:ascii="Source Sans Pro" w:hAnsi="Source Sans Pro" w:cs="Tahoma"/>
          <w:iCs/>
          <w:sz w:val="20"/>
          <w:szCs w:val="20"/>
        </w:rPr>
      </w:pPr>
    </w:p>
    <w:p w14:paraId="5EB998FC" w14:textId="77777777" w:rsidR="008B3FA9" w:rsidRPr="00285CC9" w:rsidRDefault="008B3FA9" w:rsidP="008B3FA9">
      <w:pPr>
        <w:spacing w:after="0" w:line="240" w:lineRule="auto"/>
        <w:jc w:val="both"/>
        <w:rPr>
          <w:rFonts w:ascii="Source Sans Pro" w:hAnsi="Source Sans Pro" w:cs="Tahoma"/>
          <w:sz w:val="20"/>
          <w:szCs w:val="20"/>
        </w:rPr>
      </w:pPr>
      <w:r w:rsidRPr="00285CC9">
        <w:rPr>
          <w:rFonts w:ascii="Source Sans Pro" w:hAnsi="Source Sans Pro" w:cs="Tahoma"/>
          <w:sz w:val="20"/>
          <w:szCs w:val="20"/>
        </w:rPr>
        <w:t xml:space="preserve">Wskaźniki </w:t>
      </w:r>
      <w:proofErr w:type="spellStart"/>
      <w:r w:rsidRPr="00285CC9">
        <w:rPr>
          <w:rFonts w:ascii="Source Sans Pro" w:hAnsi="Source Sans Pro" w:cs="Tahoma"/>
          <w:i/>
          <w:sz w:val="20"/>
          <w:szCs w:val="20"/>
        </w:rPr>
        <w:t>w</w:t>
      </w:r>
      <w:r w:rsidRPr="00285CC9">
        <w:rPr>
          <w:rFonts w:ascii="Source Sans Pro" w:hAnsi="Source Sans Pro" w:cs="Tahoma"/>
          <w:i/>
          <w:sz w:val="20"/>
          <w:szCs w:val="20"/>
          <w:vertAlign w:val="superscript"/>
        </w:rPr>
        <w:t>z</w:t>
      </w:r>
      <w:proofErr w:type="spellEnd"/>
      <w:r w:rsidRPr="00285CC9">
        <w:rPr>
          <w:rFonts w:ascii="Source Sans Pro" w:hAnsi="Source Sans Pro" w:cs="Tahoma"/>
          <w:sz w:val="20"/>
          <w:szCs w:val="20"/>
        </w:rPr>
        <w:t xml:space="preserve"> wyznaczane są na koniec każdego roku bilansowego i obowiązują w trakcie całego roku kalendarzowego następującego po dacie bilansowej.</w:t>
      </w:r>
      <w:r>
        <w:rPr>
          <w:rFonts w:ascii="Source Sans Pro" w:hAnsi="Source Sans Pro" w:cs="Tahoma"/>
          <w:sz w:val="20"/>
          <w:szCs w:val="20"/>
        </w:rPr>
        <w:t xml:space="preserve"> </w:t>
      </w:r>
      <w:r w:rsidRPr="00285CC9">
        <w:rPr>
          <w:rFonts w:ascii="Source Sans Pro" w:hAnsi="Source Sans Pro" w:cs="Tahoma"/>
          <w:sz w:val="20"/>
          <w:szCs w:val="20"/>
        </w:rPr>
        <w:t xml:space="preserve">Dla produktów wchodzących w życie po dacie bilansowej przyjmuje się, że </w:t>
      </w:r>
      <w:proofErr w:type="spellStart"/>
      <w:r w:rsidRPr="00285CC9">
        <w:rPr>
          <w:rFonts w:ascii="Source Sans Pro" w:hAnsi="Source Sans Pro" w:cs="Tahoma"/>
          <w:i/>
          <w:sz w:val="20"/>
          <w:szCs w:val="20"/>
        </w:rPr>
        <w:t>w</w:t>
      </w:r>
      <w:r w:rsidRPr="00285CC9">
        <w:rPr>
          <w:rFonts w:ascii="Source Sans Pro" w:hAnsi="Source Sans Pro" w:cs="Tahoma"/>
          <w:i/>
          <w:sz w:val="20"/>
          <w:szCs w:val="20"/>
          <w:vertAlign w:val="superscript"/>
        </w:rPr>
        <w:t>z</w:t>
      </w:r>
      <w:proofErr w:type="spellEnd"/>
      <w:r w:rsidRPr="00285CC9">
        <w:rPr>
          <w:rFonts w:ascii="Source Sans Pro" w:hAnsi="Source Sans Pro" w:cs="Tahoma"/>
          <w:sz w:val="20"/>
          <w:szCs w:val="20"/>
        </w:rPr>
        <w:t xml:space="preserve"> = </w:t>
      </w:r>
      <w:r w:rsidRPr="00285CC9">
        <w:rPr>
          <w:rFonts w:ascii="Source Sans Pro" w:hAnsi="Source Sans Pro" w:cs="Tahoma"/>
          <w:i/>
          <w:sz w:val="20"/>
          <w:szCs w:val="20"/>
        </w:rPr>
        <w:t>w</w:t>
      </w:r>
      <w:r w:rsidRPr="00285CC9">
        <w:rPr>
          <w:rFonts w:ascii="Source Sans Pro" w:hAnsi="Source Sans Pro" w:cs="Tahoma"/>
          <w:i/>
          <w:sz w:val="20"/>
          <w:szCs w:val="20"/>
          <w:vertAlign w:val="superscript"/>
        </w:rPr>
        <w:t>g</w:t>
      </w:r>
      <w:r w:rsidRPr="00285CC9">
        <w:rPr>
          <w:rFonts w:ascii="Source Sans Pro" w:hAnsi="Source Sans Pro" w:cs="Tahoma"/>
          <w:sz w:val="20"/>
          <w:szCs w:val="20"/>
        </w:rPr>
        <w:t xml:space="preserve"> dla jednorodnej grupy ryzyka, do której dany produkt należy.</w:t>
      </w:r>
    </w:p>
    <w:p w14:paraId="1D32C912" w14:textId="112EF6E2" w:rsidR="008B3FA9" w:rsidRPr="00285CC9" w:rsidRDefault="008B3FA9" w:rsidP="008B3FA9">
      <w:pPr>
        <w:spacing w:after="0" w:line="240" w:lineRule="auto"/>
        <w:jc w:val="both"/>
        <w:rPr>
          <w:rFonts w:ascii="Source Sans Pro" w:hAnsi="Source Sans Pro" w:cs="Tahoma"/>
          <w:sz w:val="20"/>
          <w:szCs w:val="20"/>
        </w:rPr>
      </w:pPr>
    </w:p>
    <w:p w14:paraId="54B65986" w14:textId="13F36217" w:rsidR="000E07F0" w:rsidRDefault="000E07F0" w:rsidP="000E07F0"/>
    <w:p w14:paraId="5B86ABAC" w14:textId="3ABA5D5C" w:rsidR="003C3C3A" w:rsidRPr="009B3C69" w:rsidRDefault="003C3C3A">
      <w:pPr>
        <w:rPr>
          <w:rFonts w:ascii="Arial" w:hAnsi="Arial" w:cs="Arial"/>
        </w:rPr>
      </w:pPr>
    </w:p>
    <w:sectPr w:rsidR="003C3C3A" w:rsidRPr="009B3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476EB" w14:textId="77777777" w:rsidR="00D44AD6" w:rsidRDefault="00D44AD6" w:rsidP="003C3C3A">
      <w:pPr>
        <w:spacing w:after="0" w:line="240" w:lineRule="auto"/>
      </w:pPr>
      <w:r>
        <w:separator/>
      </w:r>
    </w:p>
  </w:endnote>
  <w:endnote w:type="continuationSeparator" w:id="0">
    <w:p w14:paraId="0B44896D" w14:textId="77777777" w:rsidR="00D44AD6" w:rsidRDefault="00D44AD6" w:rsidP="003C3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65AB7" w14:textId="77777777" w:rsidR="00D44AD6" w:rsidRDefault="00D44AD6" w:rsidP="003C3C3A">
      <w:pPr>
        <w:spacing w:after="0" w:line="240" w:lineRule="auto"/>
      </w:pPr>
      <w:r>
        <w:separator/>
      </w:r>
    </w:p>
  </w:footnote>
  <w:footnote w:type="continuationSeparator" w:id="0">
    <w:p w14:paraId="23948F99" w14:textId="77777777" w:rsidR="00D44AD6" w:rsidRDefault="00D44AD6" w:rsidP="003C3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464"/>
    <w:multiLevelType w:val="hybridMultilevel"/>
    <w:tmpl w:val="0A629D26"/>
    <w:lvl w:ilvl="0" w:tplc="BEB4AE46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  <w:b w:val="0"/>
        <w:bCs w:val="0"/>
      </w:rPr>
    </w:lvl>
    <w:lvl w:ilvl="1" w:tplc="0415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1443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163" w:hanging="360"/>
      </w:pPr>
    </w:lvl>
    <w:lvl w:ilvl="4" w:tplc="04150019">
      <w:start w:val="1"/>
      <w:numFmt w:val="lowerLetter"/>
      <w:lvlText w:val="%5."/>
      <w:lvlJc w:val="left"/>
      <w:pPr>
        <w:ind w:left="2883" w:hanging="360"/>
      </w:pPr>
    </w:lvl>
    <w:lvl w:ilvl="5" w:tplc="0415001B">
      <w:start w:val="1"/>
      <w:numFmt w:val="lowerRoman"/>
      <w:lvlText w:val="%6."/>
      <w:lvlJc w:val="right"/>
      <w:pPr>
        <w:ind w:left="3603" w:hanging="180"/>
      </w:pPr>
    </w:lvl>
    <w:lvl w:ilvl="6" w:tplc="0415000F">
      <w:start w:val="1"/>
      <w:numFmt w:val="decimal"/>
      <w:lvlText w:val="%7."/>
      <w:lvlJc w:val="left"/>
      <w:pPr>
        <w:ind w:left="4323" w:hanging="360"/>
      </w:pPr>
    </w:lvl>
    <w:lvl w:ilvl="7" w:tplc="04150019">
      <w:start w:val="1"/>
      <w:numFmt w:val="lowerLetter"/>
      <w:lvlText w:val="%8."/>
      <w:lvlJc w:val="left"/>
      <w:pPr>
        <w:ind w:left="5043" w:hanging="360"/>
      </w:pPr>
    </w:lvl>
    <w:lvl w:ilvl="8" w:tplc="0415001B">
      <w:start w:val="1"/>
      <w:numFmt w:val="lowerRoman"/>
      <w:lvlText w:val="%9."/>
      <w:lvlJc w:val="right"/>
      <w:pPr>
        <w:ind w:left="5763" w:hanging="180"/>
      </w:pPr>
    </w:lvl>
  </w:abstractNum>
  <w:abstractNum w:abstractNumId="1" w15:restartNumberingAfterBreak="0">
    <w:nsid w:val="116B6243"/>
    <w:multiLevelType w:val="hybridMultilevel"/>
    <w:tmpl w:val="34620A7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4D7059AE">
      <w:start w:val="1"/>
      <w:numFmt w:val="lowerRoman"/>
      <w:lvlText w:val="%3."/>
      <w:lvlJc w:val="lef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50374"/>
    <w:multiLevelType w:val="hybridMultilevel"/>
    <w:tmpl w:val="C804CC9E"/>
    <w:lvl w:ilvl="0" w:tplc="B41ACB42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150019">
      <w:start w:val="1"/>
      <w:numFmt w:val="lowerLetter"/>
      <w:lvlText w:val="%2."/>
      <w:lvlJc w:val="left"/>
      <w:pPr>
        <w:ind w:left="723" w:hanging="360"/>
      </w:pPr>
    </w:lvl>
    <w:lvl w:ilvl="2" w:tplc="0415001B">
      <w:start w:val="1"/>
      <w:numFmt w:val="lowerRoman"/>
      <w:lvlText w:val="%3."/>
      <w:lvlJc w:val="right"/>
      <w:pPr>
        <w:ind w:left="1443" w:hanging="180"/>
      </w:pPr>
    </w:lvl>
    <w:lvl w:ilvl="3" w:tplc="0415000F">
      <w:start w:val="1"/>
      <w:numFmt w:val="decimal"/>
      <w:lvlText w:val="%4."/>
      <w:lvlJc w:val="left"/>
      <w:pPr>
        <w:ind w:left="2163" w:hanging="360"/>
      </w:pPr>
    </w:lvl>
    <w:lvl w:ilvl="4" w:tplc="04150019">
      <w:start w:val="1"/>
      <w:numFmt w:val="lowerLetter"/>
      <w:lvlText w:val="%5."/>
      <w:lvlJc w:val="left"/>
      <w:pPr>
        <w:ind w:left="2883" w:hanging="360"/>
      </w:pPr>
    </w:lvl>
    <w:lvl w:ilvl="5" w:tplc="0415001B">
      <w:start w:val="1"/>
      <w:numFmt w:val="lowerRoman"/>
      <w:lvlText w:val="%6."/>
      <w:lvlJc w:val="right"/>
      <w:pPr>
        <w:ind w:left="3603" w:hanging="180"/>
      </w:pPr>
    </w:lvl>
    <w:lvl w:ilvl="6" w:tplc="0415000F">
      <w:start w:val="1"/>
      <w:numFmt w:val="decimal"/>
      <w:lvlText w:val="%7."/>
      <w:lvlJc w:val="left"/>
      <w:pPr>
        <w:ind w:left="4323" w:hanging="360"/>
      </w:pPr>
    </w:lvl>
    <w:lvl w:ilvl="7" w:tplc="04150019">
      <w:start w:val="1"/>
      <w:numFmt w:val="lowerLetter"/>
      <w:lvlText w:val="%8."/>
      <w:lvlJc w:val="left"/>
      <w:pPr>
        <w:ind w:left="5043" w:hanging="360"/>
      </w:pPr>
    </w:lvl>
    <w:lvl w:ilvl="8" w:tplc="0415001B">
      <w:start w:val="1"/>
      <w:numFmt w:val="lowerRoman"/>
      <w:lvlText w:val="%9."/>
      <w:lvlJc w:val="right"/>
      <w:pPr>
        <w:ind w:left="5763" w:hanging="180"/>
      </w:pPr>
    </w:lvl>
  </w:abstractNum>
  <w:abstractNum w:abstractNumId="3" w15:restartNumberingAfterBreak="0">
    <w:nsid w:val="175D0368"/>
    <w:multiLevelType w:val="hybridMultilevel"/>
    <w:tmpl w:val="AC8E6380"/>
    <w:lvl w:ilvl="0" w:tplc="A618704C">
      <w:start w:val="1"/>
      <w:numFmt w:val="lowerRoman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>
      <w:start w:val="1"/>
      <w:numFmt w:val="decimal"/>
      <w:lvlText w:val="%7."/>
      <w:lvlJc w:val="left"/>
      <w:pPr>
        <w:ind w:left="5388" w:hanging="360"/>
      </w:pPr>
    </w:lvl>
    <w:lvl w:ilvl="7" w:tplc="04150019">
      <w:start w:val="1"/>
      <w:numFmt w:val="lowerLetter"/>
      <w:lvlText w:val="%8."/>
      <w:lvlJc w:val="left"/>
      <w:pPr>
        <w:ind w:left="6108" w:hanging="360"/>
      </w:pPr>
    </w:lvl>
    <w:lvl w:ilvl="8" w:tplc="0415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157131"/>
    <w:multiLevelType w:val="hybridMultilevel"/>
    <w:tmpl w:val="AC8E6380"/>
    <w:lvl w:ilvl="0" w:tplc="A618704C">
      <w:start w:val="1"/>
      <w:numFmt w:val="lowerRoman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>
      <w:start w:val="1"/>
      <w:numFmt w:val="decimal"/>
      <w:lvlText w:val="%7."/>
      <w:lvlJc w:val="left"/>
      <w:pPr>
        <w:ind w:left="5388" w:hanging="360"/>
      </w:pPr>
    </w:lvl>
    <w:lvl w:ilvl="7" w:tplc="04150019">
      <w:start w:val="1"/>
      <w:numFmt w:val="lowerLetter"/>
      <w:lvlText w:val="%8."/>
      <w:lvlJc w:val="left"/>
      <w:pPr>
        <w:ind w:left="6108" w:hanging="360"/>
      </w:pPr>
    </w:lvl>
    <w:lvl w:ilvl="8" w:tplc="0415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B516EE"/>
    <w:multiLevelType w:val="hybridMultilevel"/>
    <w:tmpl w:val="55841872"/>
    <w:lvl w:ilvl="0" w:tplc="041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C20252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EA4239"/>
    <w:multiLevelType w:val="hybridMultilevel"/>
    <w:tmpl w:val="9D38F692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>
      <w:start w:val="1"/>
      <w:numFmt w:val="lowerRoman"/>
      <w:lvlText w:val="%3."/>
      <w:lvlJc w:val="right"/>
      <w:pPr>
        <w:ind w:left="2868" w:hanging="180"/>
      </w:pPr>
    </w:lvl>
    <w:lvl w:ilvl="3" w:tplc="0415000F">
      <w:start w:val="1"/>
      <w:numFmt w:val="decimal"/>
      <w:lvlText w:val="%4."/>
      <w:lvlJc w:val="left"/>
      <w:pPr>
        <w:ind w:left="3588" w:hanging="360"/>
      </w:pPr>
    </w:lvl>
    <w:lvl w:ilvl="4" w:tplc="04150019">
      <w:start w:val="1"/>
      <w:numFmt w:val="lowerLetter"/>
      <w:lvlText w:val="%5."/>
      <w:lvlJc w:val="left"/>
      <w:pPr>
        <w:ind w:left="4308" w:hanging="360"/>
      </w:pPr>
    </w:lvl>
    <w:lvl w:ilvl="5" w:tplc="0415001B">
      <w:start w:val="1"/>
      <w:numFmt w:val="lowerRoman"/>
      <w:lvlText w:val="%6."/>
      <w:lvlJc w:val="right"/>
      <w:pPr>
        <w:ind w:left="5028" w:hanging="180"/>
      </w:pPr>
    </w:lvl>
    <w:lvl w:ilvl="6" w:tplc="0415000F">
      <w:start w:val="1"/>
      <w:numFmt w:val="decimal"/>
      <w:lvlText w:val="%7."/>
      <w:lvlJc w:val="left"/>
      <w:pPr>
        <w:ind w:left="5748" w:hanging="360"/>
      </w:pPr>
    </w:lvl>
    <w:lvl w:ilvl="7" w:tplc="04150019">
      <w:start w:val="1"/>
      <w:numFmt w:val="lowerLetter"/>
      <w:lvlText w:val="%8."/>
      <w:lvlJc w:val="left"/>
      <w:pPr>
        <w:ind w:left="6468" w:hanging="360"/>
      </w:pPr>
    </w:lvl>
    <w:lvl w:ilvl="8" w:tplc="0415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AF23C0F"/>
    <w:multiLevelType w:val="hybridMultilevel"/>
    <w:tmpl w:val="AC8E6380"/>
    <w:lvl w:ilvl="0" w:tplc="A618704C">
      <w:start w:val="1"/>
      <w:numFmt w:val="lowerRoman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>
      <w:start w:val="1"/>
      <w:numFmt w:val="decimal"/>
      <w:lvlText w:val="%7."/>
      <w:lvlJc w:val="left"/>
      <w:pPr>
        <w:ind w:left="5388" w:hanging="360"/>
      </w:pPr>
    </w:lvl>
    <w:lvl w:ilvl="7" w:tplc="04150019">
      <w:start w:val="1"/>
      <w:numFmt w:val="lowerLetter"/>
      <w:lvlText w:val="%8."/>
      <w:lvlJc w:val="left"/>
      <w:pPr>
        <w:ind w:left="6108" w:hanging="360"/>
      </w:pPr>
    </w:lvl>
    <w:lvl w:ilvl="8" w:tplc="0415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080993"/>
    <w:multiLevelType w:val="hybridMultilevel"/>
    <w:tmpl w:val="34620A7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4D7059AE">
      <w:start w:val="1"/>
      <w:numFmt w:val="lowerRoman"/>
      <w:lvlText w:val="%3."/>
      <w:lvlJc w:val="lef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F75D37"/>
    <w:multiLevelType w:val="hybridMultilevel"/>
    <w:tmpl w:val="B43CDA90"/>
    <w:lvl w:ilvl="0" w:tplc="8CB22AC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10">
    <w:abstractNumId w:val="8"/>
  </w:num>
  <w:num w:numId="1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0C"/>
    <w:rsid w:val="000E07F0"/>
    <w:rsid w:val="00123F63"/>
    <w:rsid w:val="003405E6"/>
    <w:rsid w:val="003C3C3A"/>
    <w:rsid w:val="004669BF"/>
    <w:rsid w:val="00585B5B"/>
    <w:rsid w:val="0088738B"/>
    <w:rsid w:val="008B3FA9"/>
    <w:rsid w:val="008E5F19"/>
    <w:rsid w:val="009B3C69"/>
    <w:rsid w:val="00BF0E4C"/>
    <w:rsid w:val="00C90C0C"/>
    <w:rsid w:val="00CF4B1E"/>
    <w:rsid w:val="00D44AD6"/>
    <w:rsid w:val="00F0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482B"/>
  <w15:chartTrackingRefBased/>
  <w15:docId w15:val="{854D0EF5-0761-490F-9D42-03E5D98D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aliases w:val="Punktor11 Wiener Znak,Uwagi i opisy Znak,NN_bullet_list_1 Znak,Numbered list Znak,Wypunktowanie Znak,Numerowanie Znak,Akapit z listą4 Znak,Podsis rysunku Znak,T_SZ_List Paragraph Znak,L1 Znak,Akapit z listą5 Znak,BulletC Znak"/>
    <w:basedOn w:val="Domylnaczcionkaakapitu"/>
    <w:link w:val="Akapitzlist"/>
    <w:uiPriority w:val="34"/>
    <w:locked/>
    <w:rsid w:val="00C90C0C"/>
    <w:rPr>
      <w:rFonts w:ascii="Calibri" w:hAnsi="Calibri" w:cs="Calibri"/>
    </w:rPr>
  </w:style>
  <w:style w:type="paragraph" w:styleId="Akapitzlist">
    <w:name w:val="List Paragraph"/>
    <w:aliases w:val="Punktor11 Wiener,Uwagi i opisy,NN_bullet_list_1,Numbered list,Wypunktowanie,Numerowanie,Akapit z listą4,Podsis rysunku,T_SZ_List Paragraph,L1,Akapit z listą5,BulletC,Wyliczanie,Obiekt,normalny tekst,Akapit z listą31,Bullets,List Paragraph"/>
    <w:basedOn w:val="Normalny"/>
    <w:link w:val="AkapitzlistZnak"/>
    <w:uiPriority w:val="34"/>
    <w:qFormat/>
    <w:rsid w:val="00C90C0C"/>
    <w:pPr>
      <w:spacing w:after="0" w:line="252" w:lineRule="auto"/>
      <w:ind w:left="720"/>
      <w:contextualSpacing/>
    </w:pPr>
    <w:rPr>
      <w:rFonts w:ascii="Calibri" w:hAnsi="Calibri" w:cs="Calibri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C3C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C3C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C3C3A"/>
    <w:rPr>
      <w:vertAlign w:val="superscript"/>
    </w:rPr>
  </w:style>
  <w:style w:type="paragraph" w:customStyle="1" w:styleId="BodySingle">
    <w:name w:val="Body Single"/>
    <w:rsid w:val="000E07F0"/>
    <w:pPr>
      <w:spacing w:after="0" w:line="240" w:lineRule="auto"/>
    </w:pPr>
    <w:rPr>
      <w:rFonts w:ascii="TimesNewRomanPS" w:eastAsia="Times New Roman" w:hAnsi="TimesNewRomanPS" w:cs="Times New Roman"/>
      <w:color w:val="000000"/>
      <w:sz w:val="24"/>
      <w:szCs w:val="20"/>
      <w:lang w:val="cs-CZ" w:eastAsia="pl-PL"/>
    </w:rPr>
  </w:style>
  <w:style w:type="paragraph" w:styleId="Bezodstpw">
    <w:name w:val="No Spacing"/>
    <w:uiPriority w:val="1"/>
    <w:qFormat/>
    <w:rsid w:val="004669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632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Szczęsny Krystian</dc:creator>
  <cp:keywords/>
  <dc:description/>
  <cp:lastModifiedBy>Szczęsny Krystian</cp:lastModifiedBy>
  <cp:revision>1</cp:revision>
  <dcterms:created xsi:type="dcterms:W3CDTF">2024-09-09T08:10:00Z</dcterms:created>
  <dcterms:modified xsi:type="dcterms:W3CDTF">2024-09-09T12:07:00Z</dcterms:modified>
</cp:coreProperties>
</file>