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7A6B"/>
          <w:sz w:val="96"/>
        </w:rPr>
        <w:t>VYREX</w:t>
      </w:r>
    </w:p>
    <w:p>
      <w:pPr>
        <w:jc w:val="center"/>
      </w:pPr>
      <w:r>
        <w:rPr>
          <w:color w:val="22262B"/>
          <w:sz w:val="36"/>
        </w:rPr>
        <w:t>An Air-Gapped Security Operations Center &amp;</w:t>
        <w:br/>
        <w:t>Vulnerability-Intelligence Platform</w:t>
      </w:r>
    </w:p>
    <w:p>
      <w:pPr>
        <w:spacing w:after="40"/>
        <w:jc w:val="center"/>
      </w:pPr>
      <w:r>
        <w:rPr>
          <w:b/>
          <w:i w:val="0"/>
          <w:color w:val="555B62"/>
          <w:sz w:val="30"/>
        </w:rPr>
        <w:t>Software Requirements Specification (SRS)</w:t>
      </w:r>
    </w:p>
    <w:p>
      <w:pPr>
        <w:spacing w:after="120"/>
        <w:jc w:val="center"/>
      </w:pPr>
      <w:r>
        <w:rPr>
          <w:b w:val="0"/>
          <w:i w:val="0"/>
          <w:color w:val="555B62"/>
          <w:sz w:val="24"/>
        </w:rPr>
        <w:t>Version 1.0</w:t>
      </w:r>
    </w:p>
    <w:p/>
    <w:p/>
    <w:p>
      <w:pPr>
        <w:spacing w:after="120"/>
        <w:jc w:val="center"/>
      </w:pPr>
      <w:r>
        <w:rPr>
          <w:b/>
          <w:i w:val="0"/>
          <w:sz w:val="24"/>
        </w:rPr>
        <w:t>Bachelor of Science in Cyber Security — Final Year Design Project</w:t>
      </w:r>
    </w:p>
    <w:p>
      <w:pPr>
        <w:spacing w:after="120"/>
        <w:jc w:val="center"/>
      </w:pPr>
      <w:r>
        <w:rPr>
          <w:b w:val="0"/>
          <w:i w:val="0"/>
          <w:color w:val="555B62"/>
          <w:sz w:val="22"/>
        </w:rPr>
        <w:t>Ghulam Ishaq Khan Institute of Engineering Sciences and Technology (GIKI)</w:t>
      </w:r>
    </w:p>
    <w:p>
      <w:pPr>
        <w:spacing w:after="120"/>
        <w:jc w:val="center"/>
      </w:pPr>
      <w:r>
        <w:rPr>
          <w:b w:val="0"/>
          <w:i w:val="0"/>
          <w:color w:val="555B62"/>
          <w:sz w:val="22"/>
        </w:rPr>
        <w:t>Industry stakeholder: Punjab Information Technology Board (PITB)</w:t>
      </w:r>
    </w:p>
    <w:p/>
    <w:tbl>
      <w:tblPr>
        <w:tblStyle w:val="TableGrid"/>
        <w:tblW w:type="auto" w:w="0"/>
        <w:jc w:val="center"/>
        <w:tblLook w:firstColumn="1" w:firstRow="1" w:lastColumn="0" w:lastRow="0" w:noHBand="0" w:noVBand="1" w:val="04A0"/>
      </w:tblPr>
      <w:tblGrid>
        <w:gridCol w:w="4320"/>
        <w:gridCol w:w="4320"/>
      </w:tblGrid>
      <w:tr>
        <w:tc>
          <w:tcPr>
            <w:tcW w:type="dxa" w:w="2880"/>
            <w:shd w:val="clear" w:fill="EDF3F2"/>
          </w:tcPr>
          <w:p>
            <w:r/>
            <w:r>
              <w:rPr>
                <w:b/>
                <w:sz w:val="20"/>
              </w:rPr>
              <w:t>Project Title</w:t>
            </w:r>
          </w:p>
        </w:tc>
        <w:tc>
          <w:tcPr>
            <w:tcW w:type="dxa" w:w="5760"/>
          </w:tcPr>
          <w:p>
            <w:r/>
            <w:r>
              <w:rPr>
                <w:b w:val="0"/>
                <w:sz w:val="20"/>
              </w:rPr>
              <w:t>VYREX — Air-Gapped SOC &amp; Vulnerability-Intelligence Platform</w:t>
            </w:r>
          </w:p>
        </w:tc>
      </w:tr>
      <w:tr>
        <w:tc>
          <w:tcPr>
            <w:tcW w:type="dxa" w:w="2880"/>
            <w:shd w:val="clear" w:fill="EDF3F2"/>
          </w:tcPr>
          <w:p>
            <w:r/>
            <w:r>
              <w:rPr>
                <w:b/>
                <w:sz w:val="20"/>
              </w:rPr>
              <w:t>Date</w:t>
            </w:r>
          </w:p>
        </w:tc>
        <w:tc>
          <w:tcPr>
            <w:tcW w:type="dxa" w:w="5760"/>
          </w:tcPr>
          <w:p>
            <w:r/>
            <w:r>
              <w:rPr>
                <w:b w:val="0"/>
                <w:sz w:val="20"/>
              </w:rPr>
              <w:t>July 2026</w:t>
            </w:r>
          </w:p>
        </w:tc>
      </w:tr>
      <w:tr>
        <w:tc>
          <w:tcPr>
            <w:tcW w:type="dxa" w:w="2880"/>
            <w:shd w:val="clear" w:fill="EDF3F2"/>
          </w:tcPr>
          <w:p>
            <w:r/>
            <w:r>
              <w:rPr>
                <w:b/>
                <w:sz w:val="20"/>
              </w:rPr>
              <w:t>Supervisor</w:t>
            </w:r>
          </w:p>
        </w:tc>
        <w:tc>
          <w:tcPr>
            <w:tcW w:type="dxa" w:w="5760"/>
          </w:tcPr>
          <w:p>
            <w:r/>
            <w:r>
              <w:rPr>
                <w:b w:val="0"/>
                <w:sz w:val="20"/>
              </w:rPr>
              <w:t>____________________</w:t>
            </w:r>
          </w:p>
        </w:tc>
      </w:tr>
      <w:tr>
        <w:tc>
          <w:tcPr>
            <w:tcW w:type="dxa" w:w="2880"/>
            <w:shd w:val="clear" w:fill="EDF3F2"/>
          </w:tcPr>
          <w:p>
            <w:r/>
            <w:r>
              <w:rPr>
                <w:b/>
                <w:sz w:val="20"/>
              </w:rPr>
              <w:t>Group Members</w:t>
            </w:r>
          </w:p>
        </w:tc>
        <w:tc>
          <w:tcPr>
            <w:tcW w:type="dxa" w:w="5760"/>
          </w:tcPr>
          <w:p>
            <w:r/>
            <w:r>
              <w:rPr>
                <w:b w:val="0"/>
                <w:sz w:val="20"/>
              </w:rPr>
              <w:t>kryptbakar (Team Lead)  ·  ____________  ·  ____________</w:t>
            </w:r>
          </w:p>
        </w:tc>
      </w:tr>
    </w:tbl>
    <w:p>
      <w:r>
        <w:br w:type="page"/>
      </w:r>
    </w:p>
    <w:p>
      <w:pPr>
        <w:spacing w:after="120"/>
      </w:pPr>
      <w:r>
        <w:rPr>
          <w:b/>
          <w:i w:val="0"/>
          <w:color w:val="22262B"/>
          <w:sz w:val="28"/>
        </w:rPr>
        <w:t>Revision History</w:t>
      </w:r>
    </w:p>
    <w:tbl>
      <w:tblPr>
        <w:tblStyle w:val="LightGrid-Accent1"/>
        <w:tblW w:type="auto" w:w="0"/>
        <w:jc w:val="center"/>
        <w:tblLook w:firstColumn="1" w:firstRow="1" w:lastColumn="0" w:lastRow="0" w:noHBand="0" w:noVBand="1" w:val="04A0"/>
      </w:tblPr>
      <w:tblGrid>
        <w:gridCol w:w="2880"/>
        <w:gridCol w:w="2880"/>
        <w:gridCol w:w="2880"/>
      </w:tblGrid>
      <w:tr>
        <w:tc>
          <w:tcPr>
            <w:tcW w:type="dxa" w:w="1728"/>
            <w:shd w:val="clear" w:fill="1F7A6B"/>
          </w:tcPr>
          <w:p>
            <w:r/>
            <w:r>
              <w:rPr>
                <w:b/>
                <w:color w:val="FFFFFF"/>
                <w:sz w:val="20"/>
              </w:rPr>
              <w:t>Version</w:t>
            </w:r>
          </w:p>
        </w:tc>
        <w:tc>
          <w:tcPr>
            <w:tcW w:type="dxa" w:w="2304"/>
            <w:shd w:val="clear" w:fill="1F7A6B"/>
          </w:tcPr>
          <w:p>
            <w:r/>
            <w:r>
              <w:rPr>
                <w:b/>
                <w:color w:val="FFFFFF"/>
                <w:sz w:val="20"/>
              </w:rPr>
              <w:t>Date</w:t>
            </w:r>
          </w:p>
        </w:tc>
        <w:tc>
          <w:tcPr>
            <w:tcW w:type="dxa" w:w="5184"/>
            <w:shd w:val="clear" w:fill="1F7A6B"/>
          </w:tcPr>
          <w:p>
            <w:r/>
            <w:r>
              <w:rPr>
                <w:b/>
                <w:color w:val="FFFFFF"/>
                <w:sz w:val="20"/>
              </w:rPr>
              <w:t>Comments</w:t>
            </w:r>
          </w:p>
        </w:tc>
      </w:tr>
      <w:tr>
        <w:tc>
          <w:tcPr>
            <w:tcW w:type="dxa" w:w="1728"/>
          </w:tcPr>
          <w:p>
            <w:r/>
            <w:r>
              <w:rPr>
                <w:b w:val="0"/>
                <w:sz w:val="20"/>
              </w:rPr>
              <w:t>1.00</w:t>
            </w:r>
          </w:p>
        </w:tc>
        <w:tc>
          <w:tcPr>
            <w:tcW w:type="dxa" w:w="2304"/>
          </w:tcPr>
          <w:p>
            <w:r/>
            <w:r>
              <w:rPr>
                <w:b w:val="0"/>
                <w:sz w:val="20"/>
              </w:rPr>
              <w:t>July 2026</w:t>
            </w:r>
          </w:p>
        </w:tc>
        <w:tc>
          <w:tcPr>
            <w:tcW w:type="dxa" w:w="5184"/>
          </w:tcPr>
          <w:p>
            <w:r/>
            <w:r>
              <w:rPr>
                <w:b w:val="0"/>
                <w:sz w:val="20"/>
              </w:rPr>
              <w:t>Initial SRS — baselined against the completed VYREX build (Phases 0–8).</w:t>
            </w:r>
          </w:p>
        </w:tc>
      </w:tr>
      <w:tr>
        <w:tc>
          <w:tcPr>
            <w:tcW w:type="dxa" w:w="1728"/>
          </w:tcPr>
          <w:p>
            <w:r/>
            <w:r>
              <w:rPr>
                <w:b w:val="0"/>
                <w:sz w:val="20"/>
              </w:rPr>
              <w:t>1.10</w:t>
            </w:r>
          </w:p>
        </w:tc>
        <w:tc>
          <w:tcPr>
            <w:tcW w:type="dxa" w:w="2304"/>
          </w:tcPr>
          <w:p>
            <w:r/>
            <w:r>
              <w:rPr>
                <w:b w:val="0"/>
                <w:sz w:val="20"/>
              </w:rPr>
              <w:t>July 2026</w:t>
            </w:r>
          </w:p>
        </w:tc>
        <w:tc>
          <w:tcPr>
            <w:tcW w:type="dxa" w:w="5184"/>
          </w:tcPr>
          <w:p>
            <w:r/>
            <w:r>
              <w:rPr>
                <w:b w:val="0"/>
                <w:sz w:val="20"/>
              </w:rPr>
              <w:t>Added evaluation, benchmarking, threat-model, and connector requirements.</w:t>
            </w:r>
          </w:p>
        </w:tc>
      </w:tr>
    </w:tbl>
    <w:p/>
    <w:p>
      <w:pPr>
        <w:spacing w:after="120"/>
      </w:pPr>
      <w:r>
        <w:rPr>
          <w:b/>
          <w:i w:val="0"/>
          <w:color w:val="22262B"/>
          <w:sz w:val="28"/>
        </w:rPr>
        <w:t>Document Approval</w:t>
      </w:r>
    </w:p>
    <w:p>
      <w:pPr>
        <w:spacing w:after="120"/>
      </w:pPr>
      <w:r>
        <w:rPr>
          <w:b w:val="0"/>
          <w:i w:val="0"/>
          <w:color w:val="555B62"/>
          <w:sz w:val="21"/>
        </w:rPr>
        <w:t>The following document has been accepted and approved by the following:</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304"/>
            <w:shd w:val="clear" w:fill="1F7A6B"/>
          </w:tcPr>
          <w:p>
            <w:r/>
            <w:r>
              <w:rPr>
                <w:b/>
                <w:color w:val="FFFFFF"/>
                <w:sz w:val="20"/>
              </w:rPr>
              <w:t>Role</w:t>
            </w:r>
          </w:p>
        </w:tc>
        <w:tc>
          <w:tcPr>
            <w:tcW w:type="dxa" w:w="2880"/>
            <w:shd w:val="clear" w:fill="1F7A6B"/>
          </w:tcPr>
          <w:p>
            <w:r/>
            <w:r>
              <w:rPr>
                <w:b/>
                <w:color w:val="FFFFFF"/>
                <w:sz w:val="20"/>
              </w:rPr>
              <w:t>Name</w:t>
            </w:r>
          </w:p>
        </w:tc>
        <w:tc>
          <w:tcPr>
            <w:tcW w:type="dxa" w:w="2160"/>
            <w:shd w:val="clear" w:fill="1F7A6B"/>
          </w:tcPr>
          <w:p>
            <w:r/>
            <w:r>
              <w:rPr>
                <w:b/>
                <w:color w:val="FFFFFF"/>
                <w:sz w:val="20"/>
              </w:rPr>
              <w:t>Signature</w:t>
            </w:r>
          </w:p>
        </w:tc>
        <w:tc>
          <w:tcPr>
            <w:tcW w:type="dxa" w:w="1728"/>
            <w:shd w:val="clear" w:fill="1F7A6B"/>
          </w:tcPr>
          <w:p>
            <w:r/>
            <w:r>
              <w:rPr>
                <w:b/>
                <w:color w:val="FFFFFF"/>
                <w:sz w:val="20"/>
              </w:rPr>
              <w:t>Date</w:t>
            </w:r>
          </w:p>
        </w:tc>
      </w:tr>
      <w:tr>
        <w:tc>
          <w:tcPr>
            <w:tcW w:type="dxa" w:w="2304"/>
          </w:tcPr>
          <w:p>
            <w:r/>
            <w:r>
              <w:rPr>
                <w:b/>
                <w:sz w:val="20"/>
              </w:rPr>
              <w:t>Project Supervisor</w:t>
            </w:r>
          </w:p>
        </w:tc>
        <w:tc>
          <w:tcPr>
            <w:tcW w:type="dxa" w:w="2880"/>
          </w:tcPr>
          <w:p/>
        </w:tc>
        <w:tc>
          <w:tcPr>
            <w:tcW w:type="dxa" w:w="2160"/>
          </w:tcPr>
          <w:p/>
        </w:tc>
        <w:tc>
          <w:tcPr>
            <w:tcW w:type="dxa" w:w="1728"/>
          </w:tcPr>
          <w:p/>
        </w:tc>
      </w:tr>
      <w:tr>
        <w:tc>
          <w:tcPr>
            <w:tcW w:type="dxa" w:w="2304"/>
          </w:tcPr>
          <w:p>
            <w:r/>
            <w:r>
              <w:rPr>
                <w:b/>
                <w:sz w:val="20"/>
              </w:rPr>
              <w:t>Co-Supervisor</w:t>
            </w:r>
          </w:p>
        </w:tc>
        <w:tc>
          <w:tcPr>
            <w:tcW w:type="dxa" w:w="2880"/>
          </w:tcPr>
          <w:p/>
        </w:tc>
        <w:tc>
          <w:tcPr>
            <w:tcW w:type="dxa" w:w="2160"/>
          </w:tcPr>
          <w:p/>
        </w:tc>
        <w:tc>
          <w:tcPr>
            <w:tcW w:type="dxa" w:w="1728"/>
          </w:tcPr>
          <w:p/>
        </w:tc>
      </w:tr>
      <w:tr>
        <w:tc>
          <w:tcPr>
            <w:tcW w:type="dxa" w:w="2304"/>
          </w:tcPr>
          <w:p>
            <w:r/>
            <w:r>
              <w:rPr>
                <w:b/>
                <w:sz w:val="20"/>
              </w:rPr>
              <w:t>FYP Committee</w:t>
            </w:r>
          </w:p>
        </w:tc>
        <w:tc>
          <w:tcPr>
            <w:tcW w:type="dxa" w:w="2880"/>
          </w:tcPr>
          <w:p/>
        </w:tc>
        <w:tc>
          <w:tcPr>
            <w:tcW w:type="dxa" w:w="2160"/>
          </w:tcPr>
          <w:p/>
        </w:tc>
        <w:tc>
          <w:tcPr>
            <w:tcW w:type="dxa" w:w="1728"/>
          </w:tcPr>
          <w:p/>
        </w:tc>
      </w:tr>
    </w:tbl>
    <w:p>
      <w:r>
        <w:br w:type="page"/>
      </w:r>
    </w:p>
    <w:p>
      <w:pPr>
        <w:spacing w:after="120"/>
      </w:pPr>
      <w:r>
        <w:rPr>
          <w:b/>
          <w:i w:val="0"/>
          <w:color w:val="22262B"/>
          <w:sz w:val="28"/>
        </w:rPr>
        <w:t>Table of Contents</w:t>
      </w:r>
    </w:p>
    <w:p>
      <w:r>
        <w:fldChar w:fldCharType="begin"/>
        <w:instrText xml:space="preserve">TOC \o "1-3" \h \z \u</w:instrText>
        <w:fldChar w:fldCharType="separate"/>
        <w:t>Right-click and choose “Update Field” to build the table of contents.</w:t>
        <w:fldChar w:fldCharType="end"/>
      </w:r>
    </w:p>
    <w:p>
      <w:r>
        <w:br w:type="page"/>
      </w:r>
    </w:p>
    <w:p>
      <w:pPr>
        <w:spacing w:after="120"/>
      </w:pPr>
      <w:r>
        <w:rPr>
          <w:b/>
          <w:i w:val="0"/>
          <w:color w:val="22262B"/>
          <w:sz w:val="28"/>
        </w:rPr>
        <w:t>List of Figures</w:t>
      </w:r>
    </w:p>
    <w:p>
      <w:pPr>
        <w:spacing w:after="40"/>
      </w:pPr>
      <w:r>
        <w:rPr>
          <w:b w:val="0"/>
          <w:i w:val="0"/>
          <w:color w:val="555B62"/>
          <w:sz w:val="21"/>
        </w:rPr>
        <w:t>Figure 1 — SOC Analyst use cases</w:t>
      </w:r>
    </w:p>
    <w:p>
      <w:pPr>
        <w:spacing w:after="40"/>
      </w:pPr>
      <w:r>
        <w:rPr>
          <w:b w:val="0"/>
          <w:i w:val="0"/>
          <w:color w:val="555B62"/>
          <w:sz w:val="21"/>
        </w:rPr>
        <w:t>Figure 2 — Administrator use cases</w:t>
      </w:r>
    </w:p>
    <w:p>
      <w:pPr>
        <w:spacing w:after="40"/>
      </w:pPr>
      <w:r>
        <w:rPr>
          <w:b w:val="0"/>
          <w:i w:val="0"/>
          <w:color w:val="555B62"/>
          <w:sz w:val="21"/>
        </w:rPr>
        <w:t>Figure 3 — System / machine-actor use cases</w:t>
      </w:r>
    </w:p>
    <w:p>
      <w:pPr>
        <w:spacing w:after="40"/>
      </w:pPr>
      <w:r>
        <w:rPr>
          <w:b w:val="0"/>
          <w:i w:val="0"/>
          <w:color w:val="555B62"/>
          <w:sz w:val="21"/>
        </w:rPr>
        <w:t>Figure 4 — Logical view: the four layers</w:t>
      </w:r>
    </w:p>
    <w:p>
      <w:pPr>
        <w:spacing w:after="40"/>
      </w:pPr>
      <w:r>
        <w:rPr>
          <w:b w:val="0"/>
          <w:i w:val="0"/>
          <w:color w:val="555B62"/>
          <w:sz w:val="21"/>
        </w:rPr>
        <w:t>Figure 5 — Development view: repository modules</w:t>
      </w:r>
    </w:p>
    <w:p>
      <w:pPr>
        <w:spacing w:after="40"/>
      </w:pPr>
      <w:r>
        <w:rPr>
          <w:b w:val="0"/>
          <w:i w:val="0"/>
          <w:color w:val="555B62"/>
          <w:sz w:val="21"/>
        </w:rPr>
        <w:t>Figure 6 — Process view: ingestion, scoring and response</w:t>
      </w:r>
    </w:p>
    <w:p>
      <w:pPr>
        <w:spacing w:after="40"/>
      </w:pPr>
      <w:r>
        <w:rPr>
          <w:b w:val="0"/>
          <w:i w:val="0"/>
          <w:color w:val="555B62"/>
          <w:sz w:val="21"/>
        </w:rPr>
        <w:t>Figure 7 — Physical view: air-gapped deployment topology</w:t>
      </w:r>
    </w:p>
    <w:p>
      <w:pPr>
        <w:spacing w:after="40"/>
      </w:pPr>
      <w:r>
        <w:rPr>
          <w:b w:val="0"/>
          <w:i w:val="0"/>
          <w:color w:val="555B62"/>
          <w:sz w:val="21"/>
        </w:rPr>
        <w:t>Figure 8 — Triage view (decision queue)</w:t>
      </w:r>
    </w:p>
    <w:p>
      <w:pPr>
        <w:spacing w:after="40"/>
      </w:pPr>
      <w:r>
        <w:rPr>
          <w:b w:val="0"/>
          <w:i w:val="0"/>
          <w:color w:val="555B62"/>
          <w:sz w:val="21"/>
        </w:rPr>
        <w:t>Figure 9 — Finding detail (XAI / SHAP waterfall)</w:t>
      </w:r>
    </w:p>
    <w:p>
      <w:pPr>
        <w:spacing w:after="40"/>
      </w:pPr>
      <w:r>
        <w:rPr>
          <w:b w:val="0"/>
          <w:i w:val="0"/>
          <w:color w:val="555B62"/>
          <w:sz w:val="21"/>
        </w:rPr>
        <w:t>Figure 10 — Cases view (incidents &amp; audit)</w:t>
      </w:r>
    </w:p>
    <w:p>
      <w:pPr>
        <w:spacing w:after="40"/>
      </w:pPr>
      <w:r>
        <w:rPr>
          <w:b w:val="0"/>
          <w:i w:val="0"/>
          <w:color w:val="555B62"/>
          <w:sz w:val="21"/>
        </w:rPr>
        <w:t>Figure 11 — Sensors &amp; Fusion view (pipeline + tool grid)</w:t>
      </w:r>
    </w:p>
    <w:p/>
    <w:p>
      <w:pPr>
        <w:spacing w:after="120"/>
      </w:pPr>
      <w:r>
        <w:rPr>
          <w:b/>
          <w:i w:val="0"/>
          <w:color w:val="22262B"/>
          <w:sz w:val="28"/>
        </w:rPr>
        <w:t>List of Tables</w:t>
      </w:r>
    </w:p>
    <w:p>
      <w:pPr>
        <w:spacing w:after="40"/>
      </w:pPr>
      <w:r>
        <w:rPr>
          <w:b w:val="0"/>
          <w:i w:val="0"/>
          <w:color w:val="555B62"/>
          <w:sz w:val="21"/>
        </w:rPr>
        <w:t>Table 1 — Terms, acronyms and abbreviations</w:t>
      </w:r>
    </w:p>
    <w:p>
      <w:pPr>
        <w:spacing w:after="40"/>
      </w:pPr>
      <w:r>
        <w:rPr>
          <w:b w:val="0"/>
          <w:i w:val="0"/>
          <w:color w:val="555B62"/>
          <w:sz w:val="21"/>
        </w:rPr>
        <w:t>Table 2 — Comparison with existing systems</w:t>
      </w:r>
    </w:p>
    <w:p>
      <w:pPr>
        <w:spacing w:after="40"/>
      </w:pPr>
      <w:r>
        <w:rPr>
          <w:b w:val="0"/>
          <w:i w:val="0"/>
          <w:color w:val="555B62"/>
          <w:sz w:val="21"/>
        </w:rPr>
        <w:t>Table 3 — User classes and characteristics</w:t>
      </w:r>
    </w:p>
    <w:p>
      <w:pPr>
        <w:spacing w:after="40"/>
      </w:pPr>
      <w:r>
        <w:rPr>
          <w:b w:val="0"/>
          <w:i w:val="0"/>
          <w:color w:val="555B62"/>
          <w:sz w:val="21"/>
        </w:rPr>
        <w:t>Table 4 — Functional requirements summary</w:t>
      </w:r>
    </w:p>
    <w:p>
      <w:pPr>
        <w:spacing w:after="40"/>
      </w:pPr>
      <w:r>
        <w:rPr>
          <w:b w:val="0"/>
          <w:i w:val="0"/>
          <w:color w:val="555B62"/>
          <w:sz w:val="21"/>
        </w:rPr>
        <w:t>Table 5–24 — Functional requirement traceability tables</w:t>
      </w:r>
    </w:p>
    <w:p>
      <w:pPr>
        <w:spacing w:after="40"/>
      </w:pPr>
      <w:r>
        <w:rPr>
          <w:b w:val="0"/>
          <w:i w:val="0"/>
          <w:color w:val="555B62"/>
          <w:sz w:val="21"/>
        </w:rPr>
        <w:t>Table 25 — Non-functional requirements</w:t>
      </w:r>
    </w:p>
    <w:p>
      <w:pPr>
        <w:spacing w:after="40"/>
      </w:pPr>
      <w:r>
        <w:rPr>
          <w:b w:val="0"/>
          <w:i w:val="0"/>
          <w:color w:val="555B62"/>
          <w:sz w:val="21"/>
        </w:rPr>
        <w:t>Table 26 — Requirements-to-evaluation traceability</w:t>
      </w:r>
    </w:p>
    <w:p>
      <w:r>
        <w:br w:type="page"/>
      </w:r>
    </w:p>
    <w:p>
      <w:pPr>
        <w:pStyle w:val="Heading1"/>
      </w:pPr>
      <w:r>
        <w:t>1  INTRODUCTION</w:t>
      </w:r>
    </w:p>
    <w:p>
      <w:pPr>
        <w:pStyle w:val="Heading2"/>
      </w:pPr>
      <w:r>
        <w:t>1.1  Purpose</w:t>
      </w:r>
    </w:p>
    <w:p>
      <w:pPr>
        <w:spacing w:after="120"/>
      </w:pPr>
      <w:r>
        <w:rPr>
          <w:b w:val="0"/>
          <w:i w:val="0"/>
          <w:sz w:val="22"/>
        </w:rPr>
        <w:t>This Software Requirements Specification (SRS) defines the functional and non-functional requirements of VYREX, an air-gapped Security Operations Center (SOC) and vulnerability-intelligence platform. It is intended for the project supervisors and FYP evaluation committee, the development team, and the industry stakeholder (PITB) as the agreed contract of what the system does. The document follows the IEEE-830 / ISO/IEC/IEEE-29148 recommended practice: it specifies *what* the system must do and the qualities it must exhibit, and traces each requirement to its rationale, source, and verification evidence, while leaving detailed *how* to the design and implementation.</w:t>
      </w:r>
    </w:p>
    <w:p>
      <w:pPr>
        <w:pStyle w:val="Heading2"/>
      </w:pPr>
      <w:r>
        <w:t>1.2  Product Scope</w:t>
      </w:r>
    </w:p>
    <w:p>
      <w:pPr>
        <w:spacing w:after="120"/>
      </w:pPr>
      <w:r>
        <w:rPr>
          <w:b w:val="0"/>
          <w:i w:val="0"/>
          <w:sz w:val="22"/>
        </w:rPr>
        <w:t>VYREX is a centralized SOC that runs fully on-premises and air-gapped: it ingests endpoint telemetry from a lightweight agent and normalized detections from ten integrated open-source security tools, enriches every vulnerability from a locally mirrored feed (CVSS + EPSS exploit probability + CISA KEV), and — its original contribution — fuses findings across tools and prioritizes them with an exploit-aware, explainable risk engine (a transparent composite score plus an XGBoost model with per-finding SHAP explanations). Analysts work a single risk-ranked queue and can execute signed, two-person-approved containment actions.</w:t>
      </w:r>
    </w:p>
    <w:p>
      <w:pPr>
        <w:spacing w:after="120"/>
      </w:pPr>
      <w:r>
        <w:rPr>
          <w:b w:val="0"/>
          <w:i w:val="0"/>
          <w:sz w:val="22"/>
        </w:rPr>
        <w:t>In scope: telemetry collection; multi-tool ingestion and normalization; offline CVE/EPSS/KEV enrichment; CIS compliance evaluation with tamper-evident evidence; cross-tool fusion and risk scoring with explainability; an analyst console and Grafana dashboards; signed active response; and air-gapped deployment (Docker Compose and K3s). Out of scope: automated destructive response (containment only, always analyst-approved); a managed cloud/SaaS offering; and full Windows-agent feature parity in the MVP.</w:t>
      </w:r>
    </w:p>
    <w:p>
      <w:pPr>
        <w:spacing w:after="120"/>
      </w:pPr>
      <w:r>
        <w:rPr>
          <w:b w:val="0"/>
          <w:i w:val="0"/>
          <w:sz w:val="22"/>
        </w:rPr>
        <w:t>Benefits: it lets budget-constrained government and defence-adjacent organizations — where foreign SaaS SIEMs are a non-starter because data cannot leave the premises — replace ten disjoint tool consoles with one prioritized, explained, and auditable workflow, with zero live internet dependency at runtime.</w:t>
      </w:r>
    </w:p>
    <w:p>
      <w:pPr>
        <w:pStyle w:val="Heading2"/>
      </w:pPr>
      <w:r>
        <w:t>1.3  Definitions, Acronyms and Abbreviations</w:t>
      </w:r>
    </w:p>
    <w:p>
      <w:pPr>
        <w:spacing w:after="120"/>
      </w:pPr>
      <w:r>
        <w:rPr>
          <w:b w:val="0"/>
          <w:i/>
          <w:color w:val="555B62"/>
          <w:sz w:val="20"/>
        </w:rPr>
        <w:t>Table 1 — Terms, acronyms and abbreviations used in this document.</w:t>
      </w:r>
    </w:p>
    <w:tbl>
      <w:tblPr>
        <w:tblStyle w:val="LightGrid-Accent1"/>
        <w:tblW w:type="auto" w:w="0"/>
        <w:jc w:val="center"/>
        <w:tblLook w:firstColumn="1" w:firstRow="1" w:lastColumn="0" w:lastRow="0" w:noHBand="0" w:noVBand="1" w:val="04A0"/>
      </w:tblPr>
      <w:tblGrid>
        <w:gridCol w:w="4320"/>
        <w:gridCol w:w="4320"/>
      </w:tblGrid>
      <w:tr>
        <w:tc>
          <w:tcPr>
            <w:tcW w:type="dxa" w:w="2736"/>
            <w:shd w:val="clear" w:fill="1F7A6B"/>
          </w:tcPr>
          <w:p>
            <w:r/>
            <w:r>
              <w:rPr>
                <w:b/>
                <w:color w:val="FFFFFF"/>
                <w:sz w:val="20"/>
              </w:rPr>
              <w:t>Term</w:t>
            </w:r>
          </w:p>
        </w:tc>
        <w:tc>
          <w:tcPr>
            <w:tcW w:type="dxa" w:w="6336"/>
            <w:shd w:val="clear" w:fill="1F7A6B"/>
          </w:tcPr>
          <w:p>
            <w:r/>
            <w:r>
              <w:rPr>
                <w:b/>
                <w:color w:val="FFFFFF"/>
                <w:sz w:val="20"/>
              </w:rPr>
              <w:t>Description</w:t>
            </w:r>
          </w:p>
        </w:tc>
      </w:tr>
      <w:tr>
        <w:tc>
          <w:tcPr>
            <w:tcW w:type="dxa" w:w="2736"/>
          </w:tcPr>
          <w:p>
            <w:r/>
            <w:r>
              <w:rPr>
                <w:b/>
                <w:sz w:val="19"/>
              </w:rPr>
              <w:t>SOC</w:t>
            </w:r>
          </w:p>
        </w:tc>
        <w:tc>
          <w:tcPr>
            <w:tcW w:type="dxa" w:w="6336"/>
          </w:tcPr>
          <w:p>
            <w:r/>
            <w:r>
              <w:rPr>
                <w:b w:val="0"/>
                <w:sz w:val="19"/>
              </w:rPr>
              <w:t>Security Operations Center — the team/platform that monitors and responds to threats.</w:t>
            </w:r>
          </w:p>
        </w:tc>
      </w:tr>
      <w:tr>
        <w:tc>
          <w:tcPr>
            <w:tcW w:type="dxa" w:w="2736"/>
          </w:tcPr>
          <w:p>
            <w:r/>
            <w:r>
              <w:rPr>
                <w:b/>
                <w:sz w:val="19"/>
              </w:rPr>
              <w:t>Air-gapped</w:t>
            </w:r>
          </w:p>
        </w:tc>
        <w:tc>
          <w:tcPr>
            <w:tcW w:type="dxa" w:w="6336"/>
          </w:tcPr>
          <w:p>
            <w:r/>
            <w:r>
              <w:rPr>
                <w:b w:val="0"/>
                <w:sz w:val="19"/>
              </w:rPr>
              <w:t>A deployment with no runtime internet connectivity; feeds are mirrored offline.</w:t>
            </w:r>
          </w:p>
        </w:tc>
      </w:tr>
      <w:tr>
        <w:tc>
          <w:tcPr>
            <w:tcW w:type="dxa" w:w="2736"/>
          </w:tcPr>
          <w:p>
            <w:r/>
            <w:r>
              <w:rPr>
                <w:b/>
                <w:sz w:val="19"/>
              </w:rPr>
              <w:t>CVE</w:t>
            </w:r>
          </w:p>
        </w:tc>
        <w:tc>
          <w:tcPr>
            <w:tcW w:type="dxa" w:w="6336"/>
          </w:tcPr>
          <w:p>
            <w:r/>
            <w:r>
              <w:rPr>
                <w:b w:val="0"/>
                <w:sz w:val="19"/>
              </w:rPr>
              <w:t>Common Vulnerabilities and Exposures — a public vulnerability identifier.</w:t>
            </w:r>
          </w:p>
        </w:tc>
      </w:tr>
      <w:tr>
        <w:tc>
          <w:tcPr>
            <w:tcW w:type="dxa" w:w="2736"/>
          </w:tcPr>
          <w:p>
            <w:r/>
            <w:r>
              <w:rPr>
                <w:b/>
                <w:sz w:val="19"/>
              </w:rPr>
              <w:t>CVSS</w:t>
            </w:r>
          </w:p>
        </w:tc>
        <w:tc>
          <w:tcPr>
            <w:tcW w:type="dxa" w:w="6336"/>
          </w:tcPr>
          <w:p>
            <w:r/>
            <w:r>
              <w:rPr>
                <w:b w:val="0"/>
                <w:sz w:val="19"/>
              </w:rPr>
              <w:t>Common Vulnerability Scoring System — technical severity score (0–10).</w:t>
            </w:r>
          </w:p>
        </w:tc>
      </w:tr>
      <w:tr>
        <w:tc>
          <w:tcPr>
            <w:tcW w:type="dxa" w:w="2736"/>
          </w:tcPr>
          <w:p>
            <w:r/>
            <w:r>
              <w:rPr>
                <w:b/>
                <w:sz w:val="19"/>
              </w:rPr>
              <w:t>EPSS</w:t>
            </w:r>
          </w:p>
        </w:tc>
        <w:tc>
          <w:tcPr>
            <w:tcW w:type="dxa" w:w="6336"/>
          </w:tcPr>
          <w:p>
            <w:r/>
            <w:r>
              <w:rPr>
                <w:b w:val="0"/>
                <w:sz w:val="19"/>
              </w:rPr>
              <w:t>Exploit Prediction Scoring System (FIRST) — probability a CVE is exploited (0–1).</w:t>
            </w:r>
          </w:p>
        </w:tc>
      </w:tr>
      <w:tr>
        <w:tc>
          <w:tcPr>
            <w:tcW w:type="dxa" w:w="2736"/>
          </w:tcPr>
          <w:p>
            <w:r/>
            <w:r>
              <w:rPr>
                <w:b/>
                <w:sz w:val="19"/>
              </w:rPr>
              <w:t>KEV</w:t>
            </w:r>
          </w:p>
        </w:tc>
        <w:tc>
          <w:tcPr>
            <w:tcW w:type="dxa" w:w="6336"/>
          </w:tcPr>
          <w:p>
            <w:r/>
            <w:r>
              <w:rPr>
                <w:b w:val="0"/>
                <w:sz w:val="19"/>
              </w:rPr>
              <w:t>CISA Known Exploited Vulnerabilities catalog — CVEs exploited in the wild.</w:t>
            </w:r>
          </w:p>
        </w:tc>
      </w:tr>
      <w:tr>
        <w:tc>
          <w:tcPr>
            <w:tcW w:type="dxa" w:w="2736"/>
          </w:tcPr>
          <w:p>
            <w:r/>
            <w:r>
              <w:rPr>
                <w:b/>
                <w:sz w:val="19"/>
              </w:rPr>
              <w:t>Finding</w:t>
            </w:r>
          </w:p>
        </w:tc>
        <w:tc>
          <w:tcPr>
            <w:tcW w:type="dxa" w:w="6336"/>
          </w:tcPr>
          <w:p>
            <w:r/>
            <w:r>
              <w:rPr>
                <w:b w:val="0"/>
                <w:sz w:val="19"/>
              </w:rPr>
              <w:t>A single security issue on an asset (a matched CVE, a detection, an IOC hit).</w:t>
            </w:r>
          </w:p>
        </w:tc>
      </w:tr>
      <w:tr>
        <w:tc>
          <w:tcPr>
            <w:tcW w:type="dxa" w:w="2736"/>
          </w:tcPr>
          <w:p>
            <w:r/>
            <w:r>
              <w:rPr>
                <w:b/>
                <w:sz w:val="19"/>
              </w:rPr>
              <w:t>Fusion</w:t>
            </w:r>
          </w:p>
        </w:tc>
        <w:tc>
          <w:tcPr>
            <w:tcW w:type="dxa" w:w="6336"/>
          </w:tcPr>
          <w:p>
            <w:r/>
            <w:r>
              <w:rPr>
                <w:b w:val="0"/>
                <w:sz w:val="19"/>
              </w:rPr>
              <w:t>Clustering findings that describe the same issue across independent tools.</w:t>
            </w:r>
          </w:p>
        </w:tc>
      </w:tr>
      <w:tr>
        <w:tc>
          <w:tcPr>
            <w:tcW w:type="dxa" w:w="2736"/>
          </w:tcPr>
          <w:p>
            <w:r/>
            <w:r>
              <w:rPr>
                <w:b/>
                <w:sz w:val="19"/>
              </w:rPr>
              <w:t>Consensus</w:t>
            </w:r>
          </w:p>
        </w:tc>
        <w:tc>
          <w:tcPr>
            <w:tcW w:type="dxa" w:w="6336"/>
          </w:tcPr>
          <w:p>
            <w:r/>
            <w:r>
              <w:rPr>
                <w:b w:val="0"/>
                <w:sz w:val="19"/>
              </w:rPr>
              <w:t>A confidence weight rising with the number of independent tools that agree.</w:t>
            </w:r>
          </w:p>
        </w:tc>
      </w:tr>
      <w:tr>
        <w:tc>
          <w:tcPr>
            <w:tcW w:type="dxa" w:w="2736"/>
          </w:tcPr>
          <w:p>
            <w:r/>
            <w:r>
              <w:rPr>
                <w:b/>
                <w:sz w:val="19"/>
              </w:rPr>
              <w:t>SHAP</w:t>
            </w:r>
          </w:p>
        </w:tc>
        <w:tc>
          <w:tcPr>
            <w:tcW w:type="dxa" w:w="6336"/>
          </w:tcPr>
          <w:p>
            <w:r/>
            <w:r>
              <w:rPr>
                <w:b w:val="0"/>
                <w:sz w:val="19"/>
              </w:rPr>
              <w:t>SHapley Additive exPlanations — per-feature attribution explaining a model score.</w:t>
            </w:r>
          </w:p>
        </w:tc>
      </w:tr>
      <w:tr>
        <w:tc>
          <w:tcPr>
            <w:tcW w:type="dxa" w:w="2736"/>
          </w:tcPr>
          <w:p>
            <w:r/>
            <w:r>
              <w:rPr>
                <w:b/>
                <w:sz w:val="19"/>
              </w:rPr>
              <w:t>dedup_key</w:t>
            </w:r>
          </w:p>
        </w:tc>
        <w:tc>
          <w:tcPr>
            <w:tcW w:type="dxa" w:w="6336"/>
          </w:tcPr>
          <w:p>
            <w:r/>
            <w:r>
              <w:rPr>
                <w:b w:val="0"/>
                <w:sz w:val="19"/>
              </w:rPr>
              <w:t>A tool-independent key stamped on findings so fusion can cluster them.</w:t>
            </w:r>
          </w:p>
        </w:tc>
      </w:tr>
      <w:tr>
        <w:tc>
          <w:tcPr>
            <w:tcW w:type="dxa" w:w="2736"/>
          </w:tcPr>
          <w:p>
            <w:r/>
            <w:r>
              <w:rPr>
                <w:b/>
                <w:sz w:val="19"/>
              </w:rPr>
              <w:t>mTLS</w:t>
            </w:r>
          </w:p>
        </w:tc>
        <w:tc>
          <w:tcPr>
            <w:tcW w:type="dxa" w:w="6336"/>
          </w:tcPr>
          <w:p>
            <w:r/>
            <w:r>
              <w:rPr>
                <w:b w:val="0"/>
                <w:sz w:val="19"/>
              </w:rPr>
              <w:t>Mutual TLS — both client and server authenticate with certificates.</w:t>
            </w:r>
          </w:p>
        </w:tc>
      </w:tr>
      <w:tr>
        <w:tc>
          <w:tcPr>
            <w:tcW w:type="dxa" w:w="2736"/>
          </w:tcPr>
          <w:p>
            <w:r/>
            <w:r>
              <w:rPr>
                <w:b/>
                <w:sz w:val="19"/>
              </w:rPr>
              <w:t>MISP / OpenCTI / Sigma</w:t>
            </w:r>
          </w:p>
        </w:tc>
        <w:tc>
          <w:tcPr>
            <w:tcW w:type="dxa" w:w="6336"/>
          </w:tcPr>
          <w:p>
            <w:r/>
            <w:r>
              <w:rPr>
                <w:b w:val="0"/>
                <w:sz w:val="19"/>
              </w:rPr>
              <w:t>Threat-intel platforms and a detection-rule format, integrated as connectors.</w:t>
            </w:r>
          </w:p>
        </w:tc>
      </w:tr>
      <w:tr>
        <w:tc>
          <w:tcPr>
            <w:tcW w:type="dxa" w:w="2736"/>
          </w:tcPr>
          <w:p>
            <w:r/>
            <w:r>
              <w:rPr>
                <w:b/>
                <w:sz w:val="19"/>
              </w:rPr>
              <w:t>ATT&amp;CK</w:t>
            </w:r>
          </w:p>
        </w:tc>
        <w:tc>
          <w:tcPr>
            <w:tcW w:type="dxa" w:w="6336"/>
          </w:tcPr>
          <w:p>
            <w:r/>
            <w:r>
              <w:rPr>
                <w:b w:val="0"/>
                <w:sz w:val="19"/>
              </w:rPr>
              <w:t>MITRE ATT&amp;CK — a knowledge base of adversary techniques (e.g. T1071 = C2).</w:t>
            </w:r>
          </w:p>
        </w:tc>
      </w:tr>
      <w:tr>
        <w:tc>
          <w:tcPr>
            <w:tcW w:type="dxa" w:w="2736"/>
          </w:tcPr>
          <w:p>
            <w:r/>
            <w:r>
              <w:rPr>
                <w:b/>
                <w:sz w:val="19"/>
              </w:rPr>
              <w:t>RBAC</w:t>
            </w:r>
          </w:p>
        </w:tc>
        <w:tc>
          <w:tcPr>
            <w:tcW w:type="dxa" w:w="6336"/>
          </w:tcPr>
          <w:p>
            <w:r/>
            <w:r>
              <w:rPr>
                <w:b w:val="0"/>
                <w:sz w:val="19"/>
              </w:rPr>
              <w:t>Role-Based Access Control — permissions by role (viewer / analyst / admin).</w:t>
            </w:r>
          </w:p>
        </w:tc>
      </w:tr>
      <w:tr>
        <w:tc>
          <w:tcPr>
            <w:tcW w:type="dxa" w:w="2736"/>
          </w:tcPr>
          <w:p>
            <w:r/>
            <w:r>
              <w:rPr>
                <w:b/>
                <w:sz w:val="19"/>
              </w:rPr>
              <w:t>SRS / FR / NFR</w:t>
            </w:r>
          </w:p>
        </w:tc>
        <w:tc>
          <w:tcPr>
            <w:tcW w:type="dxa" w:w="6336"/>
          </w:tcPr>
          <w:p>
            <w:r/>
            <w:r>
              <w:rPr>
                <w:b w:val="0"/>
                <w:sz w:val="19"/>
              </w:rPr>
              <w:t>This document / Functional Requirement / Non-functional Requirement.</w:t>
            </w:r>
          </w:p>
        </w:tc>
      </w:tr>
    </w:tbl>
    <w:p>
      <w:pPr>
        <w:pStyle w:val="Heading2"/>
      </w:pPr>
      <w:r>
        <w:t>1.4  References</w:t>
      </w:r>
    </w:p>
    <w:p>
      <w:pPr>
        <w:pStyle w:val="ListBullet"/>
        <w:spacing w:after="60"/>
      </w:pPr>
      <w:r>
        <w:t>IEEE Std 830-1998 / ISO/IEC/IEEE 29148:2018 — Recommended practice for Software Requirements Specifications.</w:t>
      </w:r>
    </w:p>
    <w:p>
      <w:pPr>
        <w:pStyle w:val="ListBullet"/>
        <w:spacing w:after="60"/>
      </w:pPr>
      <w:r>
        <w:t>FIRST EPSS model documentation; CISA Known Exploited Vulnerabilities catalog; NIST NVD.</w:t>
      </w:r>
    </w:p>
    <w:p>
      <w:pPr>
        <w:pStyle w:val="ListBullet"/>
        <w:spacing w:after="60"/>
      </w:pPr>
      <w:r>
        <w:t>MITRE ATT&amp;CK framework; CIS Benchmarks (Debian 12).</w:t>
      </w:r>
    </w:p>
    <w:p>
      <w:pPr>
        <w:pStyle w:val="ListBullet"/>
        <w:spacing w:after="60"/>
      </w:pPr>
      <w:r>
        <w:t>VYREX repository docs: ARCHITECTURE.md, DECISIONS.md (49 logged decisions), METHODOLOGY.md, THREAT-MODEL.md, BENCHMARKS.md, VALIDATION-ATTACK-SIM.md, PRODUCTION-DEPLOYMENT.md, CONNECTORS.md.</w:t>
      </w:r>
    </w:p>
    <w:p>
      <w:pPr>
        <w:pStyle w:val="ListBullet"/>
        <w:spacing w:after="60"/>
      </w:pPr>
      <w:r>
        <w:t>Kruchten, P. (1995). Architectural Blueprints — The 4+1 View Model of Software Architecture.</w:t>
      </w:r>
    </w:p>
    <w:p>
      <w:r>
        <w:br w:type="page"/>
      </w:r>
    </w:p>
    <w:p>
      <w:pPr>
        <w:pStyle w:val="Heading1"/>
      </w:pPr>
      <w:r>
        <w:t>2  OVERVIEW</w:t>
      </w:r>
    </w:p>
    <w:p>
      <w:pPr>
        <w:pStyle w:val="Heading2"/>
      </w:pPr>
      <w:r>
        <w:t>2.1  The Overall Description</w:t>
      </w:r>
    </w:p>
    <w:p>
      <w:pPr>
        <w:spacing w:after="120"/>
      </w:pPr>
      <w:r>
        <w:rPr>
          <w:b w:val="0"/>
          <w:i w:val="0"/>
          <w:sz w:val="22"/>
        </w:rPr>
        <w:t>VYREX is organized in four layers: an endpoint agent, an ingestion &amp; assessment pipeline, a data layer, and a presentation layer. Telemetry and tool detections flow up through a stateless, schema-validating edge into a durable message broker and asynchronous workers that enrich, fuse, and score findings; the results are presented to analysts as a ranked, explained queue and as dashboards. Exactly one component may reach the internet — a feed-sync job that mirrors vulnerability intelligence — and it is used offline everywhere else.</w:t>
      </w:r>
    </w:p>
    <w:p>
      <w:pPr>
        <w:pStyle w:val="Heading2"/>
      </w:pPr>
      <w:r>
        <w:t>2.2  Product Perspective</w:t>
      </w:r>
    </w:p>
    <w:p>
      <w:pPr>
        <w:spacing w:after="120"/>
      </w:pPr>
      <w:r>
        <w:rPr>
          <w:b w:val="0"/>
          <w:i w:val="0"/>
          <w:sz w:val="22"/>
        </w:rPr>
        <w:t>VYREX is a new, self-contained product that composes best-in-class open-source components (PostgreSQL, TimescaleDB, OpenSearch, NATS JetStream, Suricata, Zeek, Wazuh, Trivy, Nuclei, MISP, OpenCTI, Sigma, Falco) and contributes original value in the intelligence layer. It is not a plug-in to an existing SIEM; rather, tools attach to it as connectors (see §7). The design philosophy — integrate, don't reinvent; spend original effort on fusion, scoring and explainability — is recorded across 49 logged design decisions.</w:t>
      </w:r>
    </w:p>
    <w:p>
      <w:pPr>
        <w:jc w:val="center"/>
      </w:pPr>
      <w:r>
        <w:drawing>
          <wp:inline xmlns:a="http://schemas.openxmlformats.org/drawingml/2006/main" xmlns:pic="http://schemas.openxmlformats.org/drawingml/2006/picture">
            <wp:extent cx="5760720" cy="4200525"/>
            <wp:docPr id="1" name="Picture 1"/>
            <wp:cNvGraphicFramePr>
              <a:graphicFrameLocks noChangeAspect="1"/>
            </wp:cNvGraphicFramePr>
            <a:graphic>
              <a:graphicData uri="http://schemas.openxmlformats.org/drawingml/2006/picture">
                <pic:pic>
                  <pic:nvPicPr>
                    <pic:cNvPr id="0" name="fig4_logical.png"/>
                    <pic:cNvPicPr/>
                  </pic:nvPicPr>
                  <pic:blipFill>
                    <a:blip r:embed="rId9"/>
                    <a:stretch>
                      <a:fillRect/>
                    </a:stretch>
                  </pic:blipFill>
                  <pic:spPr>
                    <a:xfrm>
                      <a:off x="0" y="0"/>
                      <a:ext cx="5760720" cy="4200525"/>
                    </a:xfrm>
                    <a:prstGeom prst="rect"/>
                  </pic:spPr>
                </pic:pic>
              </a:graphicData>
            </a:graphic>
          </wp:inline>
        </w:drawing>
      </w:r>
    </w:p>
    <w:p>
      <w:pPr>
        <w:pStyle w:val="Caption"/>
        <w:spacing w:after="200"/>
        <w:jc w:val="center"/>
      </w:pPr>
      <w:r>
        <w:rPr>
          <w:i/>
        </w:rPr>
        <w:t>Figure 4 — Logical view: the four architectural layers of VYREX.</w:t>
      </w:r>
    </w:p>
    <w:p>
      <w:pPr>
        <w:pStyle w:val="Heading2"/>
      </w:pPr>
      <w:r>
        <w:t>2.3  Product Functions</w:t>
      </w:r>
    </w:p>
    <w:p>
      <w:pPr>
        <w:pStyle w:val="ListBullet"/>
        <w:spacing w:after="60"/>
      </w:pPr>
      <w:r>
        <w:rPr>
          <w:b/>
        </w:rPr>
        <w:t>Collect</w:t>
      </w:r>
      <w:r>
        <w:t xml:space="preserve"> endpoint telemetry (process, network, file-integrity, osquery host state) over mTLS.</w:t>
      </w:r>
    </w:p>
    <w:p>
      <w:pPr>
        <w:pStyle w:val="ListBullet"/>
        <w:spacing w:after="60"/>
      </w:pPr>
      <w:r>
        <w:rPr>
          <w:b/>
        </w:rPr>
        <w:t>Integrate</w:t>
      </w:r>
      <w:r>
        <w:t xml:space="preserve"> ten OSS tools, normalizing every detection to one versioned telemetry envelope.</w:t>
      </w:r>
    </w:p>
    <w:p>
      <w:pPr>
        <w:pStyle w:val="ListBullet"/>
        <w:spacing w:after="60"/>
      </w:pPr>
      <w:r>
        <w:rPr>
          <w:b/>
        </w:rPr>
        <w:t>Enrich</w:t>
      </w:r>
      <w:r>
        <w:t xml:space="preserve"> each CVE with CVSS + EPSS + KEV from a local mirror; evaluate CIS compliance with a hash-chained evidence log.</w:t>
      </w:r>
    </w:p>
    <w:p>
      <w:pPr>
        <w:pStyle w:val="ListBullet"/>
        <w:spacing w:after="60"/>
      </w:pPr>
      <w:r>
        <w:rPr>
          <w:b/>
        </w:rPr>
        <w:t>Fuse</w:t>
      </w:r>
      <w:r>
        <w:t xml:space="preserve"> findings across tools by a tool-independent dedup key, deriving a consensus confidence weight.</w:t>
      </w:r>
    </w:p>
    <w:p>
      <w:pPr>
        <w:pStyle w:val="ListBullet"/>
        <w:spacing w:after="60"/>
      </w:pPr>
      <w:r>
        <w:rPr>
          <w:b/>
        </w:rPr>
        <w:t>Prioritize</w:t>
      </w:r>
      <w:r>
        <w:t xml:space="preserve"> with a transparent 10-factor composite score and an XGBoost model, each explained per-finding by SHAP.</w:t>
      </w:r>
    </w:p>
    <w:p>
      <w:pPr>
        <w:pStyle w:val="ListBullet"/>
        <w:spacing w:after="60"/>
      </w:pPr>
      <w:r>
        <w:rPr>
          <w:b/>
        </w:rPr>
        <w:t>Respond</w:t>
      </w:r>
      <w:r>
        <w:t xml:space="preserve"> via an Ed25519-signed command channel with two-person approval and a hash-chained audit trail (containment only).</w:t>
      </w:r>
    </w:p>
    <w:p>
      <w:pPr>
        <w:pStyle w:val="ListBullet"/>
        <w:spacing w:after="60"/>
      </w:pPr>
      <w:r>
        <w:rPr>
          <w:b/>
        </w:rPr>
        <w:t>Present</w:t>
      </w:r>
      <w:r>
        <w:t xml:space="preserve"> a real-time analyst console (triage, XAI detail, cases, compliance, fusion) plus Grafana dashboards.</w:t>
      </w:r>
    </w:p>
    <w:p>
      <w:pPr>
        <w:pStyle w:val="ListBullet"/>
        <w:spacing w:after="60"/>
      </w:pPr>
      <w:r>
        <w:rPr>
          <w:b/>
        </w:rPr>
        <w:t>Deploy</w:t>
      </w:r>
      <w:r>
        <w:t xml:space="preserve"> fully air-gapped via Docker Compose or K3s, with a verified single-egress boundary and an offline installer bundle.</w:t>
      </w:r>
    </w:p>
    <w:p>
      <w:pPr>
        <w:pStyle w:val="Heading2"/>
      </w:pPr>
      <w:r>
        <w:t>2.4  User Characteristics</w:t>
      </w:r>
    </w:p>
    <w:p>
      <w:pPr>
        <w:spacing w:after="120"/>
      </w:pPr>
      <w:r>
        <w:rPr>
          <w:b w:val="0"/>
          <w:i/>
          <w:color w:val="555B62"/>
          <w:sz w:val="20"/>
        </w:rPr>
        <w:t>Table 3 — User classes and characteristics.</w:t>
      </w:r>
    </w:p>
    <w:tbl>
      <w:tblPr>
        <w:tblStyle w:val="LightGrid-Accent1"/>
        <w:tblW w:type="auto" w:w="0"/>
        <w:jc w:val="center"/>
        <w:tblLook w:firstColumn="1" w:firstRow="1" w:lastColumn="0" w:lastRow="0" w:noHBand="0" w:noVBand="1" w:val="04A0"/>
      </w:tblPr>
      <w:tblGrid>
        <w:gridCol w:w="2880"/>
        <w:gridCol w:w="2880"/>
        <w:gridCol w:w="2880"/>
      </w:tblGrid>
      <w:tr>
        <w:tc>
          <w:tcPr>
            <w:tcW w:type="dxa" w:w="2160"/>
            <w:shd w:val="clear" w:fill="1F7A6B"/>
          </w:tcPr>
          <w:p>
            <w:r/>
            <w:r>
              <w:rPr>
                <w:b/>
                <w:color w:val="FFFFFF"/>
                <w:sz w:val="20"/>
              </w:rPr>
              <w:t>User class</w:t>
            </w:r>
          </w:p>
        </w:tc>
        <w:tc>
          <w:tcPr>
            <w:tcW w:type="dxa" w:w="1728"/>
            <w:shd w:val="clear" w:fill="1F7A6B"/>
          </w:tcPr>
          <w:p>
            <w:r/>
            <w:r>
              <w:rPr>
                <w:b/>
                <w:color w:val="FFFFFF"/>
                <w:sz w:val="20"/>
              </w:rPr>
              <w:t>Type</w:t>
            </w:r>
          </w:p>
        </w:tc>
        <w:tc>
          <w:tcPr>
            <w:tcW w:type="dxa" w:w="5184"/>
            <w:shd w:val="clear" w:fill="1F7A6B"/>
          </w:tcPr>
          <w:p>
            <w:r/>
            <w:r>
              <w:rPr>
                <w:b/>
                <w:color w:val="FFFFFF"/>
                <w:sz w:val="20"/>
              </w:rPr>
              <w:t>Characteristics &amp; responsibilities</w:t>
            </w:r>
          </w:p>
        </w:tc>
      </w:tr>
      <w:tr>
        <w:tc>
          <w:tcPr>
            <w:tcW w:type="dxa" w:w="2160"/>
          </w:tcPr>
          <w:p>
            <w:r/>
            <w:r>
              <w:rPr>
                <w:b/>
                <w:sz w:val="19"/>
              </w:rPr>
              <w:t>SOC Analyst</w:t>
            </w:r>
          </w:p>
        </w:tc>
        <w:tc>
          <w:tcPr>
            <w:tcW w:type="dxa" w:w="1728"/>
          </w:tcPr>
          <w:p>
            <w:r/>
            <w:r>
              <w:rPr>
                <w:b w:val="0"/>
                <w:sz w:val="19"/>
              </w:rPr>
              <w:t>Primary user</w:t>
            </w:r>
          </w:p>
        </w:tc>
        <w:tc>
          <w:tcPr>
            <w:tcW w:type="dxa" w:w="5184"/>
          </w:tcPr>
          <w:p>
            <w:r/>
            <w:r>
              <w:rPr>
                <w:b w:val="0"/>
                <w:sz w:val="19"/>
              </w:rPr>
              <w:t>Works the triage queue, inspects XAI detail, triages/labels findings, opens cases, requests containment. Security literate; not necessarily a developer.</w:t>
            </w:r>
          </w:p>
        </w:tc>
      </w:tr>
      <w:tr>
        <w:tc>
          <w:tcPr>
            <w:tcW w:type="dxa" w:w="2160"/>
          </w:tcPr>
          <w:p>
            <w:r/>
            <w:r>
              <w:rPr>
                <w:b/>
                <w:sz w:val="19"/>
              </w:rPr>
              <w:t>Senior Analyst</w:t>
            </w:r>
          </w:p>
        </w:tc>
        <w:tc>
          <w:tcPr>
            <w:tcW w:type="dxa" w:w="1728"/>
          </w:tcPr>
          <w:p>
            <w:r/>
            <w:r>
              <w:rPr>
                <w:b w:val="0"/>
                <w:sz w:val="19"/>
              </w:rPr>
              <w:t>Approver</w:t>
            </w:r>
          </w:p>
        </w:tc>
        <w:tc>
          <w:tcPr>
            <w:tcW w:type="dxa" w:w="5184"/>
          </w:tcPr>
          <w:p>
            <w:r/>
            <w:r>
              <w:rPr>
                <w:b w:val="0"/>
                <w:sz w:val="19"/>
              </w:rPr>
              <w:t>All analyst abilities plus second-person approval of containment actions (admin role).</w:t>
            </w:r>
          </w:p>
        </w:tc>
      </w:tr>
      <w:tr>
        <w:tc>
          <w:tcPr>
            <w:tcW w:type="dxa" w:w="2160"/>
          </w:tcPr>
          <w:p>
            <w:r/>
            <w:r>
              <w:rPr>
                <w:b/>
                <w:sz w:val="19"/>
              </w:rPr>
              <w:t>SOC Administrator</w:t>
            </w:r>
          </w:p>
        </w:tc>
        <w:tc>
          <w:tcPr>
            <w:tcW w:type="dxa" w:w="1728"/>
          </w:tcPr>
          <w:p>
            <w:r/>
            <w:r>
              <w:rPr>
                <w:b w:val="0"/>
                <w:sz w:val="19"/>
              </w:rPr>
              <w:t>Operator</w:t>
            </w:r>
          </w:p>
        </w:tc>
        <w:tc>
          <w:tcPr>
            <w:tcW w:type="dxa" w:w="5184"/>
          </w:tcPr>
          <w:p>
            <w:r/>
            <w:r>
              <w:rPr>
                <w:b w:val="0"/>
                <w:sz w:val="19"/>
              </w:rPr>
              <w:t>Deploys and maintains the stack, manages users/RBAC, rolls out signed agents, retrains the model, sets defense policy, runs backups.</w:t>
            </w:r>
          </w:p>
        </w:tc>
      </w:tr>
      <w:tr>
        <w:tc>
          <w:tcPr>
            <w:tcW w:type="dxa" w:w="2160"/>
          </w:tcPr>
          <w:p>
            <w:r/>
            <w:r>
              <w:rPr>
                <w:b/>
                <w:sz w:val="19"/>
              </w:rPr>
              <w:t>Staging-host Operator</w:t>
            </w:r>
          </w:p>
        </w:tc>
        <w:tc>
          <w:tcPr>
            <w:tcW w:type="dxa" w:w="1728"/>
          </w:tcPr>
          <w:p>
            <w:r/>
            <w:r>
              <w:rPr>
                <w:b w:val="0"/>
                <w:sz w:val="19"/>
              </w:rPr>
              <w:t>Feed custodian</w:t>
            </w:r>
          </w:p>
        </w:tc>
        <w:tc>
          <w:tcPr>
            <w:tcW w:type="dxa" w:w="5184"/>
          </w:tcPr>
          <w:p>
            <w:r/>
            <w:r>
              <w:rPr>
                <w:b w:val="0"/>
                <w:sz w:val="19"/>
              </w:rPr>
              <w:t>Runs the only internet-facing jobs (feed-sync / mirror-sync) on a connected DMZ host and carries updates across the gap.</w:t>
            </w:r>
          </w:p>
        </w:tc>
      </w:tr>
      <w:tr>
        <w:tc>
          <w:tcPr>
            <w:tcW w:type="dxa" w:w="2160"/>
          </w:tcPr>
          <w:p>
            <w:r/>
            <w:r>
              <w:rPr>
                <w:b/>
                <w:sz w:val="19"/>
              </w:rPr>
              <w:t>Auditor / Assessor</w:t>
            </w:r>
          </w:p>
        </w:tc>
        <w:tc>
          <w:tcPr>
            <w:tcW w:type="dxa" w:w="1728"/>
          </w:tcPr>
          <w:p>
            <w:r/>
            <w:r>
              <w:rPr>
                <w:b w:val="0"/>
                <w:sz w:val="19"/>
              </w:rPr>
              <w:t>Read-only</w:t>
            </w:r>
          </w:p>
        </w:tc>
        <w:tc>
          <w:tcPr>
            <w:tcW w:type="dxa" w:w="5184"/>
          </w:tcPr>
          <w:p>
            <w:r/>
            <w:r>
              <w:rPr>
                <w:b w:val="0"/>
                <w:sz w:val="19"/>
              </w:rPr>
              <w:t>Verifies compliance posture and hash-chained audit integrity; viewer role.</w:t>
            </w:r>
          </w:p>
        </w:tc>
      </w:tr>
    </w:tbl>
    <w:p>
      <w:pPr>
        <w:pStyle w:val="Heading2"/>
      </w:pPr>
      <w:r>
        <w:t>2.5  Constraints</w:t>
      </w:r>
    </w:p>
    <w:p>
      <w:pPr>
        <w:pStyle w:val="ListBullet"/>
        <w:spacing w:after="60"/>
      </w:pPr>
      <w:r>
        <w:rPr>
          <w:b/>
        </w:rPr>
        <w:t>Air-gap.</w:t>
      </w:r>
      <w:r>
        <w:t xml:space="preserve"> No runtime internet access is permitted; only feed-sync (on a staging host) may egress, and the boundary is verifiable.</w:t>
      </w:r>
    </w:p>
    <w:p>
      <w:pPr>
        <w:pStyle w:val="ListBullet"/>
        <w:spacing w:after="60"/>
      </w:pPr>
      <w:r>
        <w:rPr>
          <w:b/>
        </w:rPr>
        <w:t>Linux-first server.</w:t>
      </w:r>
      <w:r>
        <w:t xml:space="preserve"> The server stack runs on Linux (Ubuntu 22.04 / Rocky 9) via Docker/Kubernetes; agents are cross-platform.</w:t>
      </w:r>
    </w:p>
    <w:p>
      <w:pPr>
        <w:pStyle w:val="ListBullet"/>
        <w:spacing w:after="60"/>
      </w:pPr>
      <w:r>
        <w:rPr>
          <w:b/>
        </w:rPr>
        <w:t>On-premises only.</w:t>
      </w:r>
      <w:r>
        <w:t xml:space="preserve"> All data and models remain on site; no third-party SaaS or telemetry egress.</w:t>
      </w:r>
    </w:p>
    <w:p>
      <w:pPr>
        <w:pStyle w:val="ListBullet"/>
        <w:spacing w:after="60"/>
      </w:pPr>
      <w:r>
        <w:rPr>
          <w:b/>
        </w:rPr>
        <w:t>Open-source licensing.</w:t>
      </w:r>
      <w:r>
        <w:t xml:space="preserve"> GPL/AGPL components are used at arm's length (never vendored into the product); licenses are verified.</w:t>
      </w:r>
    </w:p>
    <w:p>
      <w:pPr>
        <w:pStyle w:val="ListBullet"/>
        <w:spacing w:after="60"/>
      </w:pPr>
      <w:r>
        <w:rPr>
          <w:b/>
        </w:rPr>
        <w:t>Explainability.</w:t>
      </w:r>
      <w:r>
        <w:t xml:space="preserve"> Every risk score must be defensible: composite contributions and SHAP attributions are mandatory.</w:t>
      </w:r>
    </w:p>
    <w:p>
      <w:pPr>
        <w:pStyle w:val="ListBullet"/>
        <w:spacing w:after="60"/>
      </w:pPr>
      <w:r>
        <w:rPr>
          <w:b/>
        </w:rPr>
        <w:t>Two-person control.</w:t>
      </w:r>
      <w:r>
        <w:t xml:space="preserve"> No destructive action; containment requires two distinct approvals and is cryptographically signed and audited.</w:t>
      </w:r>
    </w:p>
    <w:p>
      <w:pPr>
        <w:pStyle w:val="Heading2"/>
      </w:pPr>
      <w:r>
        <w:t>2.6  Assumptions and Dependencies</w:t>
      </w:r>
    </w:p>
    <w:p>
      <w:pPr>
        <w:pStyle w:val="ListBullet"/>
        <w:spacing w:after="60"/>
      </w:pPr>
      <w:r>
        <w:t>A connected staging host of the same CPU architecture is available periodically to refresh the offline feed/tool mirror.</w:t>
      </w:r>
    </w:p>
    <w:p>
      <w:pPr>
        <w:pStyle w:val="ListBullet"/>
        <w:spacing w:after="60"/>
      </w:pPr>
      <w:r>
        <w:t>Network sensors (Suricata/Zeek) are fed by a SPAN/mirror port or TAP — a physical prerequisite that cannot be met in software.</w:t>
      </w:r>
    </w:p>
    <w:p>
      <w:pPr>
        <w:pStyle w:val="ListBullet"/>
        <w:spacing w:after="60"/>
      </w:pPr>
      <w:r>
        <w:t>Endpoints can run the signed Go agent and are issued mTLS client certificates from the site PKI (Vault in K3s).</w:t>
      </w:r>
    </w:p>
    <w:p>
      <w:pPr>
        <w:pStyle w:val="ListBullet"/>
        <w:spacing w:after="60"/>
      </w:pPr>
      <w:r>
        <w:t>Docker Engine + Compose (pilot) or a K3s cluster (production) with sufficient CPU/RAM/SSD per the sizing tables is provided.</w:t>
      </w:r>
    </w:p>
    <w:p>
      <w:pPr>
        <w:pStyle w:val="ListBullet"/>
        <w:spacing w:after="60"/>
      </w:pPr>
      <w:r>
        <w:t>The synthetic training prior is replaced by real analyst-feedback labels as a deployment accrues them (retraining loop).</w:t>
      </w:r>
    </w:p>
    <w:p>
      <w:r>
        <w:br w:type="page"/>
      </w:r>
    </w:p>
    <w:p>
      <w:pPr>
        <w:pStyle w:val="Heading1"/>
      </w:pPr>
      <w:r>
        <w:t>3  STATE OF THE ART</w:t>
      </w:r>
    </w:p>
    <w:p>
      <w:pPr>
        <w:pStyle w:val="Heading2"/>
      </w:pPr>
      <w:r>
        <w:t>3.1  Literature Review</w:t>
      </w:r>
    </w:p>
    <w:p>
      <w:pPr>
        <w:spacing w:after="120"/>
      </w:pPr>
      <w:r>
        <w:rPr>
          <w:b w:val="0"/>
          <w:i w:val="0"/>
          <w:sz w:val="22"/>
        </w:rPr>
        <w:t>Vulnerability management has shifted from severity-only (CVSS) triage toward exploit-aware prioritization. Research and practice (FIRST's EPSS, CISA's KEV catalog) show that CVSS alone over-prioritizes: most high-CVSS CVEs are never exploited, while a small, EPSS/KEV-identifiable subset drives real risk. Modern detection stacks are also multi-tool, producing overlapping, un-correlated alerts; the analyst burden is correlation and prioritization, not detection. Finally, explainable AI (SHAP / Shapley additive attributions) has become the accepted way to make ML-based scoring auditable — essential in a security context where an analyst must justify why a finding was escalated. VYREX synthesizes these threads: exploit-aware scoring, cross-tool fusion, and per-finding explanation, under a hard air-gap constraint that rules out mainstream cloud SIEMs.</w:t>
      </w:r>
    </w:p>
    <w:p>
      <w:pPr>
        <w:pStyle w:val="Heading2"/>
      </w:pPr>
      <w:r>
        <w:t>3.2  Existing Systems</w:t>
      </w:r>
    </w:p>
    <w:p>
      <w:pPr>
        <w:spacing w:after="120"/>
      </w:pPr>
      <w:r>
        <w:rPr>
          <w:b w:val="0"/>
          <w:i/>
          <w:color w:val="555B62"/>
          <w:sz w:val="20"/>
        </w:rPr>
        <w:t>Table 2 — Comparison with existing systems.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3312"/>
            <w:shd w:val="clear" w:fill="1F7A6B"/>
          </w:tcPr>
          <w:p>
            <w:r/>
            <w:r>
              <w:rPr>
                <w:b/>
                <w:color w:val="FFFFFF"/>
                <w:sz w:val="18"/>
              </w:rPr>
              <w:t>Capability</w:t>
            </w:r>
          </w:p>
        </w:tc>
        <w:tc>
          <w:tcPr>
            <w:tcW w:type="dxa" w:w="1656"/>
            <w:shd w:val="clear" w:fill="1F7A6B"/>
          </w:tcPr>
          <w:p>
            <w:r/>
            <w:r>
              <w:rPr>
                <w:b/>
                <w:color w:val="FFFFFF"/>
                <w:sz w:val="18"/>
              </w:rPr>
              <w:t>Wazuh (alone)</w:t>
            </w:r>
          </w:p>
        </w:tc>
        <w:tc>
          <w:tcPr>
            <w:tcW w:type="dxa" w:w="1656"/>
            <w:shd w:val="clear" w:fill="1F7A6B"/>
          </w:tcPr>
          <w:p>
            <w:r/>
            <w:r>
              <w:rPr>
                <w:b/>
                <w:color w:val="FFFFFF"/>
                <w:sz w:val="18"/>
              </w:rPr>
              <w:t>Elastic Security</w:t>
            </w:r>
          </w:p>
        </w:tc>
        <w:tc>
          <w:tcPr>
            <w:tcW w:type="dxa" w:w="1512"/>
            <w:shd w:val="clear" w:fill="1F7A6B"/>
          </w:tcPr>
          <w:p>
            <w:r/>
            <w:r>
              <w:rPr>
                <w:b/>
                <w:color w:val="FFFFFF"/>
                <w:sz w:val="18"/>
              </w:rPr>
              <w:t>Splunk ES</w:t>
            </w:r>
          </w:p>
        </w:tc>
        <w:tc>
          <w:tcPr>
            <w:tcW w:type="dxa" w:w="1728"/>
            <w:shd w:val="clear" w:fill="1F7A6B"/>
          </w:tcPr>
          <w:p>
            <w:r/>
            <w:r>
              <w:rPr>
                <w:b/>
                <w:color w:val="FFFFFF"/>
                <w:sz w:val="18"/>
              </w:rPr>
              <w:t>VYREX</w:t>
            </w:r>
          </w:p>
        </w:tc>
      </w:tr>
      <w:tr>
        <w:tc>
          <w:tcPr>
            <w:tcW w:type="dxa" w:w="3312"/>
          </w:tcPr>
          <w:p>
            <w:r/>
            <w:r>
              <w:rPr>
                <w:b w:val="0"/>
                <w:sz w:val="18"/>
              </w:rPr>
              <w:t>Fully air-gapped, no telemetry egress</w:t>
            </w:r>
          </w:p>
        </w:tc>
        <w:tc>
          <w:tcPr>
            <w:tcW w:type="dxa" w:w="1656"/>
          </w:tcPr>
          <w:p>
            <w:r/>
            <w:r>
              <w:rPr>
                <w:b w:val="0"/>
                <w:sz w:val="18"/>
              </w:rPr>
              <w:t>Yes</w:t>
            </w:r>
          </w:p>
        </w:tc>
        <w:tc>
          <w:tcPr>
            <w:tcW w:type="dxa" w:w="1656"/>
          </w:tcPr>
          <w:p>
            <w:r/>
            <w:r>
              <w:rPr>
                <w:b w:val="0"/>
                <w:sz w:val="18"/>
              </w:rPr>
              <w:t>Self-managed only</w:t>
            </w:r>
          </w:p>
        </w:tc>
        <w:tc>
          <w:tcPr>
            <w:tcW w:type="dxa" w:w="1512"/>
          </w:tcPr>
          <w:p>
            <w:r/>
            <w:r>
              <w:rPr>
                <w:b w:val="0"/>
                <w:sz w:val="18"/>
              </w:rPr>
              <w:t>Self-managed only</w:t>
            </w:r>
          </w:p>
        </w:tc>
        <w:tc>
          <w:tcPr>
            <w:tcW w:type="dxa" w:w="1728"/>
          </w:tcPr>
          <w:p>
            <w:r/>
            <w:r>
              <w:rPr>
                <w:b/>
                <w:sz w:val="18"/>
              </w:rPr>
              <w:t>Yes — verified</w:t>
            </w:r>
          </w:p>
        </w:tc>
      </w:tr>
      <w:tr>
        <w:tc>
          <w:tcPr>
            <w:tcW w:type="dxa" w:w="3312"/>
          </w:tcPr>
          <w:p>
            <w:r/>
            <w:r>
              <w:rPr>
                <w:b w:val="0"/>
                <w:sz w:val="18"/>
              </w:rPr>
              <w:t>Host+network+vuln+intel in one pipeline</w:t>
            </w:r>
          </w:p>
        </w:tc>
        <w:tc>
          <w:tcPr>
            <w:tcW w:type="dxa" w:w="1656"/>
          </w:tcPr>
          <w:p>
            <w:r/>
            <w:r>
              <w:rPr>
                <w:b w:val="0"/>
                <w:sz w:val="18"/>
              </w:rPr>
              <w:t>Host-centric</w:t>
            </w:r>
          </w:p>
        </w:tc>
        <w:tc>
          <w:tcPr>
            <w:tcW w:type="dxa" w:w="1656"/>
          </w:tcPr>
          <w:p>
            <w:r/>
            <w:r>
              <w:rPr>
                <w:b w:val="0"/>
                <w:sz w:val="18"/>
              </w:rPr>
              <w:t>Broad (paid)</w:t>
            </w:r>
          </w:p>
        </w:tc>
        <w:tc>
          <w:tcPr>
            <w:tcW w:type="dxa" w:w="1512"/>
          </w:tcPr>
          <w:p>
            <w:r/>
            <w:r>
              <w:rPr>
                <w:b w:val="0"/>
                <w:sz w:val="18"/>
              </w:rPr>
              <w:t>Broad (paid)</w:t>
            </w:r>
          </w:p>
        </w:tc>
        <w:tc>
          <w:tcPr>
            <w:tcW w:type="dxa" w:w="1728"/>
          </w:tcPr>
          <w:p>
            <w:r/>
            <w:r>
              <w:rPr>
                <w:b/>
                <w:sz w:val="18"/>
              </w:rPr>
              <w:t>Yes — 10 OSS tools</w:t>
            </w:r>
          </w:p>
        </w:tc>
      </w:tr>
      <w:tr>
        <w:tc>
          <w:tcPr>
            <w:tcW w:type="dxa" w:w="3312"/>
          </w:tcPr>
          <w:p>
            <w:r/>
            <w:r>
              <w:rPr>
                <w:b w:val="0"/>
                <w:sz w:val="18"/>
              </w:rPr>
              <w:t>Cross-tool consensus as a ranking signal</w:t>
            </w:r>
          </w:p>
        </w:tc>
        <w:tc>
          <w:tcPr>
            <w:tcW w:type="dxa" w:w="1656"/>
          </w:tcPr>
          <w:p>
            <w:r/>
            <w:r>
              <w:rPr>
                <w:b w:val="0"/>
                <w:sz w:val="18"/>
              </w:rPr>
              <w:t>No</w:t>
            </w:r>
          </w:p>
        </w:tc>
        <w:tc>
          <w:tcPr>
            <w:tcW w:type="dxa" w:w="1656"/>
          </w:tcPr>
          <w:p>
            <w:r/>
            <w:r>
              <w:rPr>
                <w:b w:val="0"/>
                <w:sz w:val="18"/>
              </w:rPr>
              <w:t>Manual rules</w:t>
            </w:r>
          </w:p>
        </w:tc>
        <w:tc>
          <w:tcPr>
            <w:tcW w:type="dxa" w:w="1512"/>
          </w:tcPr>
          <w:p>
            <w:r/>
            <w:r>
              <w:rPr>
                <w:b w:val="0"/>
                <w:sz w:val="18"/>
              </w:rPr>
              <w:t>Manual searches</w:t>
            </w:r>
          </w:p>
        </w:tc>
        <w:tc>
          <w:tcPr>
            <w:tcW w:type="dxa" w:w="1728"/>
          </w:tcPr>
          <w:p>
            <w:r/>
            <w:r>
              <w:rPr>
                <w:b/>
                <w:sz w:val="18"/>
              </w:rPr>
              <w:t>Yes — automatic</w:t>
            </w:r>
          </w:p>
        </w:tc>
      </w:tr>
      <w:tr>
        <w:tc>
          <w:tcPr>
            <w:tcW w:type="dxa" w:w="3312"/>
          </w:tcPr>
          <w:p>
            <w:r/>
            <w:r>
              <w:rPr>
                <w:b w:val="0"/>
                <w:sz w:val="18"/>
              </w:rPr>
              <w:t>Exploit-aware scoring (EPSS+KEV) built in</w:t>
            </w:r>
          </w:p>
        </w:tc>
        <w:tc>
          <w:tcPr>
            <w:tcW w:type="dxa" w:w="1656"/>
          </w:tcPr>
          <w:p>
            <w:r/>
            <w:r>
              <w:rPr>
                <w:b w:val="0"/>
                <w:sz w:val="18"/>
              </w:rPr>
              <w:t>Partial (CVSS)</w:t>
            </w:r>
          </w:p>
        </w:tc>
        <w:tc>
          <w:tcPr>
            <w:tcW w:type="dxa" w:w="1656"/>
          </w:tcPr>
          <w:p>
            <w:r/>
            <w:r>
              <w:rPr>
                <w:b w:val="0"/>
                <w:sz w:val="18"/>
              </w:rPr>
              <w:t>Via integrations</w:t>
            </w:r>
          </w:p>
        </w:tc>
        <w:tc>
          <w:tcPr>
            <w:tcW w:type="dxa" w:w="1512"/>
          </w:tcPr>
          <w:p>
            <w:r/>
            <w:r>
              <w:rPr>
                <w:b w:val="0"/>
                <w:sz w:val="18"/>
              </w:rPr>
              <w:t>Via apps</w:t>
            </w:r>
          </w:p>
        </w:tc>
        <w:tc>
          <w:tcPr>
            <w:tcW w:type="dxa" w:w="1728"/>
          </w:tcPr>
          <w:p>
            <w:r/>
            <w:r>
              <w:rPr>
                <w:b/>
                <w:sz w:val="18"/>
              </w:rPr>
              <w:t>Yes — native</w:t>
            </w:r>
          </w:p>
        </w:tc>
      </w:tr>
      <w:tr>
        <w:tc>
          <w:tcPr>
            <w:tcW w:type="dxa" w:w="3312"/>
          </w:tcPr>
          <w:p>
            <w:r/>
            <w:r>
              <w:rPr>
                <w:b w:val="0"/>
                <w:sz w:val="18"/>
              </w:rPr>
              <w:t>Per-finding ML explanation (SHAP)</w:t>
            </w:r>
          </w:p>
        </w:tc>
        <w:tc>
          <w:tcPr>
            <w:tcW w:type="dxa" w:w="1656"/>
          </w:tcPr>
          <w:p>
            <w:r/>
            <w:r>
              <w:rPr>
                <w:b w:val="0"/>
                <w:sz w:val="18"/>
              </w:rPr>
              <w:t>No</w:t>
            </w:r>
          </w:p>
        </w:tc>
        <w:tc>
          <w:tcPr>
            <w:tcW w:type="dxa" w:w="1656"/>
          </w:tcPr>
          <w:p>
            <w:r/>
            <w:r>
              <w:rPr>
                <w:b w:val="0"/>
                <w:sz w:val="18"/>
              </w:rPr>
              <w:t>Limited</w:t>
            </w:r>
          </w:p>
        </w:tc>
        <w:tc>
          <w:tcPr>
            <w:tcW w:type="dxa" w:w="1512"/>
          </w:tcPr>
          <w:p>
            <w:r/>
            <w:r>
              <w:rPr>
                <w:b w:val="0"/>
                <w:sz w:val="18"/>
              </w:rPr>
              <w:t>Limited</w:t>
            </w:r>
          </w:p>
        </w:tc>
        <w:tc>
          <w:tcPr>
            <w:tcW w:type="dxa" w:w="1728"/>
          </w:tcPr>
          <w:p>
            <w:r/>
            <w:r>
              <w:rPr>
                <w:b/>
                <w:sz w:val="18"/>
              </w:rPr>
              <w:t>Yes — TreeSHAP</w:t>
            </w:r>
          </w:p>
        </w:tc>
      </w:tr>
      <w:tr>
        <w:tc>
          <w:tcPr>
            <w:tcW w:type="dxa" w:w="3312"/>
          </w:tcPr>
          <w:p>
            <w:r/>
            <w:r>
              <w:rPr>
                <w:b w:val="0"/>
                <w:sz w:val="18"/>
              </w:rPr>
              <w:t>Signed, two-person active response</w:t>
            </w:r>
          </w:p>
        </w:tc>
        <w:tc>
          <w:tcPr>
            <w:tcW w:type="dxa" w:w="1656"/>
          </w:tcPr>
          <w:p>
            <w:r/>
            <w:r>
              <w:rPr>
                <w:b w:val="0"/>
                <w:sz w:val="18"/>
              </w:rPr>
              <w:t>Limited</w:t>
            </w:r>
          </w:p>
        </w:tc>
        <w:tc>
          <w:tcPr>
            <w:tcW w:type="dxa" w:w="1656"/>
          </w:tcPr>
          <w:p>
            <w:r/>
            <w:r>
              <w:rPr>
                <w:b w:val="0"/>
                <w:sz w:val="18"/>
              </w:rPr>
              <w:t>Via connectors</w:t>
            </w:r>
          </w:p>
        </w:tc>
        <w:tc>
          <w:tcPr>
            <w:tcW w:type="dxa" w:w="1512"/>
          </w:tcPr>
          <w:p>
            <w:r/>
            <w:r>
              <w:rPr>
                <w:b w:val="0"/>
                <w:sz w:val="18"/>
              </w:rPr>
              <w:t>Via SOAR (paid)</w:t>
            </w:r>
          </w:p>
        </w:tc>
        <w:tc>
          <w:tcPr>
            <w:tcW w:type="dxa" w:w="1728"/>
          </w:tcPr>
          <w:p>
            <w:r/>
            <w:r>
              <w:rPr>
                <w:b/>
                <w:sz w:val="18"/>
              </w:rPr>
              <w:t>Yes — Ed25519</w:t>
            </w:r>
          </w:p>
        </w:tc>
      </w:tr>
      <w:tr>
        <w:tc>
          <w:tcPr>
            <w:tcW w:type="dxa" w:w="3312"/>
          </w:tcPr>
          <w:p>
            <w:r/>
            <w:r>
              <w:rPr>
                <w:b w:val="0"/>
                <w:sz w:val="18"/>
              </w:rPr>
              <w:t>Cost model</w:t>
            </w:r>
          </w:p>
        </w:tc>
        <w:tc>
          <w:tcPr>
            <w:tcW w:type="dxa" w:w="1656"/>
          </w:tcPr>
          <w:p>
            <w:r/>
            <w:r>
              <w:rPr>
                <w:b w:val="0"/>
                <w:sz w:val="18"/>
              </w:rPr>
              <w:t>OSS</w:t>
            </w:r>
          </w:p>
        </w:tc>
        <w:tc>
          <w:tcPr>
            <w:tcW w:type="dxa" w:w="1656"/>
          </w:tcPr>
          <w:p>
            <w:r/>
            <w:r>
              <w:rPr>
                <w:b w:val="0"/>
                <w:sz w:val="18"/>
              </w:rPr>
              <w:t>Paid tiers</w:t>
            </w:r>
          </w:p>
        </w:tc>
        <w:tc>
          <w:tcPr>
            <w:tcW w:type="dxa" w:w="1512"/>
          </w:tcPr>
          <w:p>
            <w:r/>
            <w:r>
              <w:rPr>
                <w:b w:val="0"/>
                <w:sz w:val="18"/>
              </w:rPr>
              <w:t>Licensed</w:t>
            </w:r>
          </w:p>
        </w:tc>
        <w:tc>
          <w:tcPr>
            <w:tcW w:type="dxa" w:w="1728"/>
          </w:tcPr>
          <w:p>
            <w:r/>
            <w:r>
              <w:rPr>
                <w:b/>
                <w:sz w:val="18"/>
              </w:rPr>
              <w:t>OSS + on-prem</w:t>
            </w:r>
          </w:p>
        </w:tc>
      </w:tr>
    </w:tbl>
    <w:p>
      <w:pPr>
        <w:spacing w:after="120"/>
      </w:pPr>
      <w:r>
        <w:rPr>
          <w:b w:val="0"/>
          <w:i/>
          <w:color w:val="555B62"/>
          <w:sz w:val="21"/>
        </w:rPr>
        <w:t>VYREX does not aim to out-feature Splunk on connector breadth or scale-out maturity. Its thesis is that for the air-gapped, budget-constrained, prioritization-overwhelmed SOC, a fusion-and-explanation layer over best-in-class OSS beats both a single heavyweight vendor and ten disjoint consoles.</w:t>
      </w:r>
    </w:p>
    <w:p>
      <w:r>
        <w:br w:type="page"/>
      </w:r>
    </w:p>
    <w:p>
      <w:pPr>
        <w:pStyle w:val="Heading1"/>
      </w:pPr>
      <w:r>
        <w:t>4  USER / SYSTEM REQUIREMENTS</w:t>
      </w:r>
    </w:p>
    <w:p>
      <w:pPr>
        <w:spacing w:after="120"/>
      </w:pPr>
      <w:r>
        <w:rPr>
          <w:b w:val="0"/>
          <w:i w:val="0"/>
          <w:sz w:val="22"/>
        </w:rPr>
        <w:t>This section captures the requirements from the users' and the system's viewpoint, then the external interfaces. Actors and their goals are shown in the use-case diagrams (Figures 1–3); the functional requirements of §5 realize these use cases.</w:t>
      </w:r>
    </w:p>
    <w:p>
      <w:pPr>
        <w:jc w:val="center"/>
      </w:pPr>
      <w:r>
        <w:drawing>
          <wp:inline xmlns:a="http://schemas.openxmlformats.org/drawingml/2006/main" xmlns:pic="http://schemas.openxmlformats.org/drawingml/2006/picture">
            <wp:extent cx="5760720" cy="4007457"/>
            <wp:docPr id="2" name="Picture 2"/>
            <wp:cNvGraphicFramePr>
              <a:graphicFrameLocks noChangeAspect="1"/>
            </wp:cNvGraphicFramePr>
            <a:graphic>
              <a:graphicData uri="http://schemas.openxmlformats.org/drawingml/2006/picture">
                <pic:pic>
                  <pic:nvPicPr>
                    <pic:cNvPr id="0" name="fig1_usecases_analyst.png"/>
                    <pic:cNvPicPr/>
                  </pic:nvPicPr>
                  <pic:blipFill>
                    <a:blip r:embed="rId10"/>
                    <a:stretch>
                      <a:fillRect/>
                    </a:stretch>
                  </pic:blipFill>
                  <pic:spPr>
                    <a:xfrm>
                      <a:off x="0" y="0"/>
                      <a:ext cx="5760720" cy="4007457"/>
                    </a:xfrm>
                    <a:prstGeom prst="rect"/>
                  </pic:spPr>
                </pic:pic>
              </a:graphicData>
            </a:graphic>
          </wp:inline>
        </w:drawing>
      </w:r>
    </w:p>
    <w:p>
      <w:pPr>
        <w:pStyle w:val="Caption"/>
        <w:spacing w:after="200"/>
        <w:jc w:val="center"/>
      </w:pPr>
      <w:r>
        <w:rPr>
          <w:i/>
        </w:rPr>
        <w:t>Figure 1 — SOC Analyst and Senior Analyst use cases.</w:t>
      </w:r>
    </w:p>
    <w:p>
      <w:pPr>
        <w:jc w:val="center"/>
      </w:pPr>
      <w:r>
        <w:drawing>
          <wp:inline xmlns:a="http://schemas.openxmlformats.org/drawingml/2006/main" xmlns:pic="http://schemas.openxmlformats.org/drawingml/2006/picture">
            <wp:extent cx="5760720" cy="4007457"/>
            <wp:docPr id="3" name="Picture 3"/>
            <wp:cNvGraphicFramePr>
              <a:graphicFrameLocks noChangeAspect="1"/>
            </wp:cNvGraphicFramePr>
            <a:graphic>
              <a:graphicData uri="http://schemas.openxmlformats.org/drawingml/2006/picture">
                <pic:pic>
                  <pic:nvPicPr>
                    <pic:cNvPr id="0" name="fig2_usecases_admin.png"/>
                    <pic:cNvPicPr/>
                  </pic:nvPicPr>
                  <pic:blipFill>
                    <a:blip r:embed="rId11"/>
                    <a:stretch>
                      <a:fillRect/>
                    </a:stretch>
                  </pic:blipFill>
                  <pic:spPr>
                    <a:xfrm>
                      <a:off x="0" y="0"/>
                      <a:ext cx="5760720" cy="4007457"/>
                    </a:xfrm>
                    <a:prstGeom prst="rect"/>
                  </pic:spPr>
                </pic:pic>
              </a:graphicData>
            </a:graphic>
          </wp:inline>
        </w:drawing>
      </w:r>
    </w:p>
    <w:p>
      <w:pPr>
        <w:pStyle w:val="Caption"/>
        <w:spacing w:after="200"/>
        <w:jc w:val="center"/>
      </w:pPr>
      <w:r>
        <w:rPr>
          <w:i/>
        </w:rPr>
        <w:t>Figure 2 — Administrator and Staging-host Operator use cases.</w:t>
      </w:r>
    </w:p>
    <w:p>
      <w:pPr>
        <w:jc w:val="center"/>
      </w:pPr>
      <w:r>
        <w:drawing>
          <wp:inline xmlns:a="http://schemas.openxmlformats.org/drawingml/2006/main" xmlns:pic="http://schemas.openxmlformats.org/drawingml/2006/picture">
            <wp:extent cx="5760720" cy="4007457"/>
            <wp:docPr id="4" name="Picture 4"/>
            <wp:cNvGraphicFramePr>
              <a:graphicFrameLocks noChangeAspect="1"/>
            </wp:cNvGraphicFramePr>
            <a:graphic>
              <a:graphicData uri="http://schemas.openxmlformats.org/drawingml/2006/picture">
                <pic:pic>
                  <pic:nvPicPr>
                    <pic:cNvPr id="0" name="fig3_usecases_system.png"/>
                    <pic:cNvPicPr/>
                  </pic:nvPicPr>
                  <pic:blipFill>
                    <a:blip r:embed="rId12"/>
                    <a:stretch>
                      <a:fillRect/>
                    </a:stretch>
                  </pic:blipFill>
                  <pic:spPr>
                    <a:xfrm>
                      <a:off x="0" y="0"/>
                      <a:ext cx="5760720" cy="4007457"/>
                    </a:xfrm>
                    <a:prstGeom prst="rect"/>
                  </pic:spPr>
                </pic:pic>
              </a:graphicData>
            </a:graphic>
          </wp:inline>
        </w:drawing>
      </w:r>
    </w:p>
    <w:p>
      <w:pPr>
        <w:pStyle w:val="Caption"/>
        <w:spacing w:after="200"/>
        <w:jc w:val="center"/>
      </w:pPr>
      <w:r>
        <w:rPr>
          <w:i/>
        </w:rPr>
        <w:t>Figure 3 — System / machine-actor use cases (agent, pipeline, tools).</w:t>
      </w:r>
    </w:p>
    <w:p>
      <w:pPr>
        <w:pStyle w:val="Heading2"/>
      </w:pPr>
      <w:r>
        <w:t>4.1  External Interface Requirements</w:t>
      </w:r>
    </w:p>
    <w:p>
      <w:pPr>
        <w:pStyle w:val="Heading3"/>
      </w:pPr>
      <w:r>
        <w:t>4.1.1  User Interfaces</w:t>
      </w:r>
    </w:p>
    <w:p>
      <w:pPr>
        <w:pStyle w:val="ListBullet"/>
        <w:spacing w:after="60"/>
      </w:pPr>
      <w:r>
        <w:t>A dependency-free single-page analyst console served over HTTPS with five views: Triage, Finding Detail (XAI), Compliance, Cases, and Sensors &amp; Fusion (see Figures 8–11).</w:t>
      </w:r>
    </w:p>
    <w:p>
      <w:pPr>
        <w:pStyle w:val="ListBullet"/>
        <w:spacing w:after="60"/>
      </w:pPr>
      <w:r>
        <w:t>A conclusion-first, instrument-grade design language (charcoal canvas, single teal accent on interactive chrome only), WCAG-AA severity encoding by shape and label (not color alone), and full keyboard navigation.</w:t>
      </w:r>
    </w:p>
    <w:p>
      <w:pPr>
        <w:pStyle w:val="ListBullet"/>
        <w:spacing w:after="60"/>
      </w:pPr>
      <w:r>
        <w:t>Grafana dashboards for metrics, trends and heatmaps; Swagger UI for the REST API.</w:t>
      </w:r>
    </w:p>
    <w:p>
      <w:pPr>
        <w:pStyle w:val="Heading3"/>
      </w:pPr>
      <w:r>
        <w:t>4.1.2  Hardware Interfaces</w:t>
      </w:r>
    </w:p>
    <w:p>
      <w:pPr>
        <w:pStyle w:val="ListBullet"/>
        <w:spacing w:after="60"/>
      </w:pPr>
      <w:r>
        <w:t>Endpoint hosts: the Go agent reads process/network activity, file-integrity events and osquery host state; resource-capped (configurable CPU/memory).</w:t>
      </w:r>
    </w:p>
    <w:p>
      <w:pPr>
        <w:pStyle w:val="ListBullet"/>
        <w:spacing w:after="60"/>
      </w:pPr>
      <w:r>
        <w:t>Network sensor host: a NIC in promiscuous mode fed by a SPAN/mirror port or TAP for Suricata/Zeek.</w:t>
      </w:r>
    </w:p>
    <w:p>
      <w:pPr>
        <w:pStyle w:val="ListBullet"/>
        <w:spacing w:after="60"/>
      </w:pPr>
      <w:r>
        <w:t>Server: x86-64 Linux host(s) with SSD/NVMe storage per the sizing tables (pilot 8c/32GB/1TB; production 3+ K3s nodes).</w:t>
      </w:r>
    </w:p>
    <w:p>
      <w:pPr>
        <w:pStyle w:val="Heading3"/>
      </w:pPr>
      <w:r>
        <w:t>4.1.3  Software Interfaces</w:t>
      </w:r>
    </w:p>
    <w:p>
      <w:pPr>
        <w:pStyle w:val="ListBullet"/>
        <w:spacing w:after="60"/>
      </w:pPr>
      <w:r>
        <w:t>Data stores: PostgreSQL (transactional state), TimescaleDB (telemetry hypertable), OpenSearch (search).</w:t>
      </w:r>
    </w:p>
    <w:p>
      <w:pPr>
        <w:pStyle w:val="ListBullet"/>
        <w:spacing w:after="60"/>
      </w:pPr>
      <w:r>
        <w:t>Broker: NATS JetStream (durable subjects telemetry.v1.&lt;kind&gt;).</w:t>
      </w:r>
    </w:p>
    <w:p>
      <w:pPr>
        <w:pStyle w:val="ListBullet"/>
        <w:spacing w:after="60"/>
      </w:pPr>
      <w:r>
        <w:t>Integrated tools as connectors: Suricata, Zeek, Wazuh, Falco, Trivy, Nuclei, MISP, OpenCTI, Sigma.</w:t>
      </w:r>
    </w:p>
    <w:p>
      <w:pPr>
        <w:pStyle w:val="ListBullet"/>
        <w:spacing w:after="60"/>
      </w:pPr>
      <w:r>
        <w:t>Local feed mirror: NVD, EPSS, CISA KEV; tool feeds (Nuclei templates, Trivy DB, Sigma rules, ET Open).</w:t>
      </w:r>
    </w:p>
    <w:p>
      <w:pPr>
        <w:pStyle w:val="ListBullet"/>
        <w:spacing w:after="60"/>
      </w:pPr>
      <w:r>
        <w:t>Identity: Keycloak (OIDC/RBAC) and HashiCorp Vault (secrets, PKI) in the K3s deployment.</w:t>
      </w:r>
    </w:p>
    <w:p>
      <w:pPr>
        <w:pStyle w:val="Heading3"/>
      </w:pPr>
      <w:r>
        <w:t>4.1.4  Communication Interfaces</w:t>
      </w:r>
    </w:p>
    <w:p>
      <w:pPr>
        <w:pStyle w:val="ListBullet"/>
        <w:spacing w:after="60"/>
      </w:pPr>
      <w:r>
        <w:t>Agent → ingest-edge: mutual TLS (TLS 1.2+) on port 8443 with a bearer token; the agent_id is cross-checked against the client-cert CN.</w:t>
      </w:r>
    </w:p>
    <w:p>
      <w:pPr>
        <w:pStyle w:val="ListBullet"/>
        <w:spacing w:after="60"/>
      </w:pPr>
      <w:r>
        <w:t>Server → agent: an Ed25519-signed command channel (nonce + expiry) for containment; the agent verifies fail-closed before executing.</w:t>
      </w:r>
    </w:p>
    <w:p>
      <w:pPr>
        <w:pStyle w:val="ListBullet"/>
        <w:spacing w:after="60"/>
      </w:pPr>
      <w:r>
        <w:t>Analyst → console/API: HTTPS with OIDC (Keycloak) or local session tokens; RBAC enforced on every non-public route.</w:t>
      </w:r>
    </w:p>
    <w:p>
      <w:pPr>
        <w:pStyle w:val="ListBullet"/>
        <w:spacing w:after="60"/>
      </w:pPr>
      <w:r>
        <w:t>feed-sync → internet: the single permitted egress, NetworkPolicy-enforced and provable via `make airgap-verify`.</w:t>
      </w:r>
    </w:p>
    <w:p>
      <w:r>
        <w:br w:type="page"/>
      </w:r>
    </w:p>
    <w:p>
      <w:pPr>
        <w:pStyle w:val="Heading1"/>
      </w:pPr>
      <w:r>
        <w:t>5  FUNCTIONAL REQUIREMENTS</w:t>
      </w:r>
    </w:p>
    <w:p>
      <w:pPr>
        <w:spacing w:after="120"/>
      </w:pPr>
      <w:r>
        <w:rPr>
          <w:b w:val="0"/>
          <w:i w:val="0"/>
          <w:sz w:val="22"/>
        </w:rPr>
        <w:t>The functional requirements are listed below and then specified individually with traceability information (each in its own table, per the template). Requirement IDs are of the form FR-n; use cases are UC-n as shown in Figures 1–3.</w:t>
      </w:r>
    </w:p>
    <w:p>
      <w:pPr>
        <w:spacing w:after="120"/>
      </w:pPr>
      <w:r>
        <w:rPr>
          <w:b w:val="0"/>
          <w:i/>
          <w:color w:val="555B62"/>
          <w:sz w:val="20"/>
        </w:rPr>
        <w:t>Table 4 — Functional requirements summary.</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152"/>
            <w:shd w:val="clear" w:fill="1F7A6B"/>
          </w:tcPr>
          <w:p>
            <w:r/>
            <w:r>
              <w:rPr>
                <w:b/>
                <w:color w:val="FFFFFF"/>
                <w:sz w:val="20"/>
              </w:rPr>
              <w:t>ID</w:t>
            </w:r>
          </w:p>
        </w:tc>
        <w:tc>
          <w:tcPr>
            <w:tcW w:type="dxa" w:w="5184"/>
            <w:shd w:val="clear" w:fill="1F7A6B"/>
          </w:tcPr>
          <w:p>
            <w:r/>
            <w:r>
              <w:rPr>
                <w:b/>
                <w:color w:val="FFFFFF"/>
                <w:sz w:val="20"/>
              </w:rPr>
              <w:t>Requirement</w:t>
            </w:r>
          </w:p>
        </w:tc>
        <w:tc>
          <w:tcPr>
            <w:tcW w:type="dxa" w:w="1296"/>
            <w:shd w:val="clear" w:fill="1F7A6B"/>
          </w:tcPr>
          <w:p>
            <w:r/>
            <w:r>
              <w:rPr>
                <w:b/>
                <w:color w:val="FFFFFF"/>
                <w:sz w:val="20"/>
              </w:rPr>
              <w:t>Priority</w:t>
            </w:r>
          </w:p>
        </w:tc>
        <w:tc>
          <w:tcPr>
            <w:tcW w:type="dxa" w:w="2016"/>
            <w:shd w:val="clear" w:fill="1F7A6B"/>
          </w:tcPr>
          <w:p>
            <w:r/>
            <w:r>
              <w:rPr>
                <w:b/>
                <w:color w:val="FFFFFF"/>
                <w:sz w:val="20"/>
              </w:rPr>
              <w:t>Use case</w:t>
            </w:r>
          </w:p>
        </w:tc>
      </w:tr>
      <w:tr>
        <w:tc>
          <w:tcPr>
            <w:tcW w:type="dxa" w:w="1152"/>
          </w:tcPr>
          <w:p>
            <w:r/>
            <w:r>
              <w:rPr>
                <w:b/>
                <w:sz w:val="18"/>
              </w:rPr>
              <w:t>FR-01</w:t>
            </w:r>
          </w:p>
        </w:tc>
        <w:tc>
          <w:tcPr>
            <w:tcW w:type="dxa" w:w="5184"/>
          </w:tcPr>
          <w:p>
            <w:r/>
            <w:r>
              <w:rPr>
                <w:b w:val="0"/>
                <w:sz w:val="18"/>
              </w:rPr>
              <w:t>Telemetry collection</w:t>
            </w:r>
          </w:p>
        </w:tc>
        <w:tc>
          <w:tcPr>
            <w:tcW w:type="dxa" w:w="1296"/>
          </w:tcPr>
          <w:p>
            <w:r/>
            <w:r>
              <w:rPr>
                <w:b w:val="0"/>
                <w:sz w:val="18"/>
              </w:rPr>
              <w:t>High</w:t>
            </w:r>
          </w:p>
        </w:tc>
        <w:tc>
          <w:tcPr>
            <w:tcW w:type="dxa" w:w="2016"/>
          </w:tcPr>
          <w:p>
            <w:r/>
            <w:r>
              <w:rPr>
                <w:b w:val="0"/>
                <w:sz w:val="18"/>
              </w:rPr>
              <w:t>UC-Collect</w:t>
            </w:r>
          </w:p>
        </w:tc>
      </w:tr>
      <w:tr>
        <w:tc>
          <w:tcPr>
            <w:tcW w:type="dxa" w:w="1152"/>
          </w:tcPr>
          <w:p>
            <w:r/>
            <w:r>
              <w:rPr>
                <w:b/>
                <w:sz w:val="18"/>
              </w:rPr>
              <w:t>FR-02</w:t>
            </w:r>
          </w:p>
        </w:tc>
        <w:tc>
          <w:tcPr>
            <w:tcW w:type="dxa" w:w="5184"/>
          </w:tcPr>
          <w:p>
            <w:r/>
            <w:r>
              <w:rPr>
                <w:b w:val="0"/>
                <w:sz w:val="18"/>
              </w:rPr>
              <w:t>Secure ingestion</w:t>
            </w:r>
          </w:p>
        </w:tc>
        <w:tc>
          <w:tcPr>
            <w:tcW w:type="dxa" w:w="1296"/>
          </w:tcPr>
          <w:p>
            <w:r/>
            <w:r>
              <w:rPr>
                <w:b w:val="0"/>
                <w:sz w:val="18"/>
              </w:rPr>
              <w:t>High</w:t>
            </w:r>
          </w:p>
        </w:tc>
        <w:tc>
          <w:tcPr>
            <w:tcW w:type="dxa" w:w="2016"/>
          </w:tcPr>
          <w:p>
            <w:r/>
            <w:r>
              <w:rPr>
                <w:b w:val="0"/>
                <w:sz w:val="18"/>
              </w:rPr>
              <w:t>UC-Ship / UC-Ingest</w:t>
            </w:r>
          </w:p>
        </w:tc>
      </w:tr>
      <w:tr>
        <w:tc>
          <w:tcPr>
            <w:tcW w:type="dxa" w:w="1152"/>
          </w:tcPr>
          <w:p>
            <w:r/>
            <w:r>
              <w:rPr>
                <w:b/>
                <w:sz w:val="18"/>
              </w:rPr>
              <w:t>FR-03</w:t>
            </w:r>
          </w:p>
        </w:tc>
        <w:tc>
          <w:tcPr>
            <w:tcW w:type="dxa" w:w="5184"/>
          </w:tcPr>
          <w:p>
            <w:r/>
            <w:r>
              <w:rPr>
                <w:b w:val="0"/>
                <w:sz w:val="18"/>
              </w:rPr>
              <w:t>Durable queueing &amp; storage</w:t>
            </w:r>
          </w:p>
        </w:tc>
        <w:tc>
          <w:tcPr>
            <w:tcW w:type="dxa" w:w="1296"/>
          </w:tcPr>
          <w:p>
            <w:r/>
            <w:r>
              <w:rPr>
                <w:b w:val="0"/>
                <w:sz w:val="18"/>
              </w:rPr>
              <w:t>High</w:t>
            </w:r>
          </w:p>
        </w:tc>
        <w:tc>
          <w:tcPr>
            <w:tcW w:type="dxa" w:w="2016"/>
          </w:tcPr>
          <w:p>
            <w:r/>
            <w:r>
              <w:rPr>
                <w:b w:val="0"/>
                <w:sz w:val="18"/>
              </w:rPr>
              <w:t>UC-Ingest</w:t>
            </w:r>
          </w:p>
        </w:tc>
      </w:tr>
      <w:tr>
        <w:tc>
          <w:tcPr>
            <w:tcW w:type="dxa" w:w="1152"/>
          </w:tcPr>
          <w:p>
            <w:r/>
            <w:r>
              <w:rPr>
                <w:b/>
                <w:sz w:val="18"/>
              </w:rPr>
              <w:t>FR-04</w:t>
            </w:r>
          </w:p>
        </w:tc>
        <w:tc>
          <w:tcPr>
            <w:tcW w:type="dxa" w:w="5184"/>
          </w:tcPr>
          <w:p>
            <w:r/>
            <w:r>
              <w:rPr>
                <w:b w:val="0"/>
                <w:sz w:val="18"/>
              </w:rPr>
              <w:t>Multi-tool integration</w:t>
            </w:r>
          </w:p>
        </w:tc>
        <w:tc>
          <w:tcPr>
            <w:tcW w:type="dxa" w:w="1296"/>
          </w:tcPr>
          <w:p>
            <w:r/>
            <w:r>
              <w:rPr>
                <w:b w:val="0"/>
                <w:sz w:val="18"/>
              </w:rPr>
              <w:t>High</w:t>
            </w:r>
          </w:p>
        </w:tc>
        <w:tc>
          <w:tcPr>
            <w:tcW w:type="dxa" w:w="2016"/>
          </w:tcPr>
          <w:p>
            <w:r/>
            <w:r>
              <w:rPr>
                <w:b w:val="0"/>
                <w:sz w:val="18"/>
              </w:rPr>
              <w:t>UC-Sensors</w:t>
            </w:r>
          </w:p>
        </w:tc>
      </w:tr>
      <w:tr>
        <w:tc>
          <w:tcPr>
            <w:tcW w:type="dxa" w:w="1152"/>
          </w:tcPr>
          <w:p>
            <w:r/>
            <w:r>
              <w:rPr>
                <w:b/>
                <w:sz w:val="18"/>
              </w:rPr>
              <w:t>FR-05</w:t>
            </w:r>
          </w:p>
        </w:tc>
        <w:tc>
          <w:tcPr>
            <w:tcW w:type="dxa" w:w="5184"/>
          </w:tcPr>
          <w:p>
            <w:r/>
            <w:r>
              <w:rPr>
                <w:b w:val="0"/>
                <w:sz w:val="18"/>
              </w:rPr>
              <w:t>Offline CVE enrichment</w:t>
            </w:r>
          </w:p>
        </w:tc>
        <w:tc>
          <w:tcPr>
            <w:tcW w:type="dxa" w:w="1296"/>
          </w:tcPr>
          <w:p>
            <w:r/>
            <w:r>
              <w:rPr>
                <w:b w:val="0"/>
                <w:sz w:val="18"/>
              </w:rPr>
              <w:t>High</w:t>
            </w:r>
          </w:p>
        </w:tc>
        <w:tc>
          <w:tcPr>
            <w:tcW w:type="dxa" w:w="2016"/>
          </w:tcPr>
          <w:p>
            <w:r/>
            <w:r>
              <w:rPr>
                <w:b w:val="0"/>
                <w:sz w:val="18"/>
              </w:rPr>
              <w:t>UC-Enrich</w:t>
            </w:r>
          </w:p>
        </w:tc>
      </w:tr>
      <w:tr>
        <w:tc>
          <w:tcPr>
            <w:tcW w:type="dxa" w:w="1152"/>
          </w:tcPr>
          <w:p>
            <w:r/>
            <w:r>
              <w:rPr>
                <w:b/>
                <w:sz w:val="18"/>
              </w:rPr>
              <w:t>FR-06</w:t>
            </w:r>
          </w:p>
        </w:tc>
        <w:tc>
          <w:tcPr>
            <w:tcW w:type="dxa" w:w="5184"/>
          </w:tcPr>
          <w:p>
            <w:r/>
            <w:r>
              <w:rPr>
                <w:b w:val="0"/>
                <w:sz w:val="18"/>
              </w:rPr>
              <w:t>CIS compliance evaluation</w:t>
            </w:r>
          </w:p>
        </w:tc>
        <w:tc>
          <w:tcPr>
            <w:tcW w:type="dxa" w:w="1296"/>
          </w:tcPr>
          <w:p>
            <w:r/>
            <w:r>
              <w:rPr>
                <w:b w:val="0"/>
                <w:sz w:val="18"/>
              </w:rPr>
              <w:t>Medium</w:t>
            </w:r>
          </w:p>
        </w:tc>
        <w:tc>
          <w:tcPr>
            <w:tcW w:type="dxa" w:w="2016"/>
          </w:tcPr>
          <w:p>
            <w:r/>
            <w:r>
              <w:rPr>
                <w:b w:val="0"/>
                <w:sz w:val="18"/>
              </w:rPr>
              <w:t>UC-Comply</w:t>
            </w:r>
          </w:p>
        </w:tc>
      </w:tr>
      <w:tr>
        <w:tc>
          <w:tcPr>
            <w:tcW w:type="dxa" w:w="1152"/>
          </w:tcPr>
          <w:p>
            <w:r/>
            <w:r>
              <w:rPr>
                <w:b/>
                <w:sz w:val="18"/>
              </w:rPr>
              <w:t>FR-07</w:t>
            </w:r>
          </w:p>
        </w:tc>
        <w:tc>
          <w:tcPr>
            <w:tcW w:type="dxa" w:w="5184"/>
          </w:tcPr>
          <w:p>
            <w:r/>
            <w:r>
              <w:rPr>
                <w:b w:val="0"/>
                <w:sz w:val="18"/>
              </w:rPr>
              <w:t>Cross-tool fusion</w:t>
            </w:r>
          </w:p>
        </w:tc>
        <w:tc>
          <w:tcPr>
            <w:tcW w:type="dxa" w:w="1296"/>
          </w:tcPr>
          <w:p>
            <w:r/>
            <w:r>
              <w:rPr>
                <w:b w:val="0"/>
                <w:sz w:val="18"/>
              </w:rPr>
              <w:t>High</w:t>
            </w:r>
          </w:p>
        </w:tc>
        <w:tc>
          <w:tcPr>
            <w:tcW w:type="dxa" w:w="2016"/>
          </w:tcPr>
          <w:p>
            <w:r/>
            <w:r>
              <w:rPr>
                <w:b w:val="0"/>
                <w:sz w:val="18"/>
              </w:rPr>
              <w:t>UC-Fuse</w:t>
            </w:r>
          </w:p>
        </w:tc>
      </w:tr>
      <w:tr>
        <w:tc>
          <w:tcPr>
            <w:tcW w:type="dxa" w:w="1152"/>
          </w:tcPr>
          <w:p>
            <w:r/>
            <w:r>
              <w:rPr>
                <w:b/>
                <w:sz w:val="18"/>
              </w:rPr>
              <w:t>FR-08</w:t>
            </w:r>
          </w:p>
        </w:tc>
        <w:tc>
          <w:tcPr>
            <w:tcW w:type="dxa" w:w="5184"/>
          </w:tcPr>
          <w:p>
            <w:r/>
            <w:r>
              <w:rPr>
                <w:b w:val="0"/>
                <w:sz w:val="18"/>
              </w:rPr>
              <w:t>Composite risk scoring</w:t>
            </w:r>
          </w:p>
        </w:tc>
        <w:tc>
          <w:tcPr>
            <w:tcW w:type="dxa" w:w="1296"/>
          </w:tcPr>
          <w:p>
            <w:r/>
            <w:r>
              <w:rPr>
                <w:b w:val="0"/>
                <w:sz w:val="18"/>
              </w:rPr>
              <w:t>High</w:t>
            </w:r>
          </w:p>
        </w:tc>
        <w:tc>
          <w:tcPr>
            <w:tcW w:type="dxa" w:w="2016"/>
          </w:tcPr>
          <w:p>
            <w:r/>
            <w:r>
              <w:rPr>
                <w:b w:val="0"/>
                <w:sz w:val="18"/>
              </w:rPr>
              <w:t>UC-Score</w:t>
            </w:r>
          </w:p>
        </w:tc>
      </w:tr>
      <w:tr>
        <w:tc>
          <w:tcPr>
            <w:tcW w:type="dxa" w:w="1152"/>
          </w:tcPr>
          <w:p>
            <w:r/>
            <w:r>
              <w:rPr>
                <w:b/>
                <w:sz w:val="18"/>
              </w:rPr>
              <w:t>FR-09</w:t>
            </w:r>
          </w:p>
        </w:tc>
        <w:tc>
          <w:tcPr>
            <w:tcW w:type="dxa" w:w="5184"/>
          </w:tcPr>
          <w:p>
            <w:r/>
            <w:r>
              <w:rPr>
                <w:b w:val="0"/>
                <w:sz w:val="18"/>
              </w:rPr>
              <w:t>ML risk scoring</w:t>
            </w:r>
          </w:p>
        </w:tc>
        <w:tc>
          <w:tcPr>
            <w:tcW w:type="dxa" w:w="1296"/>
          </w:tcPr>
          <w:p>
            <w:r/>
            <w:r>
              <w:rPr>
                <w:b w:val="0"/>
                <w:sz w:val="18"/>
              </w:rPr>
              <w:t>High</w:t>
            </w:r>
          </w:p>
        </w:tc>
        <w:tc>
          <w:tcPr>
            <w:tcW w:type="dxa" w:w="2016"/>
          </w:tcPr>
          <w:p>
            <w:r/>
            <w:r>
              <w:rPr>
                <w:b w:val="0"/>
                <w:sz w:val="18"/>
              </w:rPr>
              <w:t>UC-Score</w:t>
            </w:r>
          </w:p>
        </w:tc>
      </w:tr>
      <w:tr>
        <w:tc>
          <w:tcPr>
            <w:tcW w:type="dxa" w:w="1152"/>
          </w:tcPr>
          <w:p>
            <w:r/>
            <w:r>
              <w:rPr>
                <w:b/>
                <w:sz w:val="18"/>
              </w:rPr>
              <w:t>FR-10</w:t>
            </w:r>
          </w:p>
        </w:tc>
        <w:tc>
          <w:tcPr>
            <w:tcW w:type="dxa" w:w="5184"/>
          </w:tcPr>
          <w:p>
            <w:r/>
            <w:r>
              <w:rPr>
                <w:b w:val="0"/>
                <w:sz w:val="18"/>
              </w:rPr>
              <w:t>Per-finding explainability</w:t>
            </w:r>
          </w:p>
        </w:tc>
        <w:tc>
          <w:tcPr>
            <w:tcW w:type="dxa" w:w="1296"/>
          </w:tcPr>
          <w:p>
            <w:r/>
            <w:r>
              <w:rPr>
                <w:b w:val="0"/>
                <w:sz w:val="18"/>
              </w:rPr>
              <w:t>High</w:t>
            </w:r>
          </w:p>
        </w:tc>
        <w:tc>
          <w:tcPr>
            <w:tcW w:type="dxa" w:w="2016"/>
          </w:tcPr>
          <w:p>
            <w:r/>
            <w:r>
              <w:rPr>
                <w:b w:val="0"/>
                <w:sz w:val="18"/>
              </w:rPr>
              <w:t>UC-Detail</w:t>
            </w:r>
          </w:p>
        </w:tc>
      </w:tr>
      <w:tr>
        <w:tc>
          <w:tcPr>
            <w:tcW w:type="dxa" w:w="1152"/>
          </w:tcPr>
          <w:p>
            <w:r/>
            <w:r>
              <w:rPr>
                <w:b/>
                <w:sz w:val="18"/>
              </w:rPr>
              <w:t>FR-11</w:t>
            </w:r>
          </w:p>
        </w:tc>
        <w:tc>
          <w:tcPr>
            <w:tcW w:type="dxa" w:w="5184"/>
          </w:tcPr>
          <w:p>
            <w:r/>
            <w:r>
              <w:rPr>
                <w:b w:val="0"/>
                <w:sz w:val="18"/>
              </w:rPr>
              <w:t>Threat-intel &amp; ATT&amp;CK enrichment</w:t>
            </w:r>
          </w:p>
        </w:tc>
        <w:tc>
          <w:tcPr>
            <w:tcW w:type="dxa" w:w="1296"/>
          </w:tcPr>
          <w:p>
            <w:r/>
            <w:r>
              <w:rPr>
                <w:b w:val="0"/>
                <w:sz w:val="18"/>
              </w:rPr>
              <w:t>Medium</w:t>
            </w:r>
          </w:p>
        </w:tc>
        <w:tc>
          <w:tcPr>
            <w:tcW w:type="dxa" w:w="2016"/>
          </w:tcPr>
          <w:p>
            <w:r/>
            <w:r>
              <w:rPr>
                <w:b w:val="0"/>
                <w:sz w:val="18"/>
              </w:rPr>
              <w:t>UC-Intel</w:t>
            </w:r>
          </w:p>
        </w:tc>
      </w:tr>
      <w:tr>
        <w:tc>
          <w:tcPr>
            <w:tcW w:type="dxa" w:w="1152"/>
          </w:tcPr>
          <w:p>
            <w:r/>
            <w:r>
              <w:rPr>
                <w:b/>
                <w:sz w:val="18"/>
              </w:rPr>
              <w:t>FR-12</w:t>
            </w:r>
          </w:p>
        </w:tc>
        <w:tc>
          <w:tcPr>
            <w:tcW w:type="dxa" w:w="5184"/>
          </w:tcPr>
          <w:p>
            <w:r/>
            <w:r>
              <w:rPr>
                <w:b w:val="0"/>
                <w:sz w:val="18"/>
              </w:rPr>
              <w:t>Risk-ranked triage queue</w:t>
            </w:r>
          </w:p>
        </w:tc>
        <w:tc>
          <w:tcPr>
            <w:tcW w:type="dxa" w:w="1296"/>
          </w:tcPr>
          <w:p>
            <w:r/>
            <w:r>
              <w:rPr>
                <w:b w:val="0"/>
                <w:sz w:val="18"/>
              </w:rPr>
              <w:t>High</w:t>
            </w:r>
          </w:p>
        </w:tc>
        <w:tc>
          <w:tcPr>
            <w:tcW w:type="dxa" w:w="2016"/>
          </w:tcPr>
          <w:p>
            <w:r/>
            <w:r>
              <w:rPr>
                <w:b w:val="0"/>
                <w:sz w:val="18"/>
              </w:rPr>
              <w:t>UC-Triage</w:t>
            </w:r>
          </w:p>
        </w:tc>
      </w:tr>
      <w:tr>
        <w:tc>
          <w:tcPr>
            <w:tcW w:type="dxa" w:w="1152"/>
          </w:tcPr>
          <w:p>
            <w:r/>
            <w:r>
              <w:rPr>
                <w:b/>
                <w:sz w:val="18"/>
              </w:rPr>
              <w:t>FR-13</w:t>
            </w:r>
          </w:p>
        </w:tc>
        <w:tc>
          <w:tcPr>
            <w:tcW w:type="dxa" w:w="5184"/>
          </w:tcPr>
          <w:p>
            <w:r/>
            <w:r>
              <w:rPr>
                <w:b w:val="0"/>
                <w:sz w:val="18"/>
              </w:rPr>
              <w:t>Analyst feedback loop</w:t>
            </w:r>
          </w:p>
        </w:tc>
        <w:tc>
          <w:tcPr>
            <w:tcW w:type="dxa" w:w="1296"/>
          </w:tcPr>
          <w:p>
            <w:r/>
            <w:r>
              <w:rPr>
                <w:b w:val="0"/>
                <w:sz w:val="18"/>
              </w:rPr>
              <w:t>Medium</w:t>
            </w:r>
          </w:p>
        </w:tc>
        <w:tc>
          <w:tcPr>
            <w:tcW w:type="dxa" w:w="2016"/>
          </w:tcPr>
          <w:p>
            <w:r/>
            <w:r>
              <w:rPr>
                <w:b w:val="0"/>
                <w:sz w:val="18"/>
              </w:rPr>
              <w:t>UC-Feedback</w:t>
            </w:r>
          </w:p>
        </w:tc>
      </w:tr>
      <w:tr>
        <w:tc>
          <w:tcPr>
            <w:tcW w:type="dxa" w:w="1152"/>
          </w:tcPr>
          <w:p>
            <w:r/>
            <w:r>
              <w:rPr>
                <w:b/>
                <w:sz w:val="18"/>
              </w:rPr>
              <w:t>FR-14</w:t>
            </w:r>
          </w:p>
        </w:tc>
        <w:tc>
          <w:tcPr>
            <w:tcW w:type="dxa" w:w="5184"/>
          </w:tcPr>
          <w:p>
            <w:r/>
            <w:r>
              <w:rPr>
                <w:b w:val="0"/>
                <w:sz w:val="18"/>
              </w:rPr>
              <w:t>Incident case management</w:t>
            </w:r>
          </w:p>
        </w:tc>
        <w:tc>
          <w:tcPr>
            <w:tcW w:type="dxa" w:w="1296"/>
          </w:tcPr>
          <w:p>
            <w:r/>
            <w:r>
              <w:rPr>
                <w:b w:val="0"/>
                <w:sz w:val="18"/>
              </w:rPr>
              <w:t>Medium</w:t>
            </w:r>
          </w:p>
        </w:tc>
        <w:tc>
          <w:tcPr>
            <w:tcW w:type="dxa" w:w="2016"/>
          </w:tcPr>
          <w:p>
            <w:r/>
            <w:r>
              <w:rPr>
                <w:b w:val="0"/>
                <w:sz w:val="18"/>
              </w:rPr>
              <w:t>UC-Case</w:t>
            </w:r>
          </w:p>
        </w:tc>
      </w:tr>
      <w:tr>
        <w:tc>
          <w:tcPr>
            <w:tcW w:type="dxa" w:w="1152"/>
          </w:tcPr>
          <w:p>
            <w:r/>
            <w:r>
              <w:rPr>
                <w:b/>
                <w:sz w:val="18"/>
              </w:rPr>
              <w:t>FR-15</w:t>
            </w:r>
          </w:p>
        </w:tc>
        <w:tc>
          <w:tcPr>
            <w:tcW w:type="dxa" w:w="5184"/>
          </w:tcPr>
          <w:p>
            <w:r/>
            <w:r>
              <w:rPr>
                <w:b w:val="0"/>
                <w:sz w:val="18"/>
              </w:rPr>
              <w:t>Signed active response</w:t>
            </w:r>
          </w:p>
        </w:tc>
        <w:tc>
          <w:tcPr>
            <w:tcW w:type="dxa" w:w="1296"/>
          </w:tcPr>
          <w:p>
            <w:r/>
            <w:r>
              <w:rPr>
                <w:b w:val="0"/>
                <w:sz w:val="18"/>
              </w:rPr>
              <w:t>High</w:t>
            </w:r>
          </w:p>
        </w:tc>
        <w:tc>
          <w:tcPr>
            <w:tcW w:type="dxa" w:w="2016"/>
          </w:tcPr>
          <w:p>
            <w:r/>
            <w:r>
              <w:rPr>
                <w:b w:val="0"/>
                <w:sz w:val="18"/>
              </w:rPr>
              <w:t>UC-Request / UC-Exec</w:t>
            </w:r>
          </w:p>
        </w:tc>
      </w:tr>
      <w:tr>
        <w:tc>
          <w:tcPr>
            <w:tcW w:type="dxa" w:w="1152"/>
          </w:tcPr>
          <w:p>
            <w:r/>
            <w:r>
              <w:rPr>
                <w:b/>
                <w:sz w:val="18"/>
              </w:rPr>
              <w:t>FR-16</w:t>
            </w:r>
          </w:p>
        </w:tc>
        <w:tc>
          <w:tcPr>
            <w:tcW w:type="dxa" w:w="5184"/>
          </w:tcPr>
          <w:p>
            <w:r/>
            <w:r>
              <w:rPr>
                <w:b w:val="0"/>
                <w:sz w:val="18"/>
              </w:rPr>
              <w:t>Two-person approval</w:t>
            </w:r>
          </w:p>
        </w:tc>
        <w:tc>
          <w:tcPr>
            <w:tcW w:type="dxa" w:w="1296"/>
          </w:tcPr>
          <w:p>
            <w:r/>
            <w:r>
              <w:rPr>
                <w:b w:val="0"/>
                <w:sz w:val="18"/>
              </w:rPr>
              <w:t>High</w:t>
            </w:r>
          </w:p>
        </w:tc>
        <w:tc>
          <w:tcPr>
            <w:tcW w:type="dxa" w:w="2016"/>
          </w:tcPr>
          <w:p>
            <w:r/>
            <w:r>
              <w:rPr>
                <w:b w:val="0"/>
                <w:sz w:val="18"/>
              </w:rPr>
              <w:t>UC-Approve</w:t>
            </w:r>
          </w:p>
        </w:tc>
      </w:tr>
      <w:tr>
        <w:tc>
          <w:tcPr>
            <w:tcW w:type="dxa" w:w="1152"/>
          </w:tcPr>
          <w:p>
            <w:r/>
            <w:r>
              <w:rPr>
                <w:b/>
                <w:sz w:val="18"/>
              </w:rPr>
              <w:t>FR-17</w:t>
            </w:r>
          </w:p>
        </w:tc>
        <w:tc>
          <w:tcPr>
            <w:tcW w:type="dxa" w:w="5184"/>
          </w:tcPr>
          <w:p>
            <w:r/>
            <w:r>
              <w:rPr>
                <w:b w:val="0"/>
                <w:sz w:val="18"/>
              </w:rPr>
              <w:t>Authentication &amp; RBAC</w:t>
            </w:r>
          </w:p>
        </w:tc>
        <w:tc>
          <w:tcPr>
            <w:tcW w:type="dxa" w:w="1296"/>
          </w:tcPr>
          <w:p>
            <w:r/>
            <w:r>
              <w:rPr>
                <w:b w:val="0"/>
                <w:sz w:val="18"/>
              </w:rPr>
              <w:t>High</w:t>
            </w:r>
          </w:p>
        </w:tc>
        <w:tc>
          <w:tcPr>
            <w:tcW w:type="dxa" w:w="2016"/>
          </w:tcPr>
          <w:p>
            <w:r/>
            <w:r>
              <w:rPr>
                <w:b w:val="0"/>
                <w:sz w:val="18"/>
              </w:rPr>
              <w:t>UC-Users</w:t>
            </w:r>
          </w:p>
        </w:tc>
      </w:tr>
      <w:tr>
        <w:tc>
          <w:tcPr>
            <w:tcW w:type="dxa" w:w="1152"/>
          </w:tcPr>
          <w:p>
            <w:r/>
            <w:r>
              <w:rPr>
                <w:b/>
                <w:sz w:val="18"/>
              </w:rPr>
              <w:t>FR-18</w:t>
            </w:r>
          </w:p>
        </w:tc>
        <w:tc>
          <w:tcPr>
            <w:tcW w:type="dxa" w:w="5184"/>
          </w:tcPr>
          <w:p>
            <w:r/>
            <w:r>
              <w:rPr>
                <w:b w:val="0"/>
                <w:sz w:val="18"/>
              </w:rPr>
              <w:t>Air-gap enforcement &amp; verification</w:t>
            </w:r>
          </w:p>
        </w:tc>
        <w:tc>
          <w:tcPr>
            <w:tcW w:type="dxa" w:w="1296"/>
          </w:tcPr>
          <w:p>
            <w:r/>
            <w:r>
              <w:rPr>
                <w:b w:val="0"/>
                <w:sz w:val="18"/>
              </w:rPr>
              <w:t>High</w:t>
            </w:r>
          </w:p>
        </w:tc>
        <w:tc>
          <w:tcPr>
            <w:tcW w:type="dxa" w:w="2016"/>
          </w:tcPr>
          <w:p>
            <w:r/>
            <w:r>
              <w:rPr>
                <w:b w:val="0"/>
                <w:sz w:val="18"/>
              </w:rPr>
              <w:t>UC-Airgap</w:t>
            </w:r>
          </w:p>
        </w:tc>
      </w:tr>
      <w:tr>
        <w:tc>
          <w:tcPr>
            <w:tcW w:type="dxa" w:w="1152"/>
          </w:tcPr>
          <w:p>
            <w:r/>
            <w:r>
              <w:rPr>
                <w:b/>
                <w:sz w:val="18"/>
              </w:rPr>
              <w:t>FR-19</w:t>
            </w:r>
          </w:p>
        </w:tc>
        <w:tc>
          <w:tcPr>
            <w:tcW w:type="dxa" w:w="5184"/>
          </w:tcPr>
          <w:p>
            <w:r/>
            <w:r>
              <w:rPr>
                <w:b w:val="0"/>
                <w:sz w:val="18"/>
              </w:rPr>
              <w:t>Offline installation &amp; updates</w:t>
            </w:r>
          </w:p>
        </w:tc>
        <w:tc>
          <w:tcPr>
            <w:tcW w:type="dxa" w:w="1296"/>
          </w:tcPr>
          <w:p>
            <w:r/>
            <w:r>
              <w:rPr>
                <w:b w:val="0"/>
                <w:sz w:val="18"/>
              </w:rPr>
              <w:t>Medium</w:t>
            </w:r>
          </w:p>
        </w:tc>
        <w:tc>
          <w:tcPr>
            <w:tcW w:type="dxa" w:w="2016"/>
          </w:tcPr>
          <w:p>
            <w:r/>
            <w:r>
              <w:rPr>
                <w:b w:val="0"/>
                <w:sz w:val="18"/>
              </w:rPr>
              <w:t>UC-Bundle</w:t>
            </w:r>
          </w:p>
        </w:tc>
      </w:tr>
      <w:tr>
        <w:tc>
          <w:tcPr>
            <w:tcW w:type="dxa" w:w="1152"/>
          </w:tcPr>
          <w:p>
            <w:r/>
            <w:r>
              <w:rPr>
                <w:b/>
                <w:sz w:val="18"/>
              </w:rPr>
              <w:t>FR-20</w:t>
            </w:r>
          </w:p>
        </w:tc>
        <w:tc>
          <w:tcPr>
            <w:tcW w:type="dxa" w:w="5184"/>
          </w:tcPr>
          <w:p>
            <w:r/>
            <w:r>
              <w:rPr>
                <w:b w:val="0"/>
                <w:sz w:val="18"/>
              </w:rPr>
              <w:t>Dashboards &amp; search</w:t>
            </w:r>
          </w:p>
        </w:tc>
        <w:tc>
          <w:tcPr>
            <w:tcW w:type="dxa" w:w="1296"/>
          </w:tcPr>
          <w:p>
            <w:r/>
            <w:r>
              <w:rPr>
                <w:b w:val="0"/>
                <w:sz w:val="18"/>
              </w:rPr>
              <w:t>Medium</w:t>
            </w:r>
          </w:p>
        </w:tc>
        <w:tc>
          <w:tcPr>
            <w:tcW w:type="dxa" w:w="2016"/>
          </w:tcPr>
          <w:p>
            <w:r/>
            <w:r>
              <w:rPr>
                <w:b w:val="0"/>
                <w:sz w:val="18"/>
              </w:rPr>
              <w:t>UC-Dash / UC-Hunt</w:t>
            </w:r>
          </w:p>
        </w:tc>
      </w:tr>
    </w:tbl>
    <w:p>
      <w:r>
        <w:br w:type="page"/>
      </w:r>
    </w:p>
    <w:p>
      <w:pPr>
        <w:pStyle w:val="Heading2"/>
      </w:pPr>
      <w:r>
        <w:t>5.1  Functional Requirements with Traceability Information</w:t>
      </w:r>
    </w:p>
    <w:p>
      <w:pPr>
        <w:spacing w:after="120"/>
      </w:pPr>
      <w:r>
        <w:rPr>
          <w:b w:val="0"/>
          <w:i w:val="0"/>
          <w:color w:val="555B62"/>
          <w:sz w:val="21"/>
        </w:rPr>
        <w:t>Each requirement is specified below in its own traceability table.</w:t>
      </w:r>
    </w:p>
    <w:tbl>
      <w:tblPr>
        <w:tblStyle w:val="LightList-Accent1"/>
        <w:tblW w:type="auto" w:w="0"/>
        <w:jc w:val="center"/>
        <w:tblLook w:firstColumn="1" w:firstRow="1" w:lastColumn="0" w:lastRow="0" w:noHBand="0" w:noVBand="1" w:val="04A0"/>
      </w:tblPr>
      <w:tblGrid>
        <w:gridCol w:w="4320"/>
        <w:gridCol w:w="4320"/>
      </w:tblGrid>
      <w:tr>
        <w:tc>
          <w:tcPr>
            <w:tcW w:type="dxa" w:w="2448"/>
            <w:shd w:val="clear" w:fill="EDF3F2"/>
          </w:tcPr>
          <w:p>
            <w:r/>
            <w:r>
              <w:rPr>
                <w:b/>
                <w:sz w:val="19"/>
              </w:rPr>
              <w:t>Requirement ID</w:t>
            </w:r>
          </w:p>
        </w:tc>
        <w:tc>
          <w:tcPr>
            <w:tcW w:type="dxa" w:w="6624"/>
          </w:tcPr>
          <w:p>
            <w:r/>
            <w:r>
              <w:rPr>
                <w:b w:val="0"/>
                <w:sz w:val="19"/>
              </w:rPr>
              <w:t>FR-01  —  Telemetry collection</w:t>
            </w:r>
          </w:p>
        </w:tc>
      </w:tr>
      <w:tr>
        <w:tc>
          <w:tcPr>
            <w:tcW w:type="dxa" w:w="2448"/>
            <w:shd w:val="clear" w:fill="EDF3F2"/>
          </w:tcPr>
          <w:p>
            <w:r/>
            <w:r>
              <w:rPr>
                <w:b/>
                <w:sz w:val="19"/>
              </w:rPr>
              <w:t>Status</w:t>
            </w:r>
          </w:p>
        </w:tc>
        <w:tc>
          <w:tcPr>
            <w:tcW w:type="dxa" w:w="6624"/>
          </w:tcPr>
          <w:p>
            <w:r/>
            <w:r>
              <w:rPr>
                <w:b w:val="0"/>
                <w:sz w:val="19"/>
              </w:rPr>
              <w:t>Baselined  ·  Priority: High</w:t>
            </w:r>
          </w:p>
        </w:tc>
      </w:tr>
      <w:tr>
        <w:tc>
          <w:tcPr>
            <w:tcW w:type="dxa" w:w="2448"/>
            <w:shd w:val="clear" w:fill="EDF3F2"/>
          </w:tcPr>
          <w:p>
            <w:r/>
            <w:r>
              <w:rPr>
                <w:b/>
                <w:sz w:val="19"/>
              </w:rPr>
              <w:t>Description</w:t>
            </w:r>
          </w:p>
        </w:tc>
        <w:tc>
          <w:tcPr>
            <w:tcW w:type="dxa" w:w="6624"/>
          </w:tcPr>
          <w:p>
            <w:r/>
            <w:r>
              <w:rPr>
                <w:b w:val="0"/>
                <w:sz w:val="19"/>
              </w:rPr>
              <w:t>The endpoint agent shall collect process events, network flows, file-integrity events and osquery host-state and ship them as schema-valid telemetry envelopes.</w:t>
            </w:r>
          </w:p>
        </w:tc>
      </w:tr>
      <w:tr>
        <w:tc>
          <w:tcPr>
            <w:tcW w:type="dxa" w:w="2448"/>
            <w:shd w:val="clear" w:fill="EDF3F2"/>
          </w:tcPr>
          <w:p>
            <w:r/>
            <w:r>
              <w:rPr>
                <w:b/>
                <w:sz w:val="19"/>
              </w:rPr>
              <w:t>Rationale</w:t>
            </w:r>
          </w:p>
        </w:tc>
        <w:tc>
          <w:tcPr>
            <w:tcW w:type="dxa" w:w="6624"/>
          </w:tcPr>
          <w:p>
            <w:r/>
            <w:r>
              <w:rPr>
                <w:b w:val="0"/>
                <w:sz w:val="19"/>
              </w:rPr>
              <w:t>Endpoints must be observable to detect and enrich threats.</w:t>
            </w:r>
          </w:p>
        </w:tc>
      </w:tr>
      <w:tr>
        <w:tc>
          <w:tcPr>
            <w:tcW w:type="dxa" w:w="2448"/>
            <w:shd w:val="clear" w:fill="EDF3F2"/>
          </w:tcPr>
          <w:p>
            <w:r/>
            <w:r>
              <w:rPr>
                <w:b/>
                <w:sz w:val="19"/>
              </w:rPr>
              <w:t>Source</w:t>
            </w:r>
          </w:p>
        </w:tc>
        <w:tc>
          <w:tcPr>
            <w:tcW w:type="dxa" w:w="6624"/>
          </w:tcPr>
          <w:p>
            <w:r/>
            <w:r>
              <w:rPr>
                <w:b w:val="0"/>
                <w:sz w:val="19"/>
              </w:rPr>
              <w:t>PITB requirement; ARCHITECTURE §Agent</w:t>
            </w:r>
          </w:p>
        </w:tc>
      </w:tr>
      <w:tr>
        <w:tc>
          <w:tcPr>
            <w:tcW w:type="dxa" w:w="2448"/>
            <w:shd w:val="clear" w:fill="EDF3F2"/>
          </w:tcPr>
          <w:p>
            <w:r/>
            <w:r>
              <w:rPr>
                <w:b/>
                <w:sz w:val="19"/>
              </w:rPr>
              <w:t>Use case / Verification</w:t>
            </w:r>
          </w:p>
        </w:tc>
        <w:tc>
          <w:tcPr>
            <w:tcW w:type="dxa" w:w="6624"/>
          </w:tcPr>
          <w:p>
            <w:r/>
            <w:r>
              <w:rPr>
                <w:b w:val="0"/>
                <w:sz w:val="19"/>
              </w:rPr>
              <w:t>UC-Collect  ·  Verified by: unit tests / evaluation harness / e2e smoke (see §6.2, Table 26)</w:t>
            </w:r>
          </w:p>
        </w:tc>
      </w:tr>
    </w:tbl>
    <w:p>
      <w:pPr>
        <w:spacing w:after="80"/>
      </w:pPr>
    </w:p>
    <w:tbl>
      <w:tblPr>
        <w:tblStyle w:val="LightList-Accent1"/>
        <w:tblW w:type="auto" w:w="0"/>
        <w:jc w:val="center"/>
        <w:tblLook w:firstColumn="1" w:firstRow="1" w:lastColumn="0" w:lastRow="0" w:noHBand="0" w:noVBand="1" w:val="04A0"/>
      </w:tblPr>
      <w:tblGrid>
        <w:gridCol w:w="4320"/>
        <w:gridCol w:w="4320"/>
      </w:tblGrid>
      <w:tr>
        <w:tc>
          <w:tcPr>
            <w:tcW w:type="dxa" w:w="2448"/>
            <w:shd w:val="clear" w:fill="EDF3F2"/>
          </w:tcPr>
          <w:p>
            <w:r/>
            <w:r>
              <w:rPr>
                <w:b/>
                <w:sz w:val="19"/>
              </w:rPr>
              <w:t>Requirement ID</w:t>
            </w:r>
          </w:p>
        </w:tc>
        <w:tc>
          <w:tcPr>
            <w:tcW w:type="dxa" w:w="6624"/>
          </w:tcPr>
          <w:p>
            <w:r/>
            <w:r>
              <w:rPr>
                <w:b w:val="0"/>
                <w:sz w:val="19"/>
              </w:rPr>
              <w:t>FR-02  —  Secure ingestion</w:t>
            </w:r>
          </w:p>
        </w:tc>
      </w:tr>
      <w:tr>
        <w:tc>
          <w:tcPr>
            <w:tcW w:type="dxa" w:w="2448"/>
            <w:shd w:val="clear" w:fill="EDF3F2"/>
          </w:tcPr>
          <w:p>
            <w:r/>
            <w:r>
              <w:rPr>
                <w:b/>
                <w:sz w:val="19"/>
              </w:rPr>
              <w:t>Status</w:t>
            </w:r>
          </w:p>
        </w:tc>
        <w:tc>
          <w:tcPr>
            <w:tcW w:type="dxa" w:w="6624"/>
          </w:tcPr>
          <w:p>
            <w:r/>
            <w:r>
              <w:rPr>
                <w:b w:val="0"/>
                <w:sz w:val="19"/>
              </w:rPr>
              <w:t>Baselined  ·  Priority: High</w:t>
            </w:r>
          </w:p>
        </w:tc>
      </w:tr>
      <w:tr>
        <w:tc>
          <w:tcPr>
            <w:tcW w:type="dxa" w:w="2448"/>
            <w:shd w:val="clear" w:fill="EDF3F2"/>
          </w:tcPr>
          <w:p>
            <w:r/>
            <w:r>
              <w:rPr>
                <w:b/>
                <w:sz w:val="19"/>
              </w:rPr>
              <w:t>Description</w:t>
            </w:r>
          </w:p>
        </w:tc>
        <w:tc>
          <w:tcPr>
            <w:tcW w:type="dxa" w:w="6624"/>
          </w:tcPr>
          <w:p>
            <w:r/>
            <w:r>
              <w:rPr>
                <w:b w:val="0"/>
                <w:sz w:val="19"/>
              </w:rPr>
              <w:t>The system shall accept telemetry only over mutual TLS with a valid bearer token, validate each envelope against schema v1, and reject non-conforming or mismatched (agent_id≠cert CN) events.</w:t>
            </w:r>
          </w:p>
        </w:tc>
      </w:tr>
      <w:tr>
        <w:tc>
          <w:tcPr>
            <w:tcW w:type="dxa" w:w="2448"/>
            <w:shd w:val="clear" w:fill="EDF3F2"/>
          </w:tcPr>
          <w:p>
            <w:r/>
            <w:r>
              <w:rPr>
                <w:b/>
                <w:sz w:val="19"/>
              </w:rPr>
              <w:t>Rationale</w:t>
            </w:r>
          </w:p>
        </w:tc>
        <w:tc>
          <w:tcPr>
            <w:tcW w:type="dxa" w:w="6624"/>
          </w:tcPr>
          <w:p>
            <w:r/>
            <w:r>
              <w:rPr>
                <w:b w:val="0"/>
                <w:sz w:val="19"/>
              </w:rPr>
              <w:t>Prevents spoofed or malformed telemetry from poisoning the pipeline.</w:t>
            </w:r>
          </w:p>
        </w:tc>
      </w:tr>
      <w:tr>
        <w:tc>
          <w:tcPr>
            <w:tcW w:type="dxa" w:w="2448"/>
            <w:shd w:val="clear" w:fill="EDF3F2"/>
          </w:tcPr>
          <w:p>
            <w:r/>
            <w:r>
              <w:rPr>
                <w:b/>
                <w:sz w:val="19"/>
              </w:rPr>
              <w:t>Source</w:t>
            </w:r>
          </w:p>
        </w:tc>
        <w:tc>
          <w:tcPr>
            <w:tcW w:type="dxa" w:w="6624"/>
          </w:tcPr>
          <w:p>
            <w:r/>
            <w:r>
              <w:rPr>
                <w:b w:val="0"/>
                <w:sz w:val="19"/>
              </w:rPr>
              <w:t>THREAT-MODEL TB1</w:t>
            </w:r>
          </w:p>
        </w:tc>
      </w:tr>
      <w:tr>
        <w:tc>
          <w:tcPr>
            <w:tcW w:type="dxa" w:w="2448"/>
            <w:shd w:val="clear" w:fill="EDF3F2"/>
          </w:tcPr>
          <w:p>
            <w:r/>
            <w:r>
              <w:rPr>
                <w:b/>
                <w:sz w:val="19"/>
              </w:rPr>
              <w:t>Use case / Verification</w:t>
            </w:r>
          </w:p>
        </w:tc>
        <w:tc>
          <w:tcPr>
            <w:tcW w:type="dxa" w:w="6624"/>
          </w:tcPr>
          <w:p>
            <w:r/>
            <w:r>
              <w:rPr>
                <w:b w:val="0"/>
                <w:sz w:val="19"/>
              </w:rPr>
              <w:t>UC-Ship / UC-Ingest  ·  Verified by: unit tests / evaluation harness / e2e smoke (see §6.2, Table 26)</w:t>
            </w:r>
          </w:p>
        </w:tc>
      </w:tr>
    </w:tbl>
    <w:p>
      <w:pPr>
        <w:spacing w:after="80"/>
      </w:pPr>
    </w:p>
    <w:tbl>
      <w:tblPr>
        <w:tblStyle w:val="LightList-Accent1"/>
        <w:tblW w:type="auto" w:w="0"/>
        <w:jc w:val="center"/>
        <w:tblLook w:firstColumn="1" w:firstRow="1" w:lastColumn="0" w:lastRow="0" w:noHBand="0" w:noVBand="1" w:val="04A0"/>
      </w:tblPr>
      <w:tblGrid>
        <w:gridCol w:w="4320"/>
        <w:gridCol w:w="4320"/>
      </w:tblGrid>
      <w:tr>
        <w:tc>
          <w:tcPr>
            <w:tcW w:type="dxa" w:w="2448"/>
            <w:shd w:val="clear" w:fill="EDF3F2"/>
          </w:tcPr>
          <w:p>
            <w:r/>
            <w:r>
              <w:rPr>
                <w:b/>
                <w:sz w:val="19"/>
              </w:rPr>
              <w:t>Requirement ID</w:t>
            </w:r>
          </w:p>
        </w:tc>
        <w:tc>
          <w:tcPr>
            <w:tcW w:type="dxa" w:w="6624"/>
          </w:tcPr>
          <w:p>
            <w:r/>
            <w:r>
              <w:rPr>
                <w:b w:val="0"/>
                <w:sz w:val="19"/>
              </w:rPr>
              <w:t>FR-03  —  Durable queueing &amp; storage</w:t>
            </w:r>
          </w:p>
        </w:tc>
      </w:tr>
      <w:tr>
        <w:tc>
          <w:tcPr>
            <w:tcW w:type="dxa" w:w="2448"/>
            <w:shd w:val="clear" w:fill="EDF3F2"/>
          </w:tcPr>
          <w:p>
            <w:r/>
            <w:r>
              <w:rPr>
                <w:b/>
                <w:sz w:val="19"/>
              </w:rPr>
              <w:t>Status</w:t>
            </w:r>
          </w:p>
        </w:tc>
        <w:tc>
          <w:tcPr>
            <w:tcW w:type="dxa" w:w="6624"/>
          </w:tcPr>
          <w:p>
            <w:r/>
            <w:r>
              <w:rPr>
                <w:b w:val="0"/>
                <w:sz w:val="19"/>
              </w:rPr>
              <w:t>Baselined  ·  Priority: High</w:t>
            </w:r>
          </w:p>
        </w:tc>
      </w:tr>
      <w:tr>
        <w:tc>
          <w:tcPr>
            <w:tcW w:type="dxa" w:w="2448"/>
            <w:shd w:val="clear" w:fill="EDF3F2"/>
          </w:tcPr>
          <w:p>
            <w:r/>
            <w:r>
              <w:rPr>
                <w:b/>
                <w:sz w:val="19"/>
              </w:rPr>
              <w:t>Description</w:t>
            </w:r>
          </w:p>
        </w:tc>
        <w:tc>
          <w:tcPr>
            <w:tcW w:type="dxa" w:w="6624"/>
          </w:tcPr>
          <w:p>
            <w:r/>
            <w:r>
              <w:rPr>
                <w:b w:val="0"/>
                <w:sz w:val="19"/>
              </w:rPr>
              <w:t>The system shall enqueue validated telemetry on a durable broker (JetStream) and persist it to TimescaleDB and OpenSearch idempotently (event_id as key).</w:t>
            </w:r>
          </w:p>
        </w:tc>
      </w:tr>
      <w:tr>
        <w:tc>
          <w:tcPr>
            <w:tcW w:type="dxa" w:w="2448"/>
            <w:shd w:val="clear" w:fill="EDF3F2"/>
          </w:tcPr>
          <w:p>
            <w:r/>
            <w:r>
              <w:rPr>
                <w:b/>
                <w:sz w:val="19"/>
              </w:rPr>
              <w:t>Rationale</w:t>
            </w:r>
          </w:p>
        </w:tc>
        <w:tc>
          <w:tcPr>
            <w:tcW w:type="dxa" w:w="6624"/>
          </w:tcPr>
          <w:p>
            <w:r/>
            <w:r>
              <w:rPr>
                <w:b w:val="0"/>
                <w:sz w:val="19"/>
              </w:rPr>
              <w:t>Decouples ingest from processing and protects stores via back-pressure.</w:t>
            </w:r>
          </w:p>
        </w:tc>
      </w:tr>
      <w:tr>
        <w:tc>
          <w:tcPr>
            <w:tcW w:type="dxa" w:w="2448"/>
            <w:shd w:val="clear" w:fill="EDF3F2"/>
          </w:tcPr>
          <w:p>
            <w:r/>
            <w:r>
              <w:rPr>
                <w:b/>
                <w:sz w:val="19"/>
              </w:rPr>
              <w:t>Source</w:t>
            </w:r>
          </w:p>
        </w:tc>
        <w:tc>
          <w:tcPr>
            <w:tcW w:type="dxa" w:w="6624"/>
          </w:tcPr>
          <w:p>
            <w:r/>
            <w:r>
              <w:rPr>
                <w:b w:val="0"/>
                <w:sz w:val="19"/>
              </w:rPr>
              <w:t>ARCHITECTURE §Ingestion</w:t>
            </w:r>
          </w:p>
        </w:tc>
      </w:tr>
      <w:tr>
        <w:tc>
          <w:tcPr>
            <w:tcW w:type="dxa" w:w="2448"/>
            <w:shd w:val="clear" w:fill="EDF3F2"/>
          </w:tcPr>
          <w:p>
            <w:r/>
            <w:r>
              <w:rPr>
                <w:b/>
                <w:sz w:val="19"/>
              </w:rPr>
              <w:t>Use case / Verification</w:t>
            </w:r>
          </w:p>
        </w:tc>
        <w:tc>
          <w:tcPr>
            <w:tcW w:type="dxa" w:w="6624"/>
          </w:tcPr>
          <w:p>
            <w:r/>
            <w:r>
              <w:rPr>
                <w:b w:val="0"/>
                <w:sz w:val="19"/>
              </w:rPr>
              <w:t>UC-Ingest  ·  Verified by: unit tests / evaluation harness / e2e smoke (see §6.2, Table 26)</w:t>
            </w:r>
          </w:p>
        </w:tc>
      </w:tr>
    </w:tbl>
    <w:p>
      <w:pPr>
        <w:spacing w:after="80"/>
      </w:pPr>
    </w:p>
    <w:tbl>
      <w:tblPr>
        <w:tblStyle w:val="LightList-Accent1"/>
        <w:tblW w:type="auto" w:w="0"/>
        <w:jc w:val="center"/>
        <w:tblLook w:firstColumn="1" w:firstRow="1" w:lastColumn="0" w:lastRow="0" w:noHBand="0" w:noVBand="1" w:val="04A0"/>
      </w:tblPr>
      <w:tblGrid>
        <w:gridCol w:w="4320"/>
        <w:gridCol w:w="4320"/>
      </w:tblGrid>
      <w:tr>
        <w:tc>
          <w:tcPr>
            <w:tcW w:type="dxa" w:w="2448"/>
            <w:shd w:val="clear" w:fill="EDF3F2"/>
          </w:tcPr>
          <w:p>
            <w:r/>
            <w:r>
              <w:rPr>
                <w:b/>
                <w:sz w:val="19"/>
              </w:rPr>
              <w:t>Requirement ID</w:t>
            </w:r>
          </w:p>
        </w:tc>
        <w:tc>
          <w:tcPr>
            <w:tcW w:type="dxa" w:w="6624"/>
          </w:tcPr>
          <w:p>
            <w:r/>
            <w:r>
              <w:rPr>
                <w:b w:val="0"/>
                <w:sz w:val="19"/>
              </w:rPr>
              <w:t>FR-04  —  Multi-tool integration</w:t>
            </w:r>
          </w:p>
        </w:tc>
      </w:tr>
      <w:tr>
        <w:tc>
          <w:tcPr>
            <w:tcW w:type="dxa" w:w="2448"/>
            <w:shd w:val="clear" w:fill="EDF3F2"/>
          </w:tcPr>
          <w:p>
            <w:r/>
            <w:r>
              <w:rPr>
                <w:b/>
                <w:sz w:val="19"/>
              </w:rPr>
              <w:t>Status</w:t>
            </w:r>
          </w:p>
        </w:tc>
        <w:tc>
          <w:tcPr>
            <w:tcW w:type="dxa" w:w="6624"/>
          </w:tcPr>
          <w:p>
            <w:r/>
            <w:r>
              <w:rPr>
                <w:b w:val="0"/>
                <w:sz w:val="19"/>
              </w:rPr>
              <w:t>Baselined  ·  Priority: High</w:t>
            </w:r>
          </w:p>
        </w:tc>
      </w:tr>
      <w:tr>
        <w:tc>
          <w:tcPr>
            <w:tcW w:type="dxa" w:w="2448"/>
            <w:shd w:val="clear" w:fill="EDF3F2"/>
          </w:tcPr>
          <w:p>
            <w:r/>
            <w:r>
              <w:rPr>
                <w:b/>
                <w:sz w:val="19"/>
              </w:rPr>
              <w:t>Description</w:t>
            </w:r>
          </w:p>
        </w:tc>
        <w:tc>
          <w:tcPr>
            <w:tcW w:type="dxa" w:w="6624"/>
          </w:tcPr>
          <w:p>
            <w:r/>
            <w:r>
              <w:rPr>
                <w:b w:val="0"/>
                <w:sz w:val="19"/>
              </w:rPr>
              <w:t>The system shall integrate ten OSS tools (Suricata, Zeek, Wazuh, Falco, Trivy, Nuclei, MISP, OpenCTI, Sigma, and the agent), normalizing every detection into findings or envelopes.</w:t>
            </w:r>
          </w:p>
        </w:tc>
      </w:tr>
      <w:tr>
        <w:tc>
          <w:tcPr>
            <w:tcW w:type="dxa" w:w="2448"/>
            <w:shd w:val="clear" w:fill="EDF3F2"/>
          </w:tcPr>
          <w:p>
            <w:r/>
            <w:r>
              <w:rPr>
                <w:b/>
                <w:sz w:val="19"/>
              </w:rPr>
              <w:t>Rationale</w:t>
            </w:r>
          </w:p>
        </w:tc>
        <w:tc>
          <w:tcPr>
            <w:tcW w:type="dxa" w:w="6624"/>
          </w:tcPr>
          <w:p>
            <w:r/>
            <w:r>
              <w:rPr>
                <w:b w:val="0"/>
                <w:sz w:val="19"/>
              </w:rPr>
              <w:t>One normalized pipeline replaces ten disjoint consoles.</w:t>
            </w:r>
          </w:p>
        </w:tc>
      </w:tr>
      <w:tr>
        <w:tc>
          <w:tcPr>
            <w:tcW w:type="dxa" w:w="2448"/>
            <w:shd w:val="clear" w:fill="EDF3F2"/>
          </w:tcPr>
          <w:p>
            <w:r/>
            <w:r>
              <w:rPr>
                <w:b/>
                <w:sz w:val="19"/>
              </w:rPr>
              <w:t>Source</w:t>
            </w:r>
          </w:p>
        </w:tc>
        <w:tc>
          <w:tcPr>
            <w:tcW w:type="dxa" w:w="6624"/>
          </w:tcPr>
          <w:p>
            <w:r/>
            <w:r>
              <w:rPr>
                <w:b w:val="0"/>
                <w:sz w:val="19"/>
              </w:rPr>
              <w:t>Product scope; CONNECTORS.md</w:t>
            </w:r>
          </w:p>
        </w:tc>
      </w:tr>
      <w:tr>
        <w:tc>
          <w:tcPr>
            <w:tcW w:type="dxa" w:w="2448"/>
            <w:shd w:val="clear" w:fill="EDF3F2"/>
          </w:tcPr>
          <w:p>
            <w:r/>
            <w:r>
              <w:rPr>
                <w:b/>
                <w:sz w:val="19"/>
              </w:rPr>
              <w:t>Use case / Verification</w:t>
            </w:r>
          </w:p>
        </w:tc>
        <w:tc>
          <w:tcPr>
            <w:tcW w:type="dxa" w:w="6624"/>
          </w:tcPr>
          <w:p>
            <w:r/>
            <w:r>
              <w:rPr>
                <w:b w:val="0"/>
                <w:sz w:val="19"/>
              </w:rPr>
              <w:t>UC-Sensors  ·  Verified by: unit tests / evaluation harness / e2e smoke (see §6.2, Table 26)</w:t>
            </w:r>
          </w:p>
        </w:tc>
      </w:tr>
    </w:tbl>
    <w:p>
      <w:pPr>
        <w:spacing w:after="80"/>
      </w:pPr>
    </w:p>
    <w:tbl>
      <w:tblPr>
        <w:tblStyle w:val="LightList-Accent1"/>
        <w:tblW w:type="auto" w:w="0"/>
        <w:jc w:val="center"/>
        <w:tblLook w:firstColumn="1" w:firstRow="1" w:lastColumn="0" w:lastRow="0" w:noHBand="0" w:noVBand="1" w:val="04A0"/>
      </w:tblPr>
      <w:tblGrid>
        <w:gridCol w:w="4320"/>
        <w:gridCol w:w="4320"/>
      </w:tblGrid>
      <w:tr>
        <w:tc>
          <w:tcPr>
            <w:tcW w:type="dxa" w:w="2448"/>
            <w:shd w:val="clear" w:fill="EDF3F2"/>
          </w:tcPr>
          <w:p>
            <w:r/>
            <w:r>
              <w:rPr>
                <w:b/>
                <w:sz w:val="19"/>
              </w:rPr>
              <w:t>Requirement ID</w:t>
            </w:r>
          </w:p>
        </w:tc>
        <w:tc>
          <w:tcPr>
            <w:tcW w:type="dxa" w:w="6624"/>
          </w:tcPr>
          <w:p>
            <w:r/>
            <w:r>
              <w:rPr>
                <w:b w:val="0"/>
                <w:sz w:val="19"/>
              </w:rPr>
              <w:t>FR-05  —  Offline CVE enrichment</w:t>
            </w:r>
          </w:p>
        </w:tc>
      </w:tr>
      <w:tr>
        <w:tc>
          <w:tcPr>
            <w:tcW w:type="dxa" w:w="2448"/>
            <w:shd w:val="clear" w:fill="EDF3F2"/>
          </w:tcPr>
          <w:p>
            <w:r/>
            <w:r>
              <w:rPr>
                <w:b/>
                <w:sz w:val="19"/>
              </w:rPr>
              <w:t>Status</w:t>
            </w:r>
          </w:p>
        </w:tc>
        <w:tc>
          <w:tcPr>
            <w:tcW w:type="dxa" w:w="6624"/>
          </w:tcPr>
          <w:p>
            <w:r/>
            <w:r>
              <w:rPr>
                <w:b w:val="0"/>
                <w:sz w:val="19"/>
              </w:rPr>
              <w:t>Baselined  ·  Priority: High</w:t>
            </w:r>
          </w:p>
        </w:tc>
      </w:tr>
      <w:tr>
        <w:tc>
          <w:tcPr>
            <w:tcW w:type="dxa" w:w="2448"/>
            <w:shd w:val="clear" w:fill="EDF3F2"/>
          </w:tcPr>
          <w:p>
            <w:r/>
            <w:r>
              <w:rPr>
                <w:b/>
                <w:sz w:val="19"/>
              </w:rPr>
              <w:t>Description</w:t>
            </w:r>
          </w:p>
        </w:tc>
        <w:tc>
          <w:tcPr>
            <w:tcW w:type="dxa" w:w="6624"/>
          </w:tcPr>
          <w:p>
            <w:r/>
            <w:r>
              <w:rPr>
                <w:b w:val="0"/>
                <w:sz w:val="19"/>
              </w:rPr>
              <w:t>The system shall match discovered packages/CVEs and attach CVSS, EPSS and KEV from the local mirror, with no live internet call at runtime.</w:t>
            </w:r>
          </w:p>
        </w:tc>
      </w:tr>
      <w:tr>
        <w:tc>
          <w:tcPr>
            <w:tcW w:type="dxa" w:w="2448"/>
            <w:shd w:val="clear" w:fill="EDF3F2"/>
          </w:tcPr>
          <w:p>
            <w:r/>
            <w:r>
              <w:rPr>
                <w:b/>
                <w:sz w:val="19"/>
              </w:rPr>
              <w:t>Rationale</w:t>
            </w:r>
          </w:p>
        </w:tc>
        <w:tc>
          <w:tcPr>
            <w:tcW w:type="dxa" w:w="6624"/>
          </w:tcPr>
          <w:p>
            <w:r/>
            <w:r>
              <w:rPr>
                <w:b w:val="0"/>
                <w:sz w:val="19"/>
              </w:rPr>
              <w:t>Exploit-aware context is the basis of prioritization; air-gap forbids live calls.</w:t>
            </w:r>
          </w:p>
        </w:tc>
      </w:tr>
      <w:tr>
        <w:tc>
          <w:tcPr>
            <w:tcW w:type="dxa" w:w="2448"/>
            <w:shd w:val="clear" w:fill="EDF3F2"/>
          </w:tcPr>
          <w:p>
            <w:r/>
            <w:r>
              <w:rPr>
                <w:b/>
                <w:sz w:val="19"/>
              </w:rPr>
              <w:t>Source</w:t>
            </w:r>
          </w:p>
        </w:tc>
        <w:tc>
          <w:tcPr>
            <w:tcW w:type="dxa" w:w="6624"/>
          </w:tcPr>
          <w:p>
            <w:r/>
            <w:r>
              <w:rPr>
                <w:b w:val="0"/>
                <w:sz w:val="19"/>
              </w:rPr>
              <w:t>Literature (EPSS/KEV); AIRGAP.md</w:t>
            </w:r>
          </w:p>
        </w:tc>
      </w:tr>
      <w:tr>
        <w:tc>
          <w:tcPr>
            <w:tcW w:type="dxa" w:w="2448"/>
            <w:shd w:val="clear" w:fill="EDF3F2"/>
          </w:tcPr>
          <w:p>
            <w:r/>
            <w:r>
              <w:rPr>
                <w:b/>
                <w:sz w:val="19"/>
              </w:rPr>
              <w:t>Use case / Verification</w:t>
            </w:r>
          </w:p>
        </w:tc>
        <w:tc>
          <w:tcPr>
            <w:tcW w:type="dxa" w:w="6624"/>
          </w:tcPr>
          <w:p>
            <w:r/>
            <w:r>
              <w:rPr>
                <w:b w:val="0"/>
                <w:sz w:val="19"/>
              </w:rPr>
              <w:t>UC-Enrich  ·  Verified by: unit tests / evaluation harness / e2e smoke (see §6.2, Table 26)</w:t>
            </w:r>
          </w:p>
        </w:tc>
      </w:tr>
    </w:tbl>
    <w:p>
      <w:pPr>
        <w:spacing w:after="80"/>
      </w:pPr>
    </w:p>
    <w:tbl>
      <w:tblPr>
        <w:tblStyle w:val="LightList-Accent1"/>
        <w:tblW w:type="auto" w:w="0"/>
        <w:jc w:val="center"/>
        <w:tblLook w:firstColumn="1" w:firstRow="1" w:lastColumn="0" w:lastRow="0" w:noHBand="0" w:noVBand="1" w:val="04A0"/>
      </w:tblPr>
      <w:tblGrid>
        <w:gridCol w:w="4320"/>
        <w:gridCol w:w="4320"/>
      </w:tblGrid>
      <w:tr>
        <w:tc>
          <w:tcPr>
            <w:tcW w:type="dxa" w:w="2448"/>
            <w:shd w:val="clear" w:fill="EDF3F2"/>
          </w:tcPr>
          <w:p>
            <w:r/>
            <w:r>
              <w:rPr>
                <w:b/>
                <w:sz w:val="19"/>
              </w:rPr>
              <w:t>Requirement ID</w:t>
            </w:r>
          </w:p>
        </w:tc>
        <w:tc>
          <w:tcPr>
            <w:tcW w:type="dxa" w:w="6624"/>
          </w:tcPr>
          <w:p>
            <w:r/>
            <w:r>
              <w:rPr>
                <w:b w:val="0"/>
                <w:sz w:val="19"/>
              </w:rPr>
              <w:t>FR-06  —  CIS compliance evaluation</w:t>
            </w:r>
          </w:p>
        </w:tc>
      </w:tr>
      <w:tr>
        <w:tc>
          <w:tcPr>
            <w:tcW w:type="dxa" w:w="2448"/>
            <w:shd w:val="clear" w:fill="EDF3F2"/>
          </w:tcPr>
          <w:p>
            <w:r/>
            <w:r>
              <w:rPr>
                <w:b/>
                <w:sz w:val="19"/>
              </w:rPr>
              <w:t>Status</w:t>
            </w:r>
          </w:p>
        </w:tc>
        <w:tc>
          <w:tcPr>
            <w:tcW w:type="dxa" w:w="6624"/>
          </w:tcPr>
          <w:p>
            <w:r/>
            <w:r>
              <w:rPr>
                <w:b w:val="0"/>
                <w:sz w:val="19"/>
              </w:rPr>
              <w:t>Baselined  ·  Priority: Medium</w:t>
            </w:r>
          </w:p>
        </w:tc>
      </w:tr>
      <w:tr>
        <w:tc>
          <w:tcPr>
            <w:tcW w:type="dxa" w:w="2448"/>
            <w:shd w:val="clear" w:fill="EDF3F2"/>
          </w:tcPr>
          <w:p>
            <w:r/>
            <w:r>
              <w:rPr>
                <w:b/>
                <w:sz w:val="19"/>
              </w:rPr>
              <w:t>Description</w:t>
            </w:r>
          </w:p>
        </w:tc>
        <w:tc>
          <w:tcPr>
            <w:tcW w:type="dxa" w:w="6624"/>
          </w:tcPr>
          <w:p>
            <w:r/>
            <w:r>
              <w:rPr>
                <w:b w:val="0"/>
                <w:sz w:val="19"/>
              </w:rPr>
              <w:t>The system shall evaluate assets against CIS-benchmark-style rules producing pass/fail/partial/not-applicable, recording each result with a hash-chained evidence entry.</w:t>
            </w:r>
          </w:p>
        </w:tc>
      </w:tr>
      <w:tr>
        <w:tc>
          <w:tcPr>
            <w:tcW w:type="dxa" w:w="2448"/>
            <w:shd w:val="clear" w:fill="EDF3F2"/>
          </w:tcPr>
          <w:p>
            <w:r/>
            <w:r>
              <w:rPr>
                <w:b/>
                <w:sz w:val="19"/>
              </w:rPr>
              <w:t>Rationale</w:t>
            </w:r>
          </w:p>
        </w:tc>
        <w:tc>
          <w:tcPr>
            <w:tcW w:type="dxa" w:w="6624"/>
          </w:tcPr>
          <w:p>
            <w:r/>
            <w:r>
              <w:rPr>
                <w:b w:val="0"/>
                <w:sz w:val="19"/>
              </w:rPr>
              <w:t>Regulated buyers require auditable hardening posture.</w:t>
            </w:r>
          </w:p>
        </w:tc>
      </w:tr>
      <w:tr>
        <w:tc>
          <w:tcPr>
            <w:tcW w:type="dxa" w:w="2448"/>
            <w:shd w:val="clear" w:fill="EDF3F2"/>
          </w:tcPr>
          <w:p>
            <w:r/>
            <w:r>
              <w:rPr>
                <w:b/>
                <w:sz w:val="19"/>
              </w:rPr>
              <w:t>Source</w:t>
            </w:r>
          </w:p>
        </w:tc>
        <w:tc>
          <w:tcPr>
            <w:tcW w:type="dxa" w:w="6624"/>
          </w:tcPr>
          <w:p>
            <w:r/>
            <w:r>
              <w:rPr>
                <w:b w:val="0"/>
                <w:sz w:val="19"/>
              </w:rPr>
              <w:t>PITB compliance need</w:t>
            </w:r>
          </w:p>
        </w:tc>
      </w:tr>
      <w:tr>
        <w:tc>
          <w:tcPr>
            <w:tcW w:type="dxa" w:w="2448"/>
            <w:shd w:val="clear" w:fill="EDF3F2"/>
          </w:tcPr>
          <w:p>
            <w:r/>
            <w:r>
              <w:rPr>
                <w:b/>
                <w:sz w:val="19"/>
              </w:rPr>
              <w:t>Use case / Verification</w:t>
            </w:r>
          </w:p>
        </w:tc>
        <w:tc>
          <w:tcPr>
            <w:tcW w:type="dxa" w:w="6624"/>
          </w:tcPr>
          <w:p>
            <w:r/>
            <w:r>
              <w:rPr>
                <w:b w:val="0"/>
                <w:sz w:val="19"/>
              </w:rPr>
              <w:t>UC-Comply  ·  Verified by: unit tests / evaluation harness / e2e smoke (see §6.2, Table 26)</w:t>
            </w:r>
          </w:p>
        </w:tc>
      </w:tr>
    </w:tbl>
    <w:p>
      <w:pPr>
        <w:spacing w:after="80"/>
      </w:pPr>
    </w:p>
    <w:tbl>
      <w:tblPr>
        <w:tblStyle w:val="LightList-Accent1"/>
        <w:tblW w:type="auto" w:w="0"/>
        <w:jc w:val="center"/>
        <w:tblLook w:firstColumn="1" w:firstRow="1" w:lastColumn="0" w:lastRow="0" w:noHBand="0" w:noVBand="1" w:val="04A0"/>
      </w:tblPr>
      <w:tblGrid>
        <w:gridCol w:w="4320"/>
        <w:gridCol w:w="4320"/>
      </w:tblGrid>
      <w:tr>
        <w:tc>
          <w:tcPr>
            <w:tcW w:type="dxa" w:w="2448"/>
            <w:shd w:val="clear" w:fill="EDF3F2"/>
          </w:tcPr>
          <w:p>
            <w:r/>
            <w:r>
              <w:rPr>
                <w:b/>
                <w:sz w:val="19"/>
              </w:rPr>
              <w:t>Requirement ID</w:t>
            </w:r>
          </w:p>
        </w:tc>
        <w:tc>
          <w:tcPr>
            <w:tcW w:type="dxa" w:w="6624"/>
          </w:tcPr>
          <w:p>
            <w:r/>
            <w:r>
              <w:rPr>
                <w:b w:val="0"/>
                <w:sz w:val="19"/>
              </w:rPr>
              <w:t>FR-07  —  Cross-tool fusion</w:t>
            </w:r>
          </w:p>
        </w:tc>
      </w:tr>
      <w:tr>
        <w:tc>
          <w:tcPr>
            <w:tcW w:type="dxa" w:w="2448"/>
            <w:shd w:val="clear" w:fill="EDF3F2"/>
          </w:tcPr>
          <w:p>
            <w:r/>
            <w:r>
              <w:rPr>
                <w:b/>
                <w:sz w:val="19"/>
              </w:rPr>
              <w:t>Status</w:t>
            </w:r>
          </w:p>
        </w:tc>
        <w:tc>
          <w:tcPr>
            <w:tcW w:type="dxa" w:w="6624"/>
          </w:tcPr>
          <w:p>
            <w:r/>
            <w:r>
              <w:rPr>
                <w:b w:val="0"/>
                <w:sz w:val="19"/>
              </w:rPr>
              <w:t>Baselined  ·  Priority: High</w:t>
            </w:r>
          </w:p>
        </w:tc>
      </w:tr>
      <w:tr>
        <w:tc>
          <w:tcPr>
            <w:tcW w:type="dxa" w:w="2448"/>
            <w:shd w:val="clear" w:fill="EDF3F2"/>
          </w:tcPr>
          <w:p>
            <w:r/>
            <w:r>
              <w:rPr>
                <w:b/>
                <w:sz w:val="19"/>
              </w:rPr>
              <w:t>Description</w:t>
            </w:r>
          </w:p>
        </w:tc>
        <w:tc>
          <w:tcPr>
            <w:tcW w:type="dxa" w:w="6624"/>
          </w:tcPr>
          <w:p>
            <w:r/>
            <w:r>
              <w:rPr>
                <w:b w:val="0"/>
                <w:sz w:val="19"/>
              </w:rPr>
              <w:t>The system shall cluster findings sharing a tool-independent dedup_key into one issue and compute a consensus weight rising with the number of distinct corroborating tools.</w:t>
            </w:r>
          </w:p>
        </w:tc>
      </w:tr>
      <w:tr>
        <w:tc>
          <w:tcPr>
            <w:tcW w:type="dxa" w:w="2448"/>
            <w:shd w:val="clear" w:fill="EDF3F2"/>
          </w:tcPr>
          <w:p>
            <w:r/>
            <w:r>
              <w:rPr>
                <w:b/>
                <w:sz w:val="19"/>
              </w:rPr>
              <w:t>Rationale</w:t>
            </w:r>
          </w:p>
        </w:tc>
        <w:tc>
          <w:tcPr>
            <w:tcW w:type="dxa" w:w="6624"/>
          </w:tcPr>
          <w:p>
            <w:r/>
            <w:r>
              <w:rPr>
                <w:b w:val="0"/>
                <w:sz w:val="19"/>
              </w:rPr>
              <w:t>Independent corroboration is a strong, original prioritization signal.</w:t>
            </w:r>
          </w:p>
        </w:tc>
      </w:tr>
      <w:tr>
        <w:tc>
          <w:tcPr>
            <w:tcW w:type="dxa" w:w="2448"/>
            <w:shd w:val="clear" w:fill="EDF3F2"/>
          </w:tcPr>
          <w:p>
            <w:r/>
            <w:r>
              <w:rPr>
                <w:b/>
                <w:sz w:val="19"/>
              </w:rPr>
              <w:t>Source</w:t>
            </w:r>
          </w:p>
        </w:tc>
        <w:tc>
          <w:tcPr>
            <w:tcW w:type="dxa" w:w="6624"/>
          </w:tcPr>
          <w:p>
            <w:r/>
            <w:r>
              <w:rPr>
                <w:b w:val="0"/>
                <w:sz w:val="19"/>
              </w:rPr>
              <w:t>FUSION.md; original contribution</w:t>
            </w:r>
          </w:p>
        </w:tc>
      </w:tr>
      <w:tr>
        <w:tc>
          <w:tcPr>
            <w:tcW w:type="dxa" w:w="2448"/>
            <w:shd w:val="clear" w:fill="EDF3F2"/>
          </w:tcPr>
          <w:p>
            <w:r/>
            <w:r>
              <w:rPr>
                <w:b/>
                <w:sz w:val="19"/>
              </w:rPr>
              <w:t>Use case / Verification</w:t>
            </w:r>
          </w:p>
        </w:tc>
        <w:tc>
          <w:tcPr>
            <w:tcW w:type="dxa" w:w="6624"/>
          </w:tcPr>
          <w:p>
            <w:r/>
            <w:r>
              <w:rPr>
                <w:b w:val="0"/>
                <w:sz w:val="19"/>
              </w:rPr>
              <w:t>UC-Fuse  ·  Verified by: unit tests / evaluation harness / e2e smoke (see §6.2, Table 26)</w:t>
            </w:r>
          </w:p>
        </w:tc>
      </w:tr>
    </w:tbl>
    <w:p>
      <w:pPr>
        <w:spacing w:after="80"/>
      </w:pPr>
    </w:p>
    <w:tbl>
      <w:tblPr>
        <w:tblStyle w:val="LightList-Accent1"/>
        <w:tblW w:type="auto" w:w="0"/>
        <w:jc w:val="center"/>
        <w:tblLook w:firstColumn="1" w:firstRow="1" w:lastColumn="0" w:lastRow="0" w:noHBand="0" w:noVBand="1" w:val="04A0"/>
      </w:tblPr>
      <w:tblGrid>
        <w:gridCol w:w="4320"/>
        <w:gridCol w:w="4320"/>
      </w:tblGrid>
      <w:tr>
        <w:tc>
          <w:tcPr>
            <w:tcW w:type="dxa" w:w="2448"/>
            <w:shd w:val="clear" w:fill="EDF3F2"/>
          </w:tcPr>
          <w:p>
            <w:r/>
            <w:r>
              <w:rPr>
                <w:b/>
                <w:sz w:val="19"/>
              </w:rPr>
              <w:t>Requirement ID</w:t>
            </w:r>
          </w:p>
        </w:tc>
        <w:tc>
          <w:tcPr>
            <w:tcW w:type="dxa" w:w="6624"/>
          </w:tcPr>
          <w:p>
            <w:r/>
            <w:r>
              <w:rPr>
                <w:b w:val="0"/>
                <w:sz w:val="19"/>
              </w:rPr>
              <w:t>FR-08  —  Composite risk scoring</w:t>
            </w:r>
          </w:p>
        </w:tc>
      </w:tr>
      <w:tr>
        <w:tc>
          <w:tcPr>
            <w:tcW w:type="dxa" w:w="2448"/>
            <w:shd w:val="clear" w:fill="EDF3F2"/>
          </w:tcPr>
          <w:p>
            <w:r/>
            <w:r>
              <w:rPr>
                <w:b/>
                <w:sz w:val="19"/>
              </w:rPr>
              <w:t>Status</w:t>
            </w:r>
          </w:p>
        </w:tc>
        <w:tc>
          <w:tcPr>
            <w:tcW w:type="dxa" w:w="6624"/>
          </w:tcPr>
          <w:p>
            <w:r/>
            <w:r>
              <w:rPr>
                <w:b w:val="0"/>
                <w:sz w:val="19"/>
              </w:rPr>
              <w:t>Baselined  ·  Priority: High</w:t>
            </w:r>
          </w:p>
        </w:tc>
      </w:tr>
      <w:tr>
        <w:tc>
          <w:tcPr>
            <w:tcW w:type="dxa" w:w="2448"/>
            <w:shd w:val="clear" w:fill="EDF3F2"/>
          </w:tcPr>
          <w:p>
            <w:r/>
            <w:r>
              <w:rPr>
                <w:b/>
                <w:sz w:val="19"/>
              </w:rPr>
              <w:t>Description</w:t>
            </w:r>
          </w:p>
        </w:tc>
        <w:tc>
          <w:tcPr>
            <w:tcW w:type="dxa" w:w="6624"/>
          </w:tcPr>
          <w:p>
            <w:r/>
            <w:r>
              <w:rPr>
                <w:b w:val="0"/>
                <w:sz w:val="19"/>
              </w:rPr>
              <w:t>The system shall compute a transparent composite risk score (0–100) as a weighted sum of ten normalized factors, recording each factor's point contribution.</w:t>
            </w:r>
          </w:p>
        </w:tc>
      </w:tr>
      <w:tr>
        <w:tc>
          <w:tcPr>
            <w:tcW w:type="dxa" w:w="2448"/>
            <w:shd w:val="clear" w:fill="EDF3F2"/>
          </w:tcPr>
          <w:p>
            <w:r/>
            <w:r>
              <w:rPr>
                <w:b/>
                <w:sz w:val="19"/>
              </w:rPr>
              <w:t>Rationale</w:t>
            </w:r>
          </w:p>
        </w:tc>
        <w:tc>
          <w:tcPr>
            <w:tcW w:type="dxa" w:w="6624"/>
          </w:tcPr>
          <w:p>
            <w:r/>
            <w:r>
              <w:rPr>
                <w:b w:val="0"/>
                <w:sz w:val="19"/>
              </w:rPr>
              <w:t>A defensible, fully explainable baseline score.</w:t>
            </w:r>
          </w:p>
        </w:tc>
      </w:tr>
      <w:tr>
        <w:tc>
          <w:tcPr>
            <w:tcW w:type="dxa" w:w="2448"/>
            <w:shd w:val="clear" w:fill="EDF3F2"/>
          </w:tcPr>
          <w:p>
            <w:r/>
            <w:r>
              <w:rPr>
                <w:b/>
                <w:sz w:val="19"/>
              </w:rPr>
              <w:t>Source</w:t>
            </w:r>
          </w:p>
        </w:tc>
        <w:tc>
          <w:tcPr>
            <w:tcW w:type="dxa" w:w="6624"/>
          </w:tcPr>
          <w:p>
            <w:r/>
            <w:r>
              <w:rPr>
                <w:b w:val="0"/>
                <w:sz w:val="19"/>
              </w:rPr>
              <w:t>scoring.py; METHODOLOGY §FR4</w:t>
            </w:r>
          </w:p>
        </w:tc>
      </w:tr>
      <w:tr>
        <w:tc>
          <w:tcPr>
            <w:tcW w:type="dxa" w:w="2448"/>
            <w:shd w:val="clear" w:fill="EDF3F2"/>
          </w:tcPr>
          <w:p>
            <w:r/>
            <w:r>
              <w:rPr>
                <w:b/>
                <w:sz w:val="19"/>
              </w:rPr>
              <w:t>Use case / Verification</w:t>
            </w:r>
          </w:p>
        </w:tc>
        <w:tc>
          <w:tcPr>
            <w:tcW w:type="dxa" w:w="6624"/>
          </w:tcPr>
          <w:p>
            <w:r/>
            <w:r>
              <w:rPr>
                <w:b w:val="0"/>
                <w:sz w:val="19"/>
              </w:rPr>
              <w:t>UC-Score  ·  Verified by: unit tests / evaluation harness / e2e smoke (see §6.2, Table 26)</w:t>
            </w:r>
          </w:p>
        </w:tc>
      </w:tr>
    </w:tbl>
    <w:p>
      <w:pPr>
        <w:spacing w:after="80"/>
      </w:pPr>
    </w:p>
    <w:tbl>
      <w:tblPr>
        <w:tblStyle w:val="LightList-Accent1"/>
        <w:tblW w:type="auto" w:w="0"/>
        <w:jc w:val="center"/>
        <w:tblLook w:firstColumn="1" w:firstRow="1" w:lastColumn="0" w:lastRow="0" w:noHBand="0" w:noVBand="1" w:val="04A0"/>
      </w:tblPr>
      <w:tblGrid>
        <w:gridCol w:w="4320"/>
        <w:gridCol w:w="4320"/>
      </w:tblGrid>
      <w:tr>
        <w:tc>
          <w:tcPr>
            <w:tcW w:type="dxa" w:w="2448"/>
            <w:shd w:val="clear" w:fill="EDF3F2"/>
          </w:tcPr>
          <w:p>
            <w:r/>
            <w:r>
              <w:rPr>
                <w:b/>
                <w:sz w:val="19"/>
              </w:rPr>
              <w:t>Requirement ID</w:t>
            </w:r>
          </w:p>
        </w:tc>
        <w:tc>
          <w:tcPr>
            <w:tcW w:type="dxa" w:w="6624"/>
          </w:tcPr>
          <w:p>
            <w:r/>
            <w:r>
              <w:rPr>
                <w:b w:val="0"/>
                <w:sz w:val="19"/>
              </w:rPr>
              <w:t>FR-09  —  ML risk scoring</w:t>
            </w:r>
          </w:p>
        </w:tc>
      </w:tr>
      <w:tr>
        <w:tc>
          <w:tcPr>
            <w:tcW w:type="dxa" w:w="2448"/>
            <w:shd w:val="clear" w:fill="EDF3F2"/>
          </w:tcPr>
          <w:p>
            <w:r/>
            <w:r>
              <w:rPr>
                <w:b/>
                <w:sz w:val="19"/>
              </w:rPr>
              <w:t>Status</w:t>
            </w:r>
          </w:p>
        </w:tc>
        <w:tc>
          <w:tcPr>
            <w:tcW w:type="dxa" w:w="6624"/>
          </w:tcPr>
          <w:p>
            <w:r/>
            <w:r>
              <w:rPr>
                <w:b w:val="0"/>
                <w:sz w:val="19"/>
              </w:rPr>
              <w:t>Baselined  ·  Priority: High</w:t>
            </w:r>
          </w:p>
        </w:tc>
      </w:tr>
      <w:tr>
        <w:tc>
          <w:tcPr>
            <w:tcW w:type="dxa" w:w="2448"/>
            <w:shd w:val="clear" w:fill="EDF3F2"/>
          </w:tcPr>
          <w:p>
            <w:r/>
            <w:r>
              <w:rPr>
                <w:b/>
                <w:sz w:val="19"/>
              </w:rPr>
              <w:t>Description</w:t>
            </w:r>
          </w:p>
        </w:tc>
        <w:tc>
          <w:tcPr>
            <w:tcW w:type="dxa" w:w="6624"/>
          </w:tcPr>
          <w:p>
            <w:r/>
            <w:r>
              <w:rPr>
                <w:b w:val="0"/>
                <w:sz w:val="19"/>
              </w:rPr>
              <w:t>The system shall additionally score each finding with a trained XGBoost model capturing non-linear factor interactions.</w:t>
            </w:r>
          </w:p>
        </w:tc>
      </w:tr>
      <w:tr>
        <w:tc>
          <w:tcPr>
            <w:tcW w:type="dxa" w:w="2448"/>
            <w:shd w:val="clear" w:fill="EDF3F2"/>
          </w:tcPr>
          <w:p>
            <w:r/>
            <w:r>
              <w:rPr>
                <w:b/>
                <w:sz w:val="19"/>
              </w:rPr>
              <w:t>Rationale</w:t>
            </w:r>
          </w:p>
        </w:tc>
        <w:tc>
          <w:tcPr>
            <w:tcW w:type="dxa" w:w="6624"/>
          </w:tcPr>
          <w:p>
            <w:r/>
            <w:r>
              <w:rPr>
                <w:b w:val="0"/>
                <w:sz w:val="19"/>
              </w:rPr>
              <w:t>Learned interactions (KEV×EPSS, exposure×CVSS) improve ranking over the linear score.</w:t>
            </w:r>
          </w:p>
        </w:tc>
      </w:tr>
      <w:tr>
        <w:tc>
          <w:tcPr>
            <w:tcW w:type="dxa" w:w="2448"/>
            <w:shd w:val="clear" w:fill="EDF3F2"/>
          </w:tcPr>
          <w:p>
            <w:r/>
            <w:r>
              <w:rPr>
                <w:b/>
                <w:sz w:val="19"/>
              </w:rPr>
              <w:t>Source</w:t>
            </w:r>
          </w:p>
        </w:tc>
        <w:tc>
          <w:tcPr>
            <w:tcW w:type="dxa" w:w="6624"/>
          </w:tcPr>
          <w:p>
            <w:r/>
            <w:r>
              <w:rPr>
                <w:b w:val="0"/>
                <w:sz w:val="19"/>
              </w:rPr>
              <w:t>train.py; evaluate.py</w:t>
            </w:r>
          </w:p>
        </w:tc>
      </w:tr>
      <w:tr>
        <w:tc>
          <w:tcPr>
            <w:tcW w:type="dxa" w:w="2448"/>
            <w:shd w:val="clear" w:fill="EDF3F2"/>
          </w:tcPr>
          <w:p>
            <w:r/>
            <w:r>
              <w:rPr>
                <w:b/>
                <w:sz w:val="19"/>
              </w:rPr>
              <w:t>Use case / Verification</w:t>
            </w:r>
          </w:p>
        </w:tc>
        <w:tc>
          <w:tcPr>
            <w:tcW w:type="dxa" w:w="6624"/>
          </w:tcPr>
          <w:p>
            <w:r/>
            <w:r>
              <w:rPr>
                <w:b w:val="0"/>
                <w:sz w:val="19"/>
              </w:rPr>
              <w:t>UC-Score  ·  Verified by: unit tests / evaluation harness / e2e smoke (see §6.2, Table 26)</w:t>
            </w:r>
          </w:p>
        </w:tc>
      </w:tr>
    </w:tbl>
    <w:p>
      <w:pPr>
        <w:spacing w:after="80"/>
      </w:pPr>
    </w:p>
    <w:tbl>
      <w:tblPr>
        <w:tblStyle w:val="LightList-Accent1"/>
        <w:tblW w:type="auto" w:w="0"/>
        <w:jc w:val="center"/>
        <w:tblLook w:firstColumn="1" w:firstRow="1" w:lastColumn="0" w:lastRow="0" w:noHBand="0" w:noVBand="1" w:val="04A0"/>
      </w:tblPr>
      <w:tblGrid>
        <w:gridCol w:w="4320"/>
        <w:gridCol w:w="4320"/>
      </w:tblGrid>
      <w:tr>
        <w:tc>
          <w:tcPr>
            <w:tcW w:type="dxa" w:w="2448"/>
            <w:shd w:val="clear" w:fill="EDF3F2"/>
          </w:tcPr>
          <w:p>
            <w:r/>
            <w:r>
              <w:rPr>
                <w:b/>
                <w:sz w:val="19"/>
              </w:rPr>
              <w:t>Requirement ID</w:t>
            </w:r>
          </w:p>
        </w:tc>
        <w:tc>
          <w:tcPr>
            <w:tcW w:type="dxa" w:w="6624"/>
          </w:tcPr>
          <w:p>
            <w:r/>
            <w:r>
              <w:rPr>
                <w:b w:val="0"/>
                <w:sz w:val="19"/>
              </w:rPr>
              <w:t>FR-10  —  Per-finding explainability</w:t>
            </w:r>
          </w:p>
        </w:tc>
      </w:tr>
      <w:tr>
        <w:tc>
          <w:tcPr>
            <w:tcW w:type="dxa" w:w="2448"/>
            <w:shd w:val="clear" w:fill="EDF3F2"/>
          </w:tcPr>
          <w:p>
            <w:r/>
            <w:r>
              <w:rPr>
                <w:b/>
                <w:sz w:val="19"/>
              </w:rPr>
              <w:t>Status</w:t>
            </w:r>
          </w:p>
        </w:tc>
        <w:tc>
          <w:tcPr>
            <w:tcW w:type="dxa" w:w="6624"/>
          </w:tcPr>
          <w:p>
            <w:r/>
            <w:r>
              <w:rPr>
                <w:b w:val="0"/>
                <w:sz w:val="19"/>
              </w:rPr>
              <w:t>Baselined  ·  Priority: High</w:t>
            </w:r>
          </w:p>
        </w:tc>
      </w:tr>
      <w:tr>
        <w:tc>
          <w:tcPr>
            <w:tcW w:type="dxa" w:w="2448"/>
            <w:shd w:val="clear" w:fill="EDF3F2"/>
          </w:tcPr>
          <w:p>
            <w:r/>
            <w:r>
              <w:rPr>
                <w:b/>
                <w:sz w:val="19"/>
              </w:rPr>
              <w:t>Description</w:t>
            </w:r>
          </w:p>
        </w:tc>
        <w:tc>
          <w:tcPr>
            <w:tcW w:type="dxa" w:w="6624"/>
          </w:tcPr>
          <w:p>
            <w:r/>
            <w:r>
              <w:rPr>
                <w:b w:val="0"/>
                <w:sz w:val="19"/>
              </w:rPr>
              <w:t>The system shall produce, for every ML score, an exact TreeSHAP attribution reconciling base + Σ contributions ≈ final, surfaced as a waterfall in the console.</w:t>
            </w:r>
          </w:p>
        </w:tc>
      </w:tr>
      <w:tr>
        <w:tc>
          <w:tcPr>
            <w:tcW w:type="dxa" w:w="2448"/>
            <w:shd w:val="clear" w:fill="EDF3F2"/>
          </w:tcPr>
          <w:p>
            <w:r/>
            <w:r>
              <w:rPr>
                <w:b/>
                <w:sz w:val="19"/>
              </w:rPr>
              <w:t>Rationale</w:t>
            </w:r>
          </w:p>
        </w:tc>
        <w:tc>
          <w:tcPr>
            <w:tcW w:type="dxa" w:w="6624"/>
          </w:tcPr>
          <w:p>
            <w:r/>
            <w:r>
              <w:rPr>
                <w:b w:val="0"/>
                <w:sz w:val="19"/>
              </w:rPr>
              <w:t>Every escalation must be auditable and defensible.</w:t>
            </w:r>
          </w:p>
        </w:tc>
      </w:tr>
      <w:tr>
        <w:tc>
          <w:tcPr>
            <w:tcW w:type="dxa" w:w="2448"/>
            <w:shd w:val="clear" w:fill="EDF3F2"/>
          </w:tcPr>
          <w:p>
            <w:r/>
            <w:r>
              <w:rPr>
                <w:b/>
                <w:sz w:val="19"/>
              </w:rPr>
              <w:t>Source</w:t>
            </w:r>
          </w:p>
        </w:tc>
        <w:tc>
          <w:tcPr>
            <w:tcW w:type="dxa" w:w="6624"/>
          </w:tcPr>
          <w:p>
            <w:r/>
            <w:r>
              <w:rPr>
                <w:b w:val="0"/>
                <w:sz w:val="19"/>
              </w:rPr>
              <w:t>explain.py; CONSOLE §SHAP</w:t>
            </w:r>
          </w:p>
        </w:tc>
      </w:tr>
      <w:tr>
        <w:tc>
          <w:tcPr>
            <w:tcW w:type="dxa" w:w="2448"/>
            <w:shd w:val="clear" w:fill="EDF3F2"/>
          </w:tcPr>
          <w:p>
            <w:r/>
            <w:r>
              <w:rPr>
                <w:b/>
                <w:sz w:val="19"/>
              </w:rPr>
              <w:t>Use case / Verification</w:t>
            </w:r>
          </w:p>
        </w:tc>
        <w:tc>
          <w:tcPr>
            <w:tcW w:type="dxa" w:w="6624"/>
          </w:tcPr>
          <w:p>
            <w:r/>
            <w:r>
              <w:rPr>
                <w:b w:val="0"/>
                <w:sz w:val="19"/>
              </w:rPr>
              <w:t>UC-Detail  ·  Verified by: unit tests / evaluation harness / e2e smoke (see §6.2, Table 26)</w:t>
            </w:r>
          </w:p>
        </w:tc>
      </w:tr>
    </w:tbl>
    <w:p>
      <w:pPr>
        <w:spacing w:after="80"/>
      </w:pPr>
    </w:p>
    <w:tbl>
      <w:tblPr>
        <w:tblStyle w:val="LightList-Accent1"/>
        <w:tblW w:type="auto" w:w="0"/>
        <w:jc w:val="center"/>
        <w:tblLook w:firstColumn="1" w:firstRow="1" w:lastColumn="0" w:lastRow="0" w:noHBand="0" w:noVBand="1" w:val="04A0"/>
      </w:tblPr>
      <w:tblGrid>
        <w:gridCol w:w="4320"/>
        <w:gridCol w:w="4320"/>
      </w:tblGrid>
      <w:tr>
        <w:tc>
          <w:tcPr>
            <w:tcW w:type="dxa" w:w="2448"/>
            <w:shd w:val="clear" w:fill="EDF3F2"/>
          </w:tcPr>
          <w:p>
            <w:r/>
            <w:r>
              <w:rPr>
                <w:b/>
                <w:sz w:val="19"/>
              </w:rPr>
              <w:t>Requirement ID</w:t>
            </w:r>
          </w:p>
        </w:tc>
        <w:tc>
          <w:tcPr>
            <w:tcW w:type="dxa" w:w="6624"/>
          </w:tcPr>
          <w:p>
            <w:r/>
            <w:r>
              <w:rPr>
                <w:b w:val="0"/>
                <w:sz w:val="19"/>
              </w:rPr>
              <w:t>FR-11  —  Threat-intel &amp; ATT&amp;CK enrichment</w:t>
            </w:r>
          </w:p>
        </w:tc>
      </w:tr>
      <w:tr>
        <w:tc>
          <w:tcPr>
            <w:tcW w:type="dxa" w:w="2448"/>
            <w:shd w:val="clear" w:fill="EDF3F2"/>
          </w:tcPr>
          <w:p>
            <w:r/>
            <w:r>
              <w:rPr>
                <w:b/>
                <w:sz w:val="19"/>
              </w:rPr>
              <w:t>Status</w:t>
            </w:r>
          </w:p>
        </w:tc>
        <w:tc>
          <w:tcPr>
            <w:tcW w:type="dxa" w:w="6624"/>
          </w:tcPr>
          <w:p>
            <w:r/>
            <w:r>
              <w:rPr>
                <w:b w:val="0"/>
                <w:sz w:val="19"/>
              </w:rPr>
              <w:t>Baselined  ·  Priority: Medium</w:t>
            </w:r>
          </w:p>
        </w:tc>
      </w:tr>
      <w:tr>
        <w:tc>
          <w:tcPr>
            <w:tcW w:type="dxa" w:w="2448"/>
            <w:shd w:val="clear" w:fill="EDF3F2"/>
          </w:tcPr>
          <w:p>
            <w:r/>
            <w:r>
              <w:rPr>
                <w:b/>
                <w:sz w:val="19"/>
              </w:rPr>
              <w:t>Description</w:t>
            </w:r>
          </w:p>
        </w:tc>
        <w:tc>
          <w:tcPr>
            <w:tcW w:type="dxa" w:w="6624"/>
          </w:tcPr>
          <w:p>
            <w:r/>
            <w:r>
              <w:rPr>
                <w:b w:val="0"/>
                <w:sz w:val="19"/>
              </w:rPr>
              <w:t>The system shall enrich findings with MISP IOC matches, MITRE ATT&amp;CK technique mapping, and Sigma detections.</w:t>
            </w:r>
          </w:p>
        </w:tc>
      </w:tr>
      <w:tr>
        <w:tc>
          <w:tcPr>
            <w:tcW w:type="dxa" w:w="2448"/>
            <w:shd w:val="clear" w:fill="EDF3F2"/>
          </w:tcPr>
          <w:p>
            <w:r/>
            <w:r>
              <w:rPr>
                <w:b/>
                <w:sz w:val="19"/>
              </w:rPr>
              <w:t>Rationale</w:t>
            </w:r>
          </w:p>
        </w:tc>
        <w:tc>
          <w:tcPr>
            <w:tcW w:type="dxa" w:w="6624"/>
          </w:tcPr>
          <w:p>
            <w:r/>
            <w:r>
              <w:rPr>
                <w:b w:val="0"/>
                <w:sz w:val="19"/>
              </w:rPr>
              <w:t>Real-world activity and adversary context sharpen prioritization.</w:t>
            </w:r>
          </w:p>
        </w:tc>
      </w:tr>
      <w:tr>
        <w:tc>
          <w:tcPr>
            <w:tcW w:type="dxa" w:w="2448"/>
            <w:shd w:val="clear" w:fill="EDF3F2"/>
          </w:tcPr>
          <w:p>
            <w:r/>
            <w:r>
              <w:rPr>
                <w:b/>
                <w:sz w:val="19"/>
              </w:rPr>
              <w:t>Source</w:t>
            </w:r>
          </w:p>
        </w:tc>
        <w:tc>
          <w:tcPr>
            <w:tcW w:type="dxa" w:w="6624"/>
          </w:tcPr>
          <w:p>
            <w:r/>
            <w:r>
              <w:rPr>
                <w:b w:val="0"/>
                <w:sz w:val="19"/>
              </w:rPr>
              <w:t>intel-enricher; features.py</w:t>
            </w:r>
          </w:p>
        </w:tc>
      </w:tr>
      <w:tr>
        <w:tc>
          <w:tcPr>
            <w:tcW w:type="dxa" w:w="2448"/>
            <w:shd w:val="clear" w:fill="EDF3F2"/>
          </w:tcPr>
          <w:p>
            <w:r/>
            <w:r>
              <w:rPr>
                <w:b/>
                <w:sz w:val="19"/>
              </w:rPr>
              <w:t>Use case / Verification</w:t>
            </w:r>
          </w:p>
        </w:tc>
        <w:tc>
          <w:tcPr>
            <w:tcW w:type="dxa" w:w="6624"/>
          </w:tcPr>
          <w:p>
            <w:r/>
            <w:r>
              <w:rPr>
                <w:b w:val="0"/>
                <w:sz w:val="19"/>
              </w:rPr>
              <w:t>UC-Intel  ·  Verified by: unit tests / evaluation harness / e2e smoke (see §6.2, Table 26)</w:t>
            </w:r>
          </w:p>
        </w:tc>
      </w:tr>
    </w:tbl>
    <w:p>
      <w:pPr>
        <w:spacing w:after="80"/>
      </w:pPr>
    </w:p>
    <w:tbl>
      <w:tblPr>
        <w:tblStyle w:val="LightList-Accent1"/>
        <w:tblW w:type="auto" w:w="0"/>
        <w:jc w:val="center"/>
        <w:tblLook w:firstColumn="1" w:firstRow="1" w:lastColumn="0" w:lastRow="0" w:noHBand="0" w:noVBand="1" w:val="04A0"/>
      </w:tblPr>
      <w:tblGrid>
        <w:gridCol w:w="4320"/>
        <w:gridCol w:w="4320"/>
      </w:tblGrid>
      <w:tr>
        <w:tc>
          <w:tcPr>
            <w:tcW w:type="dxa" w:w="2448"/>
            <w:shd w:val="clear" w:fill="EDF3F2"/>
          </w:tcPr>
          <w:p>
            <w:r/>
            <w:r>
              <w:rPr>
                <w:b/>
                <w:sz w:val="19"/>
              </w:rPr>
              <w:t>Requirement ID</w:t>
            </w:r>
          </w:p>
        </w:tc>
        <w:tc>
          <w:tcPr>
            <w:tcW w:type="dxa" w:w="6624"/>
          </w:tcPr>
          <w:p>
            <w:r/>
            <w:r>
              <w:rPr>
                <w:b w:val="0"/>
                <w:sz w:val="19"/>
              </w:rPr>
              <w:t>FR-12  —  Risk-ranked triage queue</w:t>
            </w:r>
          </w:p>
        </w:tc>
      </w:tr>
      <w:tr>
        <w:tc>
          <w:tcPr>
            <w:tcW w:type="dxa" w:w="2448"/>
            <w:shd w:val="clear" w:fill="EDF3F2"/>
          </w:tcPr>
          <w:p>
            <w:r/>
            <w:r>
              <w:rPr>
                <w:b/>
                <w:sz w:val="19"/>
              </w:rPr>
              <w:t>Status</w:t>
            </w:r>
          </w:p>
        </w:tc>
        <w:tc>
          <w:tcPr>
            <w:tcW w:type="dxa" w:w="6624"/>
          </w:tcPr>
          <w:p>
            <w:r/>
            <w:r>
              <w:rPr>
                <w:b w:val="0"/>
                <w:sz w:val="19"/>
              </w:rPr>
              <w:t>Baselined  ·  Priority: High</w:t>
            </w:r>
          </w:p>
        </w:tc>
      </w:tr>
      <w:tr>
        <w:tc>
          <w:tcPr>
            <w:tcW w:type="dxa" w:w="2448"/>
            <w:shd w:val="clear" w:fill="EDF3F2"/>
          </w:tcPr>
          <w:p>
            <w:r/>
            <w:r>
              <w:rPr>
                <w:b/>
                <w:sz w:val="19"/>
              </w:rPr>
              <w:t>Description</w:t>
            </w:r>
          </w:p>
        </w:tc>
        <w:tc>
          <w:tcPr>
            <w:tcW w:type="dxa" w:w="6624"/>
          </w:tcPr>
          <w:p>
            <w:r/>
            <w:r>
              <w:rPr>
                <w:b w:val="0"/>
                <w:sz w:val="19"/>
              </w:rPr>
              <w:t>The system shall present findings as a decision queue ranked by composite risk, filterable by domain, severity, source tool and KEV.</w:t>
            </w:r>
          </w:p>
        </w:tc>
      </w:tr>
      <w:tr>
        <w:tc>
          <w:tcPr>
            <w:tcW w:type="dxa" w:w="2448"/>
            <w:shd w:val="clear" w:fill="EDF3F2"/>
          </w:tcPr>
          <w:p>
            <w:r/>
            <w:r>
              <w:rPr>
                <w:b/>
                <w:sz w:val="19"/>
              </w:rPr>
              <w:t>Rationale</w:t>
            </w:r>
          </w:p>
        </w:tc>
        <w:tc>
          <w:tcPr>
            <w:tcW w:type="dxa" w:w="6624"/>
          </w:tcPr>
          <w:p>
            <w:r/>
            <w:r>
              <w:rPr>
                <w:b w:val="0"/>
                <w:sz w:val="19"/>
              </w:rPr>
              <w:t>Analysts must work the most important findings first.</w:t>
            </w:r>
          </w:p>
        </w:tc>
      </w:tr>
      <w:tr>
        <w:tc>
          <w:tcPr>
            <w:tcW w:type="dxa" w:w="2448"/>
            <w:shd w:val="clear" w:fill="EDF3F2"/>
          </w:tcPr>
          <w:p>
            <w:r/>
            <w:r>
              <w:rPr>
                <w:b/>
                <w:sz w:val="19"/>
              </w:rPr>
              <w:t>Source</w:t>
            </w:r>
          </w:p>
        </w:tc>
        <w:tc>
          <w:tcPr>
            <w:tcW w:type="dxa" w:w="6624"/>
          </w:tcPr>
          <w:p>
            <w:r/>
            <w:r>
              <w:rPr>
                <w:b w:val="0"/>
                <w:sz w:val="19"/>
              </w:rPr>
              <w:t>CONSOLE §Triage</w:t>
            </w:r>
          </w:p>
        </w:tc>
      </w:tr>
      <w:tr>
        <w:tc>
          <w:tcPr>
            <w:tcW w:type="dxa" w:w="2448"/>
            <w:shd w:val="clear" w:fill="EDF3F2"/>
          </w:tcPr>
          <w:p>
            <w:r/>
            <w:r>
              <w:rPr>
                <w:b/>
                <w:sz w:val="19"/>
              </w:rPr>
              <w:t>Use case / Verification</w:t>
            </w:r>
          </w:p>
        </w:tc>
        <w:tc>
          <w:tcPr>
            <w:tcW w:type="dxa" w:w="6624"/>
          </w:tcPr>
          <w:p>
            <w:r/>
            <w:r>
              <w:rPr>
                <w:b w:val="0"/>
                <w:sz w:val="19"/>
              </w:rPr>
              <w:t>UC-Triage  ·  Verified by: unit tests / evaluation harness / e2e smoke (see §6.2, Table 26)</w:t>
            </w:r>
          </w:p>
        </w:tc>
      </w:tr>
    </w:tbl>
    <w:p>
      <w:pPr>
        <w:spacing w:after="80"/>
      </w:pPr>
    </w:p>
    <w:tbl>
      <w:tblPr>
        <w:tblStyle w:val="LightList-Accent1"/>
        <w:tblW w:type="auto" w:w="0"/>
        <w:jc w:val="center"/>
        <w:tblLook w:firstColumn="1" w:firstRow="1" w:lastColumn="0" w:lastRow="0" w:noHBand="0" w:noVBand="1" w:val="04A0"/>
      </w:tblPr>
      <w:tblGrid>
        <w:gridCol w:w="4320"/>
        <w:gridCol w:w="4320"/>
      </w:tblGrid>
      <w:tr>
        <w:tc>
          <w:tcPr>
            <w:tcW w:type="dxa" w:w="2448"/>
            <w:shd w:val="clear" w:fill="EDF3F2"/>
          </w:tcPr>
          <w:p>
            <w:r/>
            <w:r>
              <w:rPr>
                <w:b/>
                <w:sz w:val="19"/>
              </w:rPr>
              <w:t>Requirement ID</w:t>
            </w:r>
          </w:p>
        </w:tc>
        <w:tc>
          <w:tcPr>
            <w:tcW w:type="dxa" w:w="6624"/>
          </w:tcPr>
          <w:p>
            <w:r/>
            <w:r>
              <w:rPr>
                <w:b w:val="0"/>
                <w:sz w:val="19"/>
              </w:rPr>
              <w:t>FR-13  —  Analyst feedback loop</w:t>
            </w:r>
          </w:p>
        </w:tc>
      </w:tr>
      <w:tr>
        <w:tc>
          <w:tcPr>
            <w:tcW w:type="dxa" w:w="2448"/>
            <w:shd w:val="clear" w:fill="EDF3F2"/>
          </w:tcPr>
          <w:p>
            <w:r/>
            <w:r>
              <w:rPr>
                <w:b/>
                <w:sz w:val="19"/>
              </w:rPr>
              <w:t>Status</w:t>
            </w:r>
          </w:p>
        </w:tc>
        <w:tc>
          <w:tcPr>
            <w:tcW w:type="dxa" w:w="6624"/>
          </w:tcPr>
          <w:p>
            <w:r/>
            <w:r>
              <w:rPr>
                <w:b w:val="0"/>
                <w:sz w:val="19"/>
              </w:rPr>
              <w:t>Baselined  ·  Priority: Medium</w:t>
            </w:r>
          </w:p>
        </w:tc>
      </w:tr>
      <w:tr>
        <w:tc>
          <w:tcPr>
            <w:tcW w:type="dxa" w:w="2448"/>
            <w:shd w:val="clear" w:fill="EDF3F2"/>
          </w:tcPr>
          <w:p>
            <w:r/>
            <w:r>
              <w:rPr>
                <w:b/>
                <w:sz w:val="19"/>
              </w:rPr>
              <w:t>Description</w:t>
            </w:r>
          </w:p>
        </w:tc>
        <w:tc>
          <w:tcPr>
            <w:tcW w:type="dxa" w:w="6624"/>
          </w:tcPr>
          <w:p>
            <w:r/>
            <w:r>
              <w:rPr>
                <w:b w:val="0"/>
                <w:sz w:val="19"/>
              </w:rPr>
              <w:t>The system shall let an analyst assign a priority label to a finding and shall fold sanitized feedback into model retraining at bounded influence.</w:t>
            </w:r>
          </w:p>
        </w:tc>
      </w:tr>
      <w:tr>
        <w:tc>
          <w:tcPr>
            <w:tcW w:type="dxa" w:w="2448"/>
            <w:shd w:val="clear" w:fill="EDF3F2"/>
          </w:tcPr>
          <w:p>
            <w:r/>
            <w:r>
              <w:rPr>
                <w:b/>
                <w:sz w:val="19"/>
              </w:rPr>
              <w:t>Rationale</w:t>
            </w:r>
          </w:p>
        </w:tc>
        <w:tc>
          <w:tcPr>
            <w:tcW w:type="dxa" w:w="6624"/>
          </w:tcPr>
          <w:p>
            <w:r/>
            <w:r>
              <w:rPr>
                <w:b w:val="0"/>
                <w:sz w:val="19"/>
              </w:rPr>
              <w:t>Turns triage into training signal while resisting label poisoning.</w:t>
            </w:r>
          </w:p>
        </w:tc>
      </w:tr>
      <w:tr>
        <w:tc>
          <w:tcPr>
            <w:tcW w:type="dxa" w:w="2448"/>
            <w:shd w:val="clear" w:fill="EDF3F2"/>
          </w:tcPr>
          <w:p>
            <w:r/>
            <w:r>
              <w:rPr>
                <w:b/>
                <w:sz w:val="19"/>
              </w:rPr>
              <w:t>Source</w:t>
            </w:r>
          </w:p>
        </w:tc>
        <w:tc>
          <w:tcPr>
            <w:tcW w:type="dxa" w:w="6624"/>
          </w:tcPr>
          <w:p>
            <w:r/>
            <w:r>
              <w:rPr>
                <w:b w:val="0"/>
                <w:sz w:val="19"/>
              </w:rPr>
              <w:t>feedback.py; THREAT-MODEL ML</w:t>
            </w:r>
          </w:p>
        </w:tc>
      </w:tr>
      <w:tr>
        <w:tc>
          <w:tcPr>
            <w:tcW w:type="dxa" w:w="2448"/>
            <w:shd w:val="clear" w:fill="EDF3F2"/>
          </w:tcPr>
          <w:p>
            <w:r/>
            <w:r>
              <w:rPr>
                <w:b/>
                <w:sz w:val="19"/>
              </w:rPr>
              <w:t>Use case / Verification</w:t>
            </w:r>
          </w:p>
        </w:tc>
        <w:tc>
          <w:tcPr>
            <w:tcW w:type="dxa" w:w="6624"/>
          </w:tcPr>
          <w:p>
            <w:r/>
            <w:r>
              <w:rPr>
                <w:b w:val="0"/>
                <w:sz w:val="19"/>
              </w:rPr>
              <w:t>UC-Feedback  ·  Verified by: unit tests / evaluation harness / e2e smoke (see §6.2, Table 26)</w:t>
            </w:r>
          </w:p>
        </w:tc>
      </w:tr>
    </w:tbl>
    <w:p>
      <w:pPr>
        <w:spacing w:after="80"/>
      </w:pPr>
    </w:p>
    <w:tbl>
      <w:tblPr>
        <w:tblStyle w:val="LightList-Accent1"/>
        <w:tblW w:type="auto" w:w="0"/>
        <w:jc w:val="center"/>
        <w:tblLook w:firstColumn="1" w:firstRow="1" w:lastColumn="0" w:lastRow="0" w:noHBand="0" w:noVBand="1" w:val="04A0"/>
      </w:tblPr>
      <w:tblGrid>
        <w:gridCol w:w="4320"/>
        <w:gridCol w:w="4320"/>
      </w:tblGrid>
      <w:tr>
        <w:tc>
          <w:tcPr>
            <w:tcW w:type="dxa" w:w="2448"/>
            <w:shd w:val="clear" w:fill="EDF3F2"/>
          </w:tcPr>
          <w:p>
            <w:r/>
            <w:r>
              <w:rPr>
                <w:b/>
                <w:sz w:val="19"/>
              </w:rPr>
              <w:t>Requirement ID</w:t>
            </w:r>
          </w:p>
        </w:tc>
        <w:tc>
          <w:tcPr>
            <w:tcW w:type="dxa" w:w="6624"/>
          </w:tcPr>
          <w:p>
            <w:r/>
            <w:r>
              <w:rPr>
                <w:b w:val="0"/>
                <w:sz w:val="19"/>
              </w:rPr>
              <w:t>FR-14  —  Incident case management</w:t>
            </w:r>
          </w:p>
        </w:tc>
      </w:tr>
      <w:tr>
        <w:tc>
          <w:tcPr>
            <w:tcW w:type="dxa" w:w="2448"/>
            <w:shd w:val="clear" w:fill="EDF3F2"/>
          </w:tcPr>
          <w:p>
            <w:r/>
            <w:r>
              <w:rPr>
                <w:b/>
                <w:sz w:val="19"/>
              </w:rPr>
              <w:t>Status</w:t>
            </w:r>
          </w:p>
        </w:tc>
        <w:tc>
          <w:tcPr>
            <w:tcW w:type="dxa" w:w="6624"/>
          </w:tcPr>
          <w:p>
            <w:r/>
            <w:r>
              <w:rPr>
                <w:b w:val="0"/>
                <w:sz w:val="19"/>
              </w:rPr>
              <w:t>Baselined  ·  Priority: Medium</w:t>
            </w:r>
          </w:p>
        </w:tc>
      </w:tr>
      <w:tr>
        <w:tc>
          <w:tcPr>
            <w:tcW w:type="dxa" w:w="2448"/>
            <w:shd w:val="clear" w:fill="EDF3F2"/>
          </w:tcPr>
          <w:p>
            <w:r/>
            <w:r>
              <w:rPr>
                <w:b/>
                <w:sz w:val="19"/>
              </w:rPr>
              <w:t>Description</w:t>
            </w:r>
          </w:p>
        </w:tc>
        <w:tc>
          <w:tcPr>
            <w:tcW w:type="dxa" w:w="6624"/>
          </w:tcPr>
          <w:p>
            <w:r/>
            <w:r>
              <w:rPr>
                <w:b w:val="0"/>
                <w:sz w:val="19"/>
              </w:rPr>
              <w:t>The system shall manage incident cases with status and SLA and a hash-chained audit timeline of all actions.</w:t>
            </w:r>
          </w:p>
        </w:tc>
      </w:tr>
      <w:tr>
        <w:tc>
          <w:tcPr>
            <w:tcW w:type="dxa" w:w="2448"/>
            <w:shd w:val="clear" w:fill="EDF3F2"/>
          </w:tcPr>
          <w:p>
            <w:r/>
            <w:r>
              <w:rPr>
                <w:b/>
                <w:sz w:val="19"/>
              </w:rPr>
              <w:t>Rationale</w:t>
            </w:r>
          </w:p>
        </w:tc>
        <w:tc>
          <w:tcPr>
            <w:tcW w:type="dxa" w:w="6624"/>
          </w:tcPr>
          <w:p>
            <w:r/>
            <w:r>
              <w:rPr>
                <w:b w:val="0"/>
                <w:sz w:val="19"/>
              </w:rPr>
              <w:t>Investigations need tracking and a tamper-evident record.</w:t>
            </w:r>
          </w:p>
        </w:tc>
      </w:tr>
      <w:tr>
        <w:tc>
          <w:tcPr>
            <w:tcW w:type="dxa" w:w="2448"/>
            <w:shd w:val="clear" w:fill="EDF3F2"/>
          </w:tcPr>
          <w:p>
            <w:r/>
            <w:r>
              <w:rPr>
                <w:b/>
                <w:sz w:val="19"/>
              </w:rPr>
              <w:t>Source</w:t>
            </w:r>
          </w:p>
        </w:tc>
        <w:tc>
          <w:tcPr>
            <w:tcW w:type="dxa" w:w="6624"/>
          </w:tcPr>
          <w:p>
            <w:r/>
            <w:r>
              <w:rPr>
                <w:b w:val="0"/>
                <w:sz w:val="19"/>
              </w:rPr>
              <w:t>CONSOLE §Cases</w:t>
            </w:r>
          </w:p>
        </w:tc>
      </w:tr>
      <w:tr>
        <w:tc>
          <w:tcPr>
            <w:tcW w:type="dxa" w:w="2448"/>
            <w:shd w:val="clear" w:fill="EDF3F2"/>
          </w:tcPr>
          <w:p>
            <w:r/>
            <w:r>
              <w:rPr>
                <w:b/>
                <w:sz w:val="19"/>
              </w:rPr>
              <w:t>Use case / Verification</w:t>
            </w:r>
          </w:p>
        </w:tc>
        <w:tc>
          <w:tcPr>
            <w:tcW w:type="dxa" w:w="6624"/>
          </w:tcPr>
          <w:p>
            <w:r/>
            <w:r>
              <w:rPr>
                <w:b w:val="0"/>
                <w:sz w:val="19"/>
              </w:rPr>
              <w:t>UC-Case  ·  Verified by: unit tests / evaluation harness / e2e smoke (see §6.2, Table 26)</w:t>
            </w:r>
          </w:p>
        </w:tc>
      </w:tr>
    </w:tbl>
    <w:p>
      <w:pPr>
        <w:spacing w:after="80"/>
      </w:pPr>
    </w:p>
    <w:tbl>
      <w:tblPr>
        <w:tblStyle w:val="LightList-Accent1"/>
        <w:tblW w:type="auto" w:w="0"/>
        <w:jc w:val="center"/>
        <w:tblLook w:firstColumn="1" w:firstRow="1" w:lastColumn="0" w:lastRow="0" w:noHBand="0" w:noVBand="1" w:val="04A0"/>
      </w:tblPr>
      <w:tblGrid>
        <w:gridCol w:w="4320"/>
        <w:gridCol w:w="4320"/>
      </w:tblGrid>
      <w:tr>
        <w:tc>
          <w:tcPr>
            <w:tcW w:type="dxa" w:w="2448"/>
            <w:shd w:val="clear" w:fill="EDF3F2"/>
          </w:tcPr>
          <w:p>
            <w:r/>
            <w:r>
              <w:rPr>
                <w:b/>
                <w:sz w:val="19"/>
              </w:rPr>
              <w:t>Requirement ID</w:t>
            </w:r>
          </w:p>
        </w:tc>
        <w:tc>
          <w:tcPr>
            <w:tcW w:type="dxa" w:w="6624"/>
          </w:tcPr>
          <w:p>
            <w:r/>
            <w:r>
              <w:rPr>
                <w:b w:val="0"/>
                <w:sz w:val="19"/>
              </w:rPr>
              <w:t>FR-15  —  Signed active response</w:t>
            </w:r>
          </w:p>
        </w:tc>
      </w:tr>
      <w:tr>
        <w:tc>
          <w:tcPr>
            <w:tcW w:type="dxa" w:w="2448"/>
            <w:shd w:val="clear" w:fill="EDF3F2"/>
          </w:tcPr>
          <w:p>
            <w:r/>
            <w:r>
              <w:rPr>
                <w:b/>
                <w:sz w:val="19"/>
              </w:rPr>
              <w:t>Status</w:t>
            </w:r>
          </w:p>
        </w:tc>
        <w:tc>
          <w:tcPr>
            <w:tcW w:type="dxa" w:w="6624"/>
          </w:tcPr>
          <w:p>
            <w:r/>
            <w:r>
              <w:rPr>
                <w:b w:val="0"/>
                <w:sz w:val="19"/>
              </w:rPr>
              <w:t>Baselined  ·  Priority: High</w:t>
            </w:r>
          </w:p>
        </w:tc>
      </w:tr>
      <w:tr>
        <w:tc>
          <w:tcPr>
            <w:tcW w:type="dxa" w:w="2448"/>
            <w:shd w:val="clear" w:fill="EDF3F2"/>
          </w:tcPr>
          <w:p>
            <w:r/>
            <w:r>
              <w:rPr>
                <w:b/>
                <w:sz w:val="19"/>
              </w:rPr>
              <w:t>Description</w:t>
            </w:r>
          </w:p>
        </w:tc>
        <w:tc>
          <w:tcPr>
            <w:tcW w:type="dxa" w:w="6624"/>
          </w:tcPr>
          <w:p>
            <w:r/>
            <w:r>
              <w:rPr>
                <w:b w:val="0"/>
                <w:sz w:val="19"/>
              </w:rPr>
              <w:t>The system shall issue containment commands only as Ed25519-signed messages (nonce+expiry) that the agent verifies fail-closed before executing; commands are a fixed containment allow-list, never arbitrary shell.</w:t>
            </w:r>
          </w:p>
        </w:tc>
      </w:tr>
      <w:tr>
        <w:tc>
          <w:tcPr>
            <w:tcW w:type="dxa" w:w="2448"/>
            <w:shd w:val="clear" w:fill="EDF3F2"/>
          </w:tcPr>
          <w:p>
            <w:r/>
            <w:r>
              <w:rPr>
                <w:b/>
                <w:sz w:val="19"/>
              </w:rPr>
              <w:t>Rationale</w:t>
            </w:r>
          </w:p>
        </w:tc>
        <w:tc>
          <w:tcPr>
            <w:tcW w:type="dxa" w:w="6624"/>
          </w:tcPr>
          <w:p>
            <w:r/>
            <w:r>
              <w:rPr>
                <w:b w:val="0"/>
                <w:sz w:val="19"/>
              </w:rPr>
              <w:t>A hijacked response channel is RCE-equivalent; it must be authenticated and bounded.</w:t>
            </w:r>
          </w:p>
        </w:tc>
      </w:tr>
      <w:tr>
        <w:tc>
          <w:tcPr>
            <w:tcW w:type="dxa" w:w="2448"/>
            <w:shd w:val="clear" w:fill="EDF3F2"/>
          </w:tcPr>
          <w:p>
            <w:r/>
            <w:r>
              <w:rPr>
                <w:b/>
                <w:sz w:val="19"/>
              </w:rPr>
              <w:t>Source</w:t>
            </w:r>
          </w:p>
        </w:tc>
        <w:tc>
          <w:tcPr>
            <w:tcW w:type="dxa" w:w="6624"/>
          </w:tcPr>
          <w:p>
            <w:r/>
            <w:r>
              <w:rPr>
                <w:b w:val="0"/>
                <w:sz w:val="19"/>
              </w:rPr>
              <w:t>D-028; THREAT-MODEL TB5</w:t>
            </w:r>
          </w:p>
        </w:tc>
      </w:tr>
      <w:tr>
        <w:tc>
          <w:tcPr>
            <w:tcW w:type="dxa" w:w="2448"/>
            <w:shd w:val="clear" w:fill="EDF3F2"/>
          </w:tcPr>
          <w:p>
            <w:r/>
            <w:r>
              <w:rPr>
                <w:b/>
                <w:sz w:val="19"/>
              </w:rPr>
              <w:t>Use case / Verification</w:t>
            </w:r>
          </w:p>
        </w:tc>
        <w:tc>
          <w:tcPr>
            <w:tcW w:type="dxa" w:w="6624"/>
          </w:tcPr>
          <w:p>
            <w:r/>
            <w:r>
              <w:rPr>
                <w:b w:val="0"/>
                <w:sz w:val="19"/>
              </w:rPr>
              <w:t>UC-Request / UC-Exec  ·  Verified by: unit tests / evaluation harness / e2e smoke (see §6.2, Table 26)</w:t>
            </w:r>
          </w:p>
        </w:tc>
      </w:tr>
    </w:tbl>
    <w:p>
      <w:pPr>
        <w:spacing w:after="80"/>
      </w:pPr>
    </w:p>
    <w:tbl>
      <w:tblPr>
        <w:tblStyle w:val="LightList-Accent1"/>
        <w:tblW w:type="auto" w:w="0"/>
        <w:jc w:val="center"/>
        <w:tblLook w:firstColumn="1" w:firstRow="1" w:lastColumn="0" w:lastRow="0" w:noHBand="0" w:noVBand="1" w:val="04A0"/>
      </w:tblPr>
      <w:tblGrid>
        <w:gridCol w:w="4320"/>
        <w:gridCol w:w="4320"/>
      </w:tblGrid>
      <w:tr>
        <w:tc>
          <w:tcPr>
            <w:tcW w:type="dxa" w:w="2448"/>
            <w:shd w:val="clear" w:fill="EDF3F2"/>
          </w:tcPr>
          <w:p>
            <w:r/>
            <w:r>
              <w:rPr>
                <w:b/>
                <w:sz w:val="19"/>
              </w:rPr>
              <w:t>Requirement ID</w:t>
            </w:r>
          </w:p>
        </w:tc>
        <w:tc>
          <w:tcPr>
            <w:tcW w:type="dxa" w:w="6624"/>
          </w:tcPr>
          <w:p>
            <w:r/>
            <w:r>
              <w:rPr>
                <w:b w:val="0"/>
                <w:sz w:val="19"/>
              </w:rPr>
              <w:t>FR-16  —  Two-person approval</w:t>
            </w:r>
          </w:p>
        </w:tc>
      </w:tr>
      <w:tr>
        <w:tc>
          <w:tcPr>
            <w:tcW w:type="dxa" w:w="2448"/>
            <w:shd w:val="clear" w:fill="EDF3F2"/>
          </w:tcPr>
          <w:p>
            <w:r/>
            <w:r>
              <w:rPr>
                <w:b/>
                <w:sz w:val="19"/>
              </w:rPr>
              <w:t>Status</w:t>
            </w:r>
          </w:p>
        </w:tc>
        <w:tc>
          <w:tcPr>
            <w:tcW w:type="dxa" w:w="6624"/>
          </w:tcPr>
          <w:p>
            <w:r/>
            <w:r>
              <w:rPr>
                <w:b w:val="0"/>
                <w:sz w:val="19"/>
              </w:rPr>
              <w:t>Baselined  ·  Priority: High</w:t>
            </w:r>
          </w:p>
        </w:tc>
      </w:tr>
      <w:tr>
        <w:tc>
          <w:tcPr>
            <w:tcW w:type="dxa" w:w="2448"/>
            <w:shd w:val="clear" w:fill="EDF3F2"/>
          </w:tcPr>
          <w:p>
            <w:r/>
            <w:r>
              <w:rPr>
                <w:b/>
                <w:sz w:val="19"/>
              </w:rPr>
              <w:t>Description</w:t>
            </w:r>
          </w:p>
        </w:tc>
        <w:tc>
          <w:tcPr>
            <w:tcW w:type="dxa" w:w="6624"/>
          </w:tcPr>
          <w:p>
            <w:r/>
            <w:r>
              <w:rPr>
                <w:b w:val="0"/>
                <w:sz w:val="19"/>
              </w:rPr>
              <w:t>The system shall require two distinct approver identities before any containment action is authorized, enforced server-side.</w:t>
            </w:r>
          </w:p>
        </w:tc>
      </w:tr>
      <w:tr>
        <w:tc>
          <w:tcPr>
            <w:tcW w:type="dxa" w:w="2448"/>
            <w:shd w:val="clear" w:fill="EDF3F2"/>
          </w:tcPr>
          <w:p>
            <w:r/>
            <w:r>
              <w:rPr>
                <w:b/>
                <w:sz w:val="19"/>
              </w:rPr>
              <w:t>Rationale</w:t>
            </w:r>
          </w:p>
        </w:tc>
        <w:tc>
          <w:tcPr>
            <w:tcW w:type="dxa" w:w="6624"/>
          </w:tcPr>
          <w:p>
            <w:r/>
            <w:r>
              <w:rPr>
                <w:b w:val="0"/>
                <w:sz w:val="19"/>
              </w:rPr>
              <w:t>Prevents unilateral or mistaken destructive action.</w:t>
            </w:r>
          </w:p>
        </w:tc>
      </w:tr>
      <w:tr>
        <w:tc>
          <w:tcPr>
            <w:tcW w:type="dxa" w:w="2448"/>
            <w:shd w:val="clear" w:fill="EDF3F2"/>
          </w:tcPr>
          <w:p>
            <w:r/>
            <w:r>
              <w:rPr>
                <w:b/>
                <w:sz w:val="19"/>
              </w:rPr>
              <w:t>Source</w:t>
            </w:r>
          </w:p>
        </w:tc>
        <w:tc>
          <w:tcPr>
            <w:tcW w:type="dxa" w:w="6624"/>
          </w:tcPr>
          <w:p>
            <w:r/>
            <w:r>
              <w:rPr>
                <w:b w:val="0"/>
                <w:sz w:val="19"/>
              </w:rPr>
              <w:t>D-027/D-028</w:t>
            </w:r>
          </w:p>
        </w:tc>
      </w:tr>
      <w:tr>
        <w:tc>
          <w:tcPr>
            <w:tcW w:type="dxa" w:w="2448"/>
            <w:shd w:val="clear" w:fill="EDF3F2"/>
          </w:tcPr>
          <w:p>
            <w:r/>
            <w:r>
              <w:rPr>
                <w:b/>
                <w:sz w:val="19"/>
              </w:rPr>
              <w:t>Use case / Verification</w:t>
            </w:r>
          </w:p>
        </w:tc>
        <w:tc>
          <w:tcPr>
            <w:tcW w:type="dxa" w:w="6624"/>
          </w:tcPr>
          <w:p>
            <w:r/>
            <w:r>
              <w:rPr>
                <w:b w:val="0"/>
                <w:sz w:val="19"/>
              </w:rPr>
              <w:t>UC-Approve  ·  Verified by: unit tests / evaluation harness / e2e smoke (see §6.2, Table 26)</w:t>
            </w:r>
          </w:p>
        </w:tc>
      </w:tr>
    </w:tbl>
    <w:p>
      <w:pPr>
        <w:spacing w:after="80"/>
      </w:pPr>
    </w:p>
    <w:tbl>
      <w:tblPr>
        <w:tblStyle w:val="LightList-Accent1"/>
        <w:tblW w:type="auto" w:w="0"/>
        <w:jc w:val="center"/>
        <w:tblLook w:firstColumn="1" w:firstRow="1" w:lastColumn="0" w:lastRow="0" w:noHBand="0" w:noVBand="1" w:val="04A0"/>
      </w:tblPr>
      <w:tblGrid>
        <w:gridCol w:w="4320"/>
        <w:gridCol w:w="4320"/>
      </w:tblGrid>
      <w:tr>
        <w:tc>
          <w:tcPr>
            <w:tcW w:type="dxa" w:w="2448"/>
            <w:shd w:val="clear" w:fill="EDF3F2"/>
          </w:tcPr>
          <w:p>
            <w:r/>
            <w:r>
              <w:rPr>
                <w:b/>
                <w:sz w:val="19"/>
              </w:rPr>
              <w:t>Requirement ID</w:t>
            </w:r>
          </w:p>
        </w:tc>
        <w:tc>
          <w:tcPr>
            <w:tcW w:type="dxa" w:w="6624"/>
          </w:tcPr>
          <w:p>
            <w:r/>
            <w:r>
              <w:rPr>
                <w:b w:val="0"/>
                <w:sz w:val="19"/>
              </w:rPr>
              <w:t>FR-17  —  Authentication &amp; RBAC</w:t>
            </w:r>
          </w:p>
        </w:tc>
      </w:tr>
      <w:tr>
        <w:tc>
          <w:tcPr>
            <w:tcW w:type="dxa" w:w="2448"/>
            <w:shd w:val="clear" w:fill="EDF3F2"/>
          </w:tcPr>
          <w:p>
            <w:r/>
            <w:r>
              <w:rPr>
                <w:b/>
                <w:sz w:val="19"/>
              </w:rPr>
              <w:t>Status</w:t>
            </w:r>
          </w:p>
        </w:tc>
        <w:tc>
          <w:tcPr>
            <w:tcW w:type="dxa" w:w="6624"/>
          </w:tcPr>
          <w:p>
            <w:r/>
            <w:r>
              <w:rPr>
                <w:b w:val="0"/>
                <w:sz w:val="19"/>
              </w:rPr>
              <w:t>Baselined  ·  Priority: High</w:t>
            </w:r>
          </w:p>
        </w:tc>
      </w:tr>
      <w:tr>
        <w:tc>
          <w:tcPr>
            <w:tcW w:type="dxa" w:w="2448"/>
            <w:shd w:val="clear" w:fill="EDF3F2"/>
          </w:tcPr>
          <w:p>
            <w:r/>
            <w:r>
              <w:rPr>
                <w:b/>
                <w:sz w:val="19"/>
              </w:rPr>
              <w:t>Description</w:t>
            </w:r>
          </w:p>
        </w:tc>
        <w:tc>
          <w:tcPr>
            <w:tcW w:type="dxa" w:w="6624"/>
          </w:tcPr>
          <w:p>
            <w:r/>
            <w:r>
              <w:rPr>
                <w:b w:val="0"/>
                <w:sz w:val="19"/>
              </w:rPr>
              <w:t>The system shall require an authenticated principal (OIDC header or session token) on every non-public route and enforce role permissions (viewer read-only, analyst read+write, admin for response/defense); authentication is mandatory in production.</w:t>
            </w:r>
          </w:p>
        </w:tc>
      </w:tr>
      <w:tr>
        <w:tc>
          <w:tcPr>
            <w:tcW w:type="dxa" w:w="2448"/>
            <w:shd w:val="clear" w:fill="EDF3F2"/>
          </w:tcPr>
          <w:p>
            <w:r/>
            <w:r>
              <w:rPr>
                <w:b/>
                <w:sz w:val="19"/>
              </w:rPr>
              <w:t>Rationale</w:t>
            </w:r>
          </w:p>
        </w:tc>
        <w:tc>
          <w:tcPr>
            <w:tcW w:type="dxa" w:w="6624"/>
          </w:tcPr>
          <w:p>
            <w:r/>
            <w:r>
              <w:rPr>
                <w:b w:val="0"/>
                <w:sz w:val="19"/>
              </w:rPr>
              <w:t>Protects the crown-jewel telemetry and the response channel.</w:t>
            </w:r>
          </w:p>
        </w:tc>
      </w:tr>
      <w:tr>
        <w:tc>
          <w:tcPr>
            <w:tcW w:type="dxa" w:w="2448"/>
            <w:shd w:val="clear" w:fill="EDF3F2"/>
          </w:tcPr>
          <w:p>
            <w:r/>
            <w:r>
              <w:rPr>
                <w:b/>
                <w:sz w:val="19"/>
              </w:rPr>
              <w:t>Source</w:t>
            </w:r>
          </w:p>
        </w:tc>
        <w:tc>
          <w:tcPr>
            <w:tcW w:type="dxa" w:w="6624"/>
          </w:tcPr>
          <w:p>
            <w:r/>
            <w:r>
              <w:rPr>
                <w:b w:val="0"/>
                <w:sz w:val="19"/>
              </w:rPr>
              <w:t>auth_guard.py; THREAT-MODEL TB2</w:t>
            </w:r>
          </w:p>
        </w:tc>
      </w:tr>
      <w:tr>
        <w:tc>
          <w:tcPr>
            <w:tcW w:type="dxa" w:w="2448"/>
            <w:shd w:val="clear" w:fill="EDF3F2"/>
          </w:tcPr>
          <w:p>
            <w:r/>
            <w:r>
              <w:rPr>
                <w:b/>
                <w:sz w:val="19"/>
              </w:rPr>
              <w:t>Use case / Verification</w:t>
            </w:r>
          </w:p>
        </w:tc>
        <w:tc>
          <w:tcPr>
            <w:tcW w:type="dxa" w:w="6624"/>
          </w:tcPr>
          <w:p>
            <w:r/>
            <w:r>
              <w:rPr>
                <w:b w:val="0"/>
                <w:sz w:val="19"/>
              </w:rPr>
              <w:t>UC-Users  ·  Verified by: unit tests / evaluation harness / e2e smoke (see §6.2, Table 26)</w:t>
            </w:r>
          </w:p>
        </w:tc>
      </w:tr>
    </w:tbl>
    <w:p>
      <w:pPr>
        <w:spacing w:after="80"/>
      </w:pPr>
    </w:p>
    <w:tbl>
      <w:tblPr>
        <w:tblStyle w:val="LightList-Accent1"/>
        <w:tblW w:type="auto" w:w="0"/>
        <w:jc w:val="center"/>
        <w:tblLook w:firstColumn="1" w:firstRow="1" w:lastColumn="0" w:lastRow="0" w:noHBand="0" w:noVBand="1" w:val="04A0"/>
      </w:tblPr>
      <w:tblGrid>
        <w:gridCol w:w="4320"/>
        <w:gridCol w:w="4320"/>
      </w:tblGrid>
      <w:tr>
        <w:tc>
          <w:tcPr>
            <w:tcW w:type="dxa" w:w="2448"/>
            <w:shd w:val="clear" w:fill="EDF3F2"/>
          </w:tcPr>
          <w:p>
            <w:r/>
            <w:r>
              <w:rPr>
                <w:b/>
                <w:sz w:val="19"/>
              </w:rPr>
              <w:t>Requirement ID</w:t>
            </w:r>
          </w:p>
        </w:tc>
        <w:tc>
          <w:tcPr>
            <w:tcW w:type="dxa" w:w="6624"/>
          </w:tcPr>
          <w:p>
            <w:r/>
            <w:r>
              <w:rPr>
                <w:b w:val="0"/>
                <w:sz w:val="19"/>
              </w:rPr>
              <w:t>FR-18  —  Air-gap enforcement &amp; verification</w:t>
            </w:r>
          </w:p>
        </w:tc>
      </w:tr>
      <w:tr>
        <w:tc>
          <w:tcPr>
            <w:tcW w:type="dxa" w:w="2448"/>
            <w:shd w:val="clear" w:fill="EDF3F2"/>
          </w:tcPr>
          <w:p>
            <w:r/>
            <w:r>
              <w:rPr>
                <w:b/>
                <w:sz w:val="19"/>
              </w:rPr>
              <w:t>Status</w:t>
            </w:r>
          </w:p>
        </w:tc>
        <w:tc>
          <w:tcPr>
            <w:tcW w:type="dxa" w:w="6624"/>
          </w:tcPr>
          <w:p>
            <w:r/>
            <w:r>
              <w:rPr>
                <w:b w:val="0"/>
                <w:sz w:val="19"/>
              </w:rPr>
              <w:t>Baselined  ·  Priority: High</w:t>
            </w:r>
          </w:p>
        </w:tc>
      </w:tr>
      <w:tr>
        <w:tc>
          <w:tcPr>
            <w:tcW w:type="dxa" w:w="2448"/>
            <w:shd w:val="clear" w:fill="EDF3F2"/>
          </w:tcPr>
          <w:p>
            <w:r/>
            <w:r>
              <w:rPr>
                <w:b/>
                <w:sz w:val="19"/>
              </w:rPr>
              <w:t>Description</w:t>
            </w:r>
          </w:p>
        </w:tc>
        <w:tc>
          <w:tcPr>
            <w:tcW w:type="dxa" w:w="6624"/>
          </w:tcPr>
          <w:p>
            <w:r/>
            <w:r>
              <w:rPr>
                <w:b w:val="0"/>
                <w:sz w:val="19"/>
              </w:rPr>
              <w:t>The system shall confine internet egress to feed-sync alone and provide a harness that proves the runtime boundary is sealed.</w:t>
            </w:r>
          </w:p>
        </w:tc>
      </w:tr>
      <w:tr>
        <w:tc>
          <w:tcPr>
            <w:tcW w:type="dxa" w:w="2448"/>
            <w:shd w:val="clear" w:fill="EDF3F2"/>
          </w:tcPr>
          <w:p>
            <w:r/>
            <w:r>
              <w:rPr>
                <w:b/>
                <w:sz w:val="19"/>
              </w:rPr>
              <w:t>Rationale</w:t>
            </w:r>
          </w:p>
        </w:tc>
        <w:tc>
          <w:tcPr>
            <w:tcW w:type="dxa" w:w="6624"/>
          </w:tcPr>
          <w:p>
            <w:r/>
            <w:r>
              <w:rPr>
                <w:b w:val="0"/>
                <w:sz w:val="19"/>
              </w:rPr>
              <w:t>The core promise to an air-gapped buyer must be provable, not asserted.</w:t>
            </w:r>
          </w:p>
        </w:tc>
      </w:tr>
      <w:tr>
        <w:tc>
          <w:tcPr>
            <w:tcW w:type="dxa" w:w="2448"/>
            <w:shd w:val="clear" w:fill="EDF3F2"/>
          </w:tcPr>
          <w:p>
            <w:r/>
            <w:r>
              <w:rPr>
                <w:b/>
                <w:sz w:val="19"/>
              </w:rPr>
              <w:t>Source</w:t>
            </w:r>
          </w:p>
        </w:tc>
        <w:tc>
          <w:tcPr>
            <w:tcW w:type="dxa" w:w="6624"/>
          </w:tcPr>
          <w:p>
            <w:r/>
            <w:r>
              <w:rPr>
                <w:b w:val="0"/>
                <w:sz w:val="19"/>
              </w:rPr>
              <w:t>airgap-verify; NFR air-gap</w:t>
            </w:r>
          </w:p>
        </w:tc>
      </w:tr>
      <w:tr>
        <w:tc>
          <w:tcPr>
            <w:tcW w:type="dxa" w:w="2448"/>
            <w:shd w:val="clear" w:fill="EDF3F2"/>
          </w:tcPr>
          <w:p>
            <w:r/>
            <w:r>
              <w:rPr>
                <w:b/>
                <w:sz w:val="19"/>
              </w:rPr>
              <w:t>Use case / Verification</w:t>
            </w:r>
          </w:p>
        </w:tc>
        <w:tc>
          <w:tcPr>
            <w:tcW w:type="dxa" w:w="6624"/>
          </w:tcPr>
          <w:p>
            <w:r/>
            <w:r>
              <w:rPr>
                <w:b w:val="0"/>
                <w:sz w:val="19"/>
              </w:rPr>
              <w:t>UC-Airgap  ·  Verified by: unit tests / evaluation harness / e2e smoke (see §6.2, Table 26)</w:t>
            </w:r>
          </w:p>
        </w:tc>
      </w:tr>
    </w:tbl>
    <w:p>
      <w:pPr>
        <w:spacing w:after="80"/>
      </w:pPr>
    </w:p>
    <w:tbl>
      <w:tblPr>
        <w:tblStyle w:val="LightList-Accent1"/>
        <w:tblW w:type="auto" w:w="0"/>
        <w:jc w:val="center"/>
        <w:tblLook w:firstColumn="1" w:firstRow="1" w:lastColumn="0" w:lastRow="0" w:noHBand="0" w:noVBand="1" w:val="04A0"/>
      </w:tblPr>
      <w:tblGrid>
        <w:gridCol w:w="4320"/>
        <w:gridCol w:w="4320"/>
      </w:tblGrid>
      <w:tr>
        <w:tc>
          <w:tcPr>
            <w:tcW w:type="dxa" w:w="2448"/>
            <w:shd w:val="clear" w:fill="EDF3F2"/>
          </w:tcPr>
          <w:p>
            <w:r/>
            <w:r>
              <w:rPr>
                <w:b/>
                <w:sz w:val="19"/>
              </w:rPr>
              <w:t>Requirement ID</w:t>
            </w:r>
          </w:p>
        </w:tc>
        <w:tc>
          <w:tcPr>
            <w:tcW w:type="dxa" w:w="6624"/>
          </w:tcPr>
          <w:p>
            <w:r/>
            <w:r>
              <w:rPr>
                <w:b w:val="0"/>
                <w:sz w:val="19"/>
              </w:rPr>
              <w:t>FR-19  —  Offline installation &amp; updates</w:t>
            </w:r>
          </w:p>
        </w:tc>
      </w:tr>
      <w:tr>
        <w:tc>
          <w:tcPr>
            <w:tcW w:type="dxa" w:w="2448"/>
            <w:shd w:val="clear" w:fill="EDF3F2"/>
          </w:tcPr>
          <w:p>
            <w:r/>
            <w:r>
              <w:rPr>
                <w:b/>
                <w:sz w:val="19"/>
              </w:rPr>
              <w:t>Status</w:t>
            </w:r>
          </w:p>
        </w:tc>
        <w:tc>
          <w:tcPr>
            <w:tcW w:type="dxa" w:w="6624"/>
          </w:tcPr>
          <w:p>
            <w:r/>
            <w:r>
              <w:rPr>
                <w:b w:val="0"/>
                <w:sz w:val="19"/>
              </w:rPr>
              <w:t>Baselined  ·  Priority: Medium</w:t>
            </w:r>
          </w:p>
        </w:tc>
      </w:tr>
      <w:tr>
        <w:tc>
          <w:tcPr>
            <w:tcW w:type="dxa" w:w="2448"/>
            <w:shd w:val="clear" w:fill="EDF3F2"/>
          </w:tcPr>
          <w:p>
            <w:r/>
            <w:r>
              <w:rPr>
                <w:b/>
                <w:sz w:val="19"/>
              </w:rPr>
              <w:t>Description</w:t>
            </w:r>
          </w:p>
        </w:tc>
        <w:tc>
          <w:tcPr>
            <w:tcW w:type="dxa" w:w="6624"/>
          </w:tcPr>
          <w:p>
            <w:r/>
            <w:r>
              <w:rPr>
                <w:b w:val="0"/>
                <w:sz w:val="19"/>
              </w:rPr>
              <w:t>The system shall build a checksummed offline bundle (images + feed mirror + config) on a connected host and install it inside the air gap with fail-closed integrity verification.</w:t>
            </w:r>
          </w:p>
        </w:tc>
      </w:tr>
      <w:tr>
        <w:tc>
          <w:tcPr>
            <w:tcW w:type="dxa" w:w="2448"/>
            <w:shd w:val="clear" w:fill="EDF3F2"/>
          </w:tcPr>
          <w:p>
            <w:r/>
            <w:r>
              <w:rPr>
                <w:b/>
                <w:sz w:val="19"/>
              </w:rPr>
              <w:t>Rationale</w:t>
            </w:r>
          </w:p>
        </w:tc>
        <w:tc>
          <w:tcPr>
            <w:tcW w:type="dxa" w:w="6624"/>
          </w:tcPr>
          <w:p>
            <w:r/>
            <w:r>
              <w:rPr>
                <w:b w:val="0"/>
                <w:sz w:val="19"/>
              </w:rPr>
              <w:t>Software and feed updates must cross the gap safely and repeatably.</w:t>
            </w:r>
          </w:p>
        </w:tc>
      </w:tr>
      <w:tr>
        <w:tc>
          <w:tcPr>
            <w:tcW w:type="dxa" w:w="2448"/>
            <w:shd w:val="clear" w:fill="EDF3F2"/>
          </w:tcPr>
          <w:p>
            <w:r/>
            <w:r>
              <w:rPr>
                <w:b/>
                <w:sz w:val="19"/>
              </w:rPr>
              <w:t>Source</w:t>
            </w:r>
          </w:p>
        </w:tc>
        <w:tc>
          <w:tcPr>
            <w:tcW w:type="dxa" w:w="6624"/>
          </w:tcPr>
          <w:p>
            <w:r/>
            <w:r>
              <w:rPr>
                <w:b w:val="0"/>
                <w:sz w:val="19"/>
              </w:rPr>
              <w:t>bundle.sh/install.sh; PRODUCTION-DEPLOYMENT §3</w:t>
            </w:r>
          </w:p>
        </w:tc>
      </w:tr>
      <w:tr>
        <w:tc>
          <w:tcPr>
            <w:tcW w:type="dxa" w:w="2448"/>
            <w:shd w:val="clear" w:fill="EDF3F2"/>
          </w:tcPr>
          <w:p>
            <w:r/>
            <w:r>
              <w:rPr>
                <w:b/>
                <w:sz w:val="19"/>
              </w:rPr>
              <w:t>Use case / Verification</w:t>
            </w:r>
          </w:p>
        </w:tc>
        <w:tc>
          <w:tcPr>
            <w:tcW w:type="dxa" w:w="6624"/>
          </w:tcPr>
          <w:p>
            <w:r/>
            <w:r>
              <w:rPr>
                <w:b w:val="0"/>
                <w:sz w:val="19"/>
              </w:rPr>
              <w:t>UC-Bundle  ·  Verified by: unit tests / evaluation harness / e2e smoke (see §6.2, Table 26)</w:t>
            </w:r>
          </w:p>
        </w:tc>
      </w:tr>
    </w:tbl>
    <w:p>
      <w:pPr>
        <w:spacing w:after="80"/>
      </w:pPr>
    </w:p>
    <w:tbl>
      <w:tblPr>
        <w:tblStyle w:val="LightList-Accent1"/>
        <w:tblW w:type="auto" w:w="0"/>
        <w:jc w:val="center"/>
        <w:tblLook w:firstColumn="1" w:firstRow="1" w:lastColumn="0" w:lastRow="0" w:noHBand="0" w:noVBand="1" w:val="04A0"/>
      </w:tblPr>
      <w:tblGrid>
        <w:gridCol w:w="4320"/>
        <w:gridCol w:w="4320"/>
      </w:tblGrid>
      <w:tr>
        <w:tc>
          <w:tcPr>
            <w:tcW w:type="dxa" w:w="2448"/>
            <w:shd w:val="clear" w:fill="EDF3F2"/>
          </w:tcPr>
          <w:p>
            <w:r/>
            <w:r>
              <w:rPr>
                <w:b/>
                <w:sz w:val="19"/>
              </w:rPr>
              <w:t>Requirement ID</w:t>
            </w:r>
          </w:p>
        </w:tc>
        <w:tc>
          <w:tcPr>
            <w:tcW w:type="dxa" w:w="6624"/>
          </w:tcPr>
          <w:p>
            <w:r/>
            <w:r>
              <w:rPr>
                <w:b w:val="0"/>
                <w:sz w:val="19"/>
              </w:rPr>
              <w:t>FR-20  —  Dashboards &amp; search</w:t>
            </w:r>
          </w:p>
        </w:tc>
      </w:tr>
      <w:tr>
        <w:tc>
          <w:tcPr>
            <w:tcW w:type="dxa" w:w="2448"/>
            <w:shd w:val="clear" w:fill="EDF3F2"/>
          </w:tcPr>
          <w:p>
            <w:r/>
            <w:r>
              <w:rPr>
                <w:b/>
                <w:sz w:val="19"/>
              </w:rPr>
              <w:t>Status</w:t>
            </w:r>
          </w:p>
        </w:tc>
        <w:tc>
          <w:tcPr>
            <w:tcW w:type="dxa" w:w="6624"/>
          </w:tcPr>
          <w:p>
            <w:r/>
            <w:r>
              <w:rPr>
                <w:b w:val="0"/>
                <w:sz w:val="19"/>
              </w:rPr>
              <w:t>Baselined  ·  Priority: Medium</w:t>
            </w:r>
          </w:p>
        </w:tc>
      </w:tr>
      <w:tr>
        <w:tc>
          <w:tcPr>
            <w:tcW w:type="dxa" w:w="2448"/>
            <w:shd w:val="clear" w:fill="EDF3F2"/>
          </w:tcPr>
          <w:p>
            <w:r/>
            <w:r>
              <w:rPr>
                <w:b/>
                <w:sz w:val="19"/>
              </w:rPr>
              <w:t>Description</w:t>
            </w:r>
          </w:p>
        </w:tc>
        <w:tc>
          <w:tcPr>
            <w:tcW w:type="dxa" w:w="6624"/>
          </w:tcPr>
          <w:p>
            <w:r/>
            <w:r>
              <w:rPr>
                <w:b w:val="0"/>
                <w:sz w:val="19"/>
              </w:rPr>
              <w:t>The system shall provide Grafana dashboards (metrics/trends/heatmaps) and global search over assets, CVEs and IOCs across the stores.</w:t>
            </w:r>
          </w:p>
        </w:tc>
      </w:tr>
      <w:tr>
        <w:tc>
          <w:tcPr>
            <w:tcW w:type="dxa" w:w="2448"/>
            <w:shd w:val="clear" w:fill="EDF3F2"/>
          </w:tcPr>
          <w:p>
            <w:r/>
            <w:r>
              <w:rPr>
                <w:b/>
                <w:sz w:val="19"/>
              </w:rPr>
              <w:t>Rationale</w:t>
            </w:r>
          </w:p>
        </w:tc>
        <w:tc>
          <w:tcPr>
            <w:tcW w:type="dxa" w:w="6624"/>
          </w:tcPr>
          <w:p>
            <w:r/>
            <w:r>
              <w:rPr>
                <w:b w:val="0"/>
                <w:sz w:val="19"/>
              </w:rPr>
              <w:t>Situational awareness and hunting complement the triage queue.</w:t>
            </w:r>
          </w:p>
        </w:tc>
      </w:tr>
      <w:tr>
        <w:tc>
          <w:tcPr>
            <w:tcW w:type="dxa" w:w="2448"/>
            <w:shd w:val="clear" w:fill="EDF3F2"/>
          </w:tcPr>
          <w:p>
            <w:r/>
            <w:r>
              <w:rPr>
                <w:b/>
                <w:sz w:val="19"/>
              </w:rPr>
              <w:t>Source</w:t>
            </w:r>
          </w:p>
        </w:tc>
        <w:tc>
          <w:tcPr>
            <w:tcW w:type="dxa" w:w="6624"/>
          </w:tcPr>
          <w:p>
            <w:r/>
            <w:r>
              <w:rPr>
                <w:b w:val="0"/>
                <w:sz w:val="19"/>
              </w:rPr>
              <w:t>grafana/; search router</w:t>
            </w:r>
          </w:p>
        </w:tc>
      </w:tr>
      <w:tr>
        <w:tc>
          <w:tcPr>
            <w:tcW w:type="dxa" w:w="2448"/>
            <w:shd w:val="clear" w:fill="EDF3F2"/>
          </w:tcPr>
          <w:p>
            <w:r/>
            <w:r>
              <w:rPr>
                <w:b/>
                <w:sz w:val="19"/>
              </w:rPr>
              <w:t>Use case / Verification</w:t>
            </w:r>
          </w:p>
        </w:tc>
        <w:tc>
          <w:tcPr>
            <w:tcW w:type="dxa" w:w="6624"/>
          </w:tcPr>
          <w:p>
            <w:r/>
            <w:r>
              <w:rPr>
                <w:b w:val="0"/>
                <w:sz w:val="19"/>
              </w:rPr>
              <w:t>UC-Dash / UC-Hunt  ·  Verified by: unit tests / evaluation harness / e2e smoke (see §6.2, Table 26)</w:t>
            </w:r>
          </w:p>
        </w:tc>
      </w:tr>
    </w:tbl>
    <w:p>
      <w:pPr>
        <w:spacing w:after="80"/>
      </w:pPr>
    </w:p>
    <w:p>
      <w:r>
        <w:br w:type="page"/>
      </w:r>
    </w:p>
    <w:p>
      <w:pPr>
        <w:pStyle w:val="Heading1"/>
      </w:pPr>
      <w:r>
        <w:t>6  NON-FUNCTIONAL REQUIREMENTS &amp; SOFTWARE SYSTEM ATTRIBUTES</w:t>
      </w:r>
    </w:p>
    <w:p>
      <w:pPr>
        <w:pStyle w:val="Heading2"/>
      </w:pPr>
      <w:r>
        <w:t>6.1  Performance Requirements</w:t>
      </w:r>
    </w:p>
    <w:p>
      <w:pPr>
        <w:spacing w:after="120"/>
      </w:pPr>
      <w:r>
        <w:rPr>
          <w:b w:val="0"/>
          <w:i w:val="0"/>
          <w:sz w:val="22"/>
        </w:rPr>
        <w:t>Performance targets are measured with the in-repo benchmark harness (BENCHMARKS.md: ingest throughput, end-to-end latency, API load, footprint). The values below are the target envelope for a single-node pilot; production K3s scales stateless workers horizontally.</w:t>
      </w:r>
    </w:p>
    <w:p>
      <w:pPr>
        <w:spacing w:after="120"/>
      </w:pPr>
      <w:r>
        <w:rPr>
          <w:b w:val="0"/>
          <w:i/>
          <w:color w:val="555B62"/>
          <w:sz w:val="20"/>
        </w:rPr>
        <w:t>Table 25 — Non-functional requirements and software system attributes.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152"/>
            <w:shd w:val="clear" w:fill="1F7A6B"/>
          </w:tcPr>
          <w:p>
            <w:r/>
            <w:r>
              <w:rPr>
                <w:b/>
                <w:color w:val="FFFFFF"/>
                <w:sz w:val="20"/>
              </w:rPr>
              <w:t>ID</w:t>
            </w:r>
          </w:p>
        </w:tc>
        <w:tc>
          <w:tcPr>
            <w:tcW w:type="dxa" w:w="1872"/>
            <w:shd w:val="clear" w:fill="1F7A6B"/>
          </w:tcPr>
          <w:p>
            <w:r/>
            <w:r>
              <w:rPr>
                <w:b/>
                <w:color w:val="FFFFFF"/>
                <w:sz w:val="20"/>
              </w:rPr>
              <w:t>Attribute</w:t>
            </w:r>
          </w:p>
        </w:tc>
        <w:tc>
          <w:tcPr>
            <w:tcW w:type="dxa" w:w="2016"/>
            <w:shd w:val="clear" w:fill="1F7A6B"/>
          </w:tcPr>
          <w:p>
            <w:r/>
            <w:r>
              <w:rPr>
                <w:b/>
                <w:color w:val="FFFFFF"/>
                <w:sz w:val="20"/>
              </w:rPr>
              <w:t>Name</w:t>
            </w:r>
          </w:p>
        </w:tc>
        <w:tc>
          <w:tcPr>
            <w:tcW w:type="dxa" w:w="4608"/>
            <w:shd w:val="clear" w:fill="1F7A6B"/>
          </w:tcPr>
          <w:p>
            <w:r/>
            <w:r>
              <w:rPr>
                <w:b/>
                <w:color w:val="FFFFFF"/>
                <w:sz w:val="20"/>
              </w:rPr>
              <w:t>Requirement</w:t>
            </w:r>
          </w:p>
        </w:tc>
      </w:tr>
      <w:tr>
        <w:tc>
          <w:tcPr>
            <w:tcW w:type="dxa" w:w="1152"/>
          </w:tcPr>
          <w:p>
            <w:r/>
            <w:r>
              <w:rPr>
                <w:b/>
                <w:sz w:val="18"/>
              </w:rPr>
              <w:t>NFR-01</w:t>
            </w:r>
          </w:p>
        </w:tc>
        <w:tc>
          <w:tcPr>
            <w:tcW w:type="dxa" w:w="1872"/>
          </w:tcPr>
          <w:p>
            <w:r/>
            <w:r>
              <w:rPr>
                <w:b w:val="0"/>
                <w:sz w:val="18"/>
              </w:rPr>
              <w:t>Performance</w:t>
            </w:r>
          </w:p>
        </w:tc>
        <w:tc>
          <w:tcPr>
            <w:tcW w:type="dxa" w:w="2016"/>
          </w:tcPr>
          <w:p>
            <w:r/>
            <w:r>
              <w:rPr>
                <w:b w:val="0"/>
                <w:sz w:val="18"/>
              </w:rPr>
              <w:t>Ingest throughput</w:t>
            </w:r>
          </w:p>
        </w:tc>
        <w:tc>
          <w:tcPr>
            <w:tcW w:type="dxa" w:w="4608"/>
          </w:tcPr>
          <w:p>
            <w:r/>
            <w:r>
              <w:rPr>
                <w:b w:val="0"/>
                <w:sz w:val="18"/>
              </w:rPr>
              <w:t>Sustain the pilot's measured events/sec through edge→queue→workers→stores without unbounded lag (ramp 5k→200k envelopes).</w:t>
            </w:r>
          </w:p>
        </w:tc>
      </w:tr>
      <w:tr>
        <w:tc>
          <w:tcPr>
            <w:tcW w:type="dxa" w:w="1152"/>
          </w:tcPr>
          <w:p>
            <w:r/>
            <w:r>
              <w:rPr>
                <w:b/>
                <w:sz w:val="18"/>
              </w:rPr>
              <w:t>NFR-02</w:t>
            </w:r>
          </w:p>
        </w:tc>
        <w:tc>
          <w:tcPr>
            <w:tcW w:type="dxa" w:w="1872"/>
          </w:tcPr>
          <w:p>
            <w:r/>
            <w:r>
              <w:rPr>
                <w:b w:val="0"/>
                <w:sz w:val="18"/>
              </w:rPr>
              <w:t>Performance</w:t>
            </w:r>
          </w:p>
        </w:tc>
        <w:tc>
          <w:tcPr>
            <w:tcW w:type="dxa" w:w="2016"/>
          </w:tcPr>
          <w:p>
            <w:r/>
            <w:r>
              <w:rPr>
                <w:b w:val="0"/>
                <w:sz w:val="18"/>
              </w:rPr>
              <w:t>End-to-end latency</w:t>
            </w:r>
          </w:p>
        </w:tc>
        <w:tc>
          <w:tcPr>
            <w:tcW w:type="dxa" w:w="4608"/>
          </w:tcPr>
          <w:p>
            <w:r/>
            <w:r>
              <w:rPr>
                <w:b w:val="0"/>
                <w:sz w:val="18"/>
              </w:rPr>
              <w:t>Median (p50) telemetry-to-queryable latency within the documented target; p95/p99 reported.</w:t>
            </w:r>
          </w:p>
        </w:tc>
      </w:tr>
      <w:tr>
        <w:tc>
          <w:tcPr>
            <w:tcW w:type="dxa" w:w="1152"/>
          </w:tcPr>
          <w:p>
            <w:r/>
            <w:r>
              <w:rPr>
                <w:b/>
                <w:sz w:val="18"/>
              </w:rPr>
              <w:t>NFR-03</w:t>
            </w:r>
          </w:p>
        </w:tc>
        <w:tc>
          <w:tcPr>
            <w:tcW w:type="dxa" w:w="1872"/>
          </w:tcPr>
          <w:p>
            <w:r/>
            <w:r>
              <w:rPr>
                <w:b w:val="0"/>
                <w:sz w:val="18"/>
              </w:rPr>
              <w:t>Performance</w:t>
            </w:r>
          </w:p>
        </w:tc>
        <w:tc>
          <w:tcPr>
            <w:tcW w:type="dxa" w:w="2016"/>
          </w:tcPr>
          <w:p>
            <w:r/>
            <w:r>
              <w:rPr>
                <w:b w:val="0"/>
                <w:sz w:val="18"/>
              </w:rPr>
              <w:t>API responsiveness</w:t>
            </w:r>
          </w:p>
        </w:tc>
        <w:tc>
          <w:tcPr>
            <w:tcW w:type="dxa" w:w="4608"/>
          </w:tcPr>
          <w:p>
            <w:r/>
            <w:r>
              <w:rPr>
                <w:b w:val="0"/>
                <w:sz w:val="18"/>
              </w:rPr>
              <w:t>Console hot-path endpoints meet p95 &lt; 400 ms at 20 virtual users, error rate &lt; 1% (k6 gate).</w:t>
            </w:r>
          </w:p>
        </w:tc>
      </w:tr>
      <w:tr>
        <w:tc>
          <w:tcPr>
            <w:tcW w:type="dxa" w:w="1152"/>
          </w:tcPr>
          <w:p>
            <w:r/>
            <w:r>
              <w:rPr>
                <w:b/>
                <w:sz w:val="18"/>
              </w:rPr>
              <w:t>NFR-04</w:t>
            </w:r>
          </w:p>
        </w:tc>
        <w:tc>
          <w:tcPr>
            <w:tcW w:type="dxa" w:w="1872"/>
          </w:tcPr>
          <w:p>
            <w:r/>
            <w:r>
              <w:rPr>
                <w:b w:val="0"/>
                <w:sz w:val="18"/>
              </w:rPr>
              <w:t>Security</w:t>
            </w:r>
          </w:p>
        </w:tc>
        <w:tc>
          <w:tcPr>
            <w:tcW w:type="dxa" w:w="2016"/>
          </w:tcPr>
          <w:p>
            <w:r/>
            <w:r>
              <w:rPr>
                <w:b w:val="0"/>
                <w:sz w:val="18"/>
              </w:rPr>
              <w:t>Confidentiality &amp; authN</w:t>
            </w:r>
          </w:p>
        </w:tc>
        <w:tc>
          <w:tcPr>
            <w:tcW w:type="dxa" w:w="4608"/>
          </w:tcPr>
          <w:p>
            <w:r/>
            <w:r>
              <w:rPr>
                <w:b w:val="0"/>
                <w:sz w:val="18"/>
              </w:rPr>
              <w:t>mTLS ingestion; mandatory OIDC/session auth + RBAC on every non-public route in production.</w:t>
            </w:r>
          </w:p>
        </w:tc>
      </w:tr>
      <w:tr>
        <w:tc>
          <w:tcPr>
            <w:tcW w:type="dxa" w:w="1152"/>
          </w:tcPr>
          <w:p>
            <w:r/>
            <w:r>
              <w:rPr>
                <w:b/>
                <w:sz w:val="18"/>
              </w:rPr>
              <w:t>NFR-05</w:t>
            </w:r>
          </w:p>
        </w:tc>
        <w:tc>
          <w:tcPr>
            <w:tcW w:type="dxa" w:w="1872"/>
          </w:tcPr>
          <w:p>
            <w:r/>
            <w:r>
              <w:rPr>
                <w:b w:val="0"/>
                <w:sz w:val="18"/>
              </w:rPr>
              <w:t>Security</w:t>
            </w:r>
          </w:p>
        </w:tc>
        <w:tc>
          <w:tcPr>
            <w:tcW w:type="dxa" w:w="2016"/>
          </w:tcPr>
          <w:p>
            <w:r/>
            <w:r>
              <w:rPr>
                <w:b w:val="0"/>
                <w:sz w:val="18"/>
              </w:rPr>
              <w:t>Integrity / tamper-evidence</w:t>
            </w:r>
          </w:p>
        </w:tc>
        <w:tc>
          <w:tcPr>
            <w:tcW w:type="dxa" w:w="4608"/>
          </w:tcPr>
          <w:p>
            <w:r/>
            <w:r>
              <w:rPr>
                <w:b w:val="0"/>
                <w:sz w:val="18"/>
              </w:rPr>
              <w:t>Compliance evidence and response audit are hash-chained and verifiable; agent supply chain is cosign-signed.</w:t>
            </w:r>
          </w:p>
        </w:tc>
      </w:tr>
      <w:tr>
        <w:tc>
          <w:tcPr>
            <w:tcW w:type="dxa" w:w="1152"/>
          </w:tcPr>
          <w:p>
            <w:r/>
            <w:r>
              <w:rPr>
                <w:b/>
                <w:sz w:val="18"/>
              </w:rPr>
              <w:t>NFR-06</w:t>
            </w:r>
          </w:p>
        </w:tc>
        <w:tc>
          <w:tcPr>
            <w:tcW w:type="dxa" w:w="1872"/>
          </w:tcPr>
          <w:p>
            <w:r/>
            <w:r>
              <w:rPr>
                <w:b w:val="0"/>
                <w:sz w:val="18"/>
              </w:rPr>
              <w:t>Security</w:t>
            </w:r>
          </w:p>
        </w:tc>
        <w:tc>
          <w:tcPr>
            <w:tcW w:type="dxa" w:w="2016"/>
          </w:tcPr>
          <w:p>
            <w:r/>
            <w:r>
              <w:rPr>
                <w:b w:val="0"/>
                <w:sz w:val="18"/>
              </w:rPr>
              <w:t>Air-gap</w:t>
            </w:r>
          </w:p>
        </w:tc>
        <w:tc>
          <w:tcPr>
            <w:tcW w:type="dxa" w:w="4608"/>
          </w:tcPr>
          <w:p>
            <w:r/>
            <w:r>
              <w:rPr>
                <w:b w:val="0"/>
                <w:sz w:val="18"/>
              </w:rPr>
              <w:t>Zero runtime egress except feed-sync; boundary provable via airgap-verify.</w:t>
            </w:r>
          </w:p>
        </w:tc>
      </w:tr>
      <w:tr>
        <w:tc>
          <w:tcPr>
            <w:tcW w:type="dxa" w:w="1152"/>
          </w:tcPr>
          <w:p>
            <w:r/>
            <w:r>
              <w:rPr>
                <w:b/>
                <w:sz w:val="18"/>
              </w:rPr>
              <w:t>NFR-07</w:t>
            </w:r>
          </w:p>
        </w:tc>
        <w:tc>
          <w:tcPr>
            <w:tcW w:type="dxa" w:w="1872"/>
          </w:tcPr>
          <w:p>
            <w:r/>
            <w:r>
              <w:rPr>
                <w:b w:val="0"/>
                <w:sz w:val="18"/>
              </w:rPr>
              <w:t>Reliability</w:t>
            </w:r>
          </w:p>
        </w:tc>
        <w:tc>
          <w:tcPr>
            <w:tcW w:type="dxa" w:w="2016"/>
          </w:tcPr>
          <w:p>
            <w:r/>
            <w:r>
              <w:rPr>
                <w:b w:val="0"/>
                <w:sz w:val="18"/>
              </w:rPr>
              <w:t>Durability &amp; back-pressure</w:t>
            </w:r>
          </w:p>
        </w:tc>
        <w:tc>
          <w:tcPr>
            <w:tcW w:type="dxa" w:w="4608"/>
          </w:tcPr>
          <w:p>
            <w:r/>
            <w:r>
              <w:rPr>
                <w:b w:val="0"/>
                <w:sz w:val="18"/>
              </w:rPr>
              <w:t>No telemetry loss under sustained load; broker back-pressure protects the stores; idempotent writes.</w:t>
            </w:r>
          </w:p>
        </w:tc>
      </w:tr>
      <w:tr>
        <w:tc>
          <w:tcPr>
            <w:tcW w:type="dxa" w:w="1152"/>
          </w:tcPr>
          <w:p>
            <w:r/>
            <w:r>
              <w:rPr>
                <w:b/>
                <w:sz w:val="18"/>
              </w:rPr>
              <w:t>NFR-08</w:t>
            </w:r>
          </w:p>
        </w:tc>
        <w:tc>
          <w:tcPr>
            <w:tcW w:type="dxa" w:w="1872"/>
          </w:tcPr>
          <w:p>
            <w:r/>
            <w:r>
              <w:rPr>
                <w:b w:val="0"/>
                <w:sz w:val="18"/>
              </w:rPr>
              <w:t>Availability</w:t>
            </w:r>
          </w:p>
        </w:tc>
        <w:tc>
          <w:tcPr>
            <w:tcW w:type="dxa" w:w="2016"/>
          </w:tcPr>
          <w:p>
            <w:r/>
            <w:r>
              <w:rPr>
                <w:b w:val="0"/>
                <w:sz w:val="18"/>
              </w:rPr>
              <w:t>Recoverability</w:t>
            </w:r>
          </w:p>
        </w:tc>
        <w:tc>
          <w:tcPr>
            <w:tcW w:type="dxa" w:w="4608"/>
          </w:tcPr>
          <w:p>
            <w:r/>
            <w:r>
              <w:rPr>
                <w:b w:val="0"/>
                <w:sz w:val="18"/>
              </w:rPr>
              <w:t>Scheduled backup/restore of all stores (Velero/backup); tested restore procedure.</w:t>
            </w:r>
          </w:p>
        </w:tc>
      </w:tr>
      <w:tr>
        <w:tc>
          <w:tcPr>
            <w:tcW w:type="dxa" w:w="1152"/>
          </w:tcPr>
          <w:p>
            <w:r/>
            <w:r>
              <w:rPr>
                <w:b/>
                <w:sz w:val="18"/>
              </w:rPr>
              <w:t>NFR-09</w:t>
            </w:r>
          </w:p>
        </w:tc>
        <w:tc>
          <w:tcPr>
            <w:tcW w:type="dxa" w:w="1872"/>
          </w:tcPr>
          <w:p>
            <w:r/>
            <w:r>
              <w:rPr>
                <w:b w:val="0"/>
                <w:sz w:val="18"/>
              </w:rPr>
              <w:t>Explainability</w:t>
            </w:r>
          </w:p>
        </w:tc>
        <w:tc>
          <w:tcPr>
            <w:tcW w:type="dxa" w:w="2016"/>
          </w:tcPr>
          <w:p>
            <w:r/>
            <w:r>
              <w:rPr>
                <w:b w:val="0"/>
                <w:sz w:val="18"/>
              </w:rPr>
              <w:t>Auditable scoring</w:t>
            </w:r>
          </w:p>
        </w:tc>
        <w:tc>
          <w:tcPr>
            <w:tcW w:type="dxa" w:w="4608"/>
          </w:tcPr>
          <w:p>
            <w:r/>
            <w:r>
              <w:rPr>
                <w:b w:val="0"/>
                <w:sz w:val="18"/>
              </w:rPr>
              <w:t>Every score exposes composite factor contributions and exact SHAP attributions; fixed seeds make ML reproducible.</w:t>
            </w:r>
          </w:p>
        </w:tc>
      </w:tr>
      <w:tr>
        <w:tc>
          <w:tcPr>
            <w:tcW w:type="dxa" w:w="1152"/>
          </w:tcPr>
          <w:p>
            <w:r/>
            <w:r>
              <w:rPr>
                <w:b/>
                <w:sz w:val="18"/>
              </w:rPr>
              <w:t>NFR-10</w:t>
            </w:r>
          </w:p>
        </w:tc>
        <w:tc>
          <w:tcPr>
            <w:tcW w:type="dxa" w:w="1872"/>
          </w:tcPr>
          <w:p>
            <w:r/>
            <w:r>
              <w:rPr>
                <w:b w:val="0"/>
                <w:sz w:val="18"/>
              </w:rPr>
              <w:t>Usability</w:t>
            </w:r>
          </w:p>
        </w:tc>
        <w:tc>
          <w:tcPr>
            <w:tcW w:type="dxa" w:w="2016"/>
          </w:tcPr>
          <w:p>
            <w:r/>
            <w:r>
              <w:rPr>
                <w:b w:val="0"/>
                <w:sz w:val="18"/>
              </w:rPr>
              <w:t>Accessibility</w:t>
            </w:r>
          </w:p>
        </w:tc>
        <w:tc>
          <w:tcPr>
            <w:tcW w:type="dxa" w:w="4608"/>
          </w:tcPr>
          <w:p>
            <w:r/>
            <w:r>
              <w:rPr>
                <w:b w:val="0"/>
                <w:sz w:val="18"/>
              </w:rPr>
              <w:t>WCAG-AA severity encoding by shape+label (not color alone); full keyboard navigation.</w:t>
            </w:r>
          </w:p>
        </w:tc>
      </w:tr>
      <w:tr>
        <w:tc>
          <w:tcPr>
            <w:tcW w:type="dxa" w:w="1152"/>
          </w:tcPr>
          <w:p>
            <w:r/>
            <w:r>
              <w:rPr>
                <w:b/>
                <w:sz w:val="18"/>
              </w:rPr>
              <w:t>NFR-11</w:t>
            </w:r>
          </w:p>
        </w:tc>
        <w:tc>
          <w:tcPr>
            <w:tcW w:type="dxa" w:w="1872"/>
          </w:tcPr>
          <w:p>
            <w:r/>
            <w:r>
              <w:rPr>
                <w:b w:val="0"/>
                <w:sz w:val="18"/>
              </w:rPr>
              <w:t>Maintainability</w:t>
            </w:r>
          </w:p>
        </w:tc>
        <w:tc>
          <w:tcPr>
            <w:tcW w:type="dxa" w:w="2016"/>
          </w:tcPr>
          <w:p>
            <w:r/>
            <w:r>
              <w:rPr>
                <w:b w:val="0"/>
                <w:sz w:val="18"/>
              </w:rPr>
              <w:t>Tested &amp; CI-gated</w:t>
            </w:r>
          </w:p>
        </w:tc>
        <w:tc>
          <w:tcPr>
            <w:tcW w:type="dxa" w:w="4608"/>
          </w:tcPr>
          <w:p>
            <w:r/>
            <w:r>
              <w:rPr>
                <w:b w:val="0"/>
                <w:sz w:val="18"/>
              </w:rPr>
              <w:t>Automated tests (91) plus Go vet, image scan, and k3d + Compose e2e smokes run in CI on every change.</w:t>
            </w:r>
          </w:p>
        </w:tc>
      </w:tr>
      <w:tr>
        <w:tc>
          <w:tcPr>
            <w:tcW w:type="dxa" w:w="1152"/>
          </w:tcPr>
          <w:p>
            <w:r/>
            <w:r>
              <w:rPr>
                <w:b/>
                <w:sz w:val="18"/>
              </w:rPr>
              <w:t>NFR-12</w:t>
            </w:r>
          </w:p>
        </w:tc>
        <w:tc>
          <w:tcPr>
            <w:tcW w:type="dxa" w:w="1872"/>
          </w:tcPr>
          <w:p>
            <w:r/>
            <w:r>
              <w:rPr>
                <w:b w:val="0"/>
                <w:sz w:val="18"/>
              </w:rPr>
              <w:t>Portability</w:t>
            </w:r>
          </w:p>
        </w:tc>
        <w:tc>
          <w:tcPr>
            <w:tcW w:type="dxa" w:w="2016"/>
          </w:tcPr>
          <w:p>
            <w:r/>
            <w:r>
              <w:rPr>
                <w:b w:val="0"/>
                <w:sz w:val="18"/>
              </w:rPr>
              <w:t>Deployment footprints</w:t>
            </w:r>
          </w:p>
        </w:tc>
        <w:tc>
          <w:tcPr>
            <w:tcW w:type="dxa" w:w="4608"/>
          </w:tcPr>
          <w:p>
            <w:r/>
            <w:r>
              <w:rPr>
                <w:b w:val="0"/>
                <w:sz w:val="18"/>
              </w:rPr>
              <w:t>Runs as single-node Docker Compose (pilot) and multi-node K3s via a Helm chart (production).</w:t>
            </w:r>
          </w:p>
        </w:tc>
      </w:tr>
      <w:tr>
        <w:tc>
          <w:tcPr>
            <w:tcW w:type="dxa" w:w="1152"/>
          </w:tcPr>
          <w:p>
            <w:r/>
            <w:r>
              <w:rPr>
                <w:b/>
                <w:sz w:val="18"/>
              </w:rPr>
              <w:t>NFR-13</w:t>
            </w:r>
          </w:p>
        </w:tc>
        <w:tc>
          <w:tcPr>
            <w:tcW w:type="dxa" w:w="1872"/>
          </w:tcPr>
          <w:p>
            <w:r/>
            <w:r>
              <w:rPr>
                <w:b w:val="0"/>
                <w:sz w:val="18"/>
              </w:rPr>
              <w:t>Scalability</w:t>
            </w:r>
          </w:p>
        </w:tc>
        <w:tc>
          <w:tcPr>
            <w:tcW w:type="dxa" w:w="2016"/>
          </w:tcPr>
          <w:p>
            <w:r/>
            <w:r>
              <w:rPr>
                <w:b w:val="0"/>
                <w:sz w:val="18"/>
              </w:rPr>
              <w:t>Horizontal workers</w:t>
            </w:r>
          </w:p>
        </w:tc>
        <w:tc>
          <w:tcPr>
            <w:tcW w:type="dxa" w:w="4608"/>
          </w:tcPr>
          <w:p>
            <w:r/>
            <w:r>
              <w:rPr>
                <w:b w:val="0"/>
                <w:sz w:val="18"/>
              </w:rPr>
              <w:t>Stateless ingest and workers scale out in K3s to grow ingest capacity for larger estates.</w:t>
            </w:r>
          </w:p>
        </w:tc>
      </w:tr>
      <w:tr>
        <w:tc>
          <w:tcPr>
            <w:tcW w:type="dxa" w:w="1152"/>
          </w:tcPr>
          <w:p>
            <w:r/>
            <w:r>
              <w:rPr>
                <w:b/>
                <w:sz w:val="18"/>
              </w:rPr>
              <w:t>NFR-14</w:t>
            </w:r>
          </w:p>
        </w:tc>
        <w:tc>
          <w:tcPr>
            <w:tcW w:type="dxa" w:w="1872"/>
          </w:tcPr>
          <w:p>
            <w:r/>
            <w:r>
              <w:rPr>
                <w:b w:val="0"/>
                <w:sz w:val="18"/>
              </w:rPr>
              <w:t>Extensibility</w:t>
            </w:r>
          </w:p>
        </w:tc>
        <w:tc>
          <w:tcPr>
            <w:tcW w:type="dxa" w:w="2016"/>
          </w:tcPr>
          <w:p>
            <w:r/>
            <w:r>
              <w:rPr>
                <w:b w:val="0"/>
                <w:sz w:val="18"/>
              </w:rPr>
              <w:t>Pluggable connectors</w:t>
            </w:r>
          </w:p>
        </w:tc>
        <w:tc>
          <w:tcPr>
            <w:tcW w:type="dxa" w:w="4608"/>
          </w:tcPr>
          <w:p>
            <w:r/>
            <w:r>
              <w:rPr>
                <w:b w:val="0"/>
                <w:sz w:val="18"/>
              </w:rPr>
              <w:t>New tools attach via the documented connector contract (envelope or findings + dedup_key) with no core change.</w:t>
            </w:r>
          </w:p>
        </w:tc>
      </w:tr>
    </w:tbl>
    <w:p>
      <w:pPr>
        <w:pStyle w:val="Heading2"/>
      </w:pPr>
      <w:r>
        <w:t>6.2  Verification &amp; Requirements Traceability</w:t>
      </w:r>
    </w:p>
    <w:p>
      <w:pPr>
        <w:spacing w:after="120"/>
      </w:pPr>
      <w:r>
        <w:rPr>
          <w:b w:val="0"/>
          <w:i/>
          <w:color w:val="555B62"/>
          <w:sz w:val="20"/>
        </w:rPr>
        <w:t>Table 26 — Requirements-to-evaluation traceability (how each requirement is verified).</w:t>
      </w:r>
    </w:p>
    <w:tbl>
      <w:tblPr>
        <w:tblStyle w:val="LightGrid-Accent1"/>
        <w:tblW w:type="auto" w:w="0"/>
        <w:jc w:val="center"/>
        <w:tblLook w:firstColumn="1" w:firstRow="1" w:lastColumn="0" w:lastRow="0" w:noHBand="0" w:noVBand="1" w:val="04A0"/>
      </w:tblPr>
      <w:tblGrid>
        <w:gridCol w:w="4320"/>
        <w:gridCol w:w="4320"/>
      </w:tblGrid>
      <w:tr>
        <w:tc>
          <w:tcPr>
            <w:tcW w:type="dxa" w:w="3744"/>
            <w:shd w:val="clear" w:fill="1F7A6B"/>
          </w:tcPr>
          <w:p>
            <w:r/>
            <w:r>
              <w:rPr>
                <w:b/>
                <w:color w:val="FFFFFF"/>
                <w:sz w:val="20"/>
              </w:rPr>
              <w:t>Requirement(s)</w:t>
            </w:r>
          </w:p>
        </w:tc>
        <w:tc>
          <w:tcPr>
            <w:tcW w:type="dxa" w:w="5328"/>
            <w:shd w:val="clear" w:fill="1F7A6B"/>
          </w:tcPr>
          <w:p>
            <w:r/>
            <w:r>
              <w:rPr>
                <w:b/>
                <w:color w:val="FFFFFF"/>
                <w:sz w:val="20"/>
              </w:rPr>
              <w:t>Verification evidence</w:t>
            </w:r>
          </w:p>
        </w:tc>
      </w:tr>
      <w:tr>
        <w:tc>
          <w:tcPr>
            <w:tcW w:type="dxa" w:w="3744"/>
          </w:tcPr>
          <w:p>
            <w:r/>
            <w:r>
              <w:rPr>
                <w:b/>
                <w:sz w:val="18"/>
              </w:rPr>
              <w:t>FR-07/08/09/10 (fusion, scoring, ML, XAI)</w:t>
            </w:r>
          </w:p>
        </w:tc>
        <w:tc>
          <w:tcPr>
            <w:tcW w:type="dxa" w:w="5328"/>
          </w:tcPr>
          <w:p>
            <w:r/>
            <w:r>
              <w:rPr>
                <w:b w:val="0"/>
                <w:sz w:val="18"/>
              </w:rPr>
              <w:t>ml/evaluate.py + eval_fusion.py + attack_scenario.py; unit tests (fusion, scoring, features, dataset, evaluate, feedback, attack-scenario).</w:t>
            </w:r>
          </w:p>
        </w:tc>
      </w:tr>
      <w:tr>
        <w:tc>
          <w:tcPr>
            <w:tcW w:type="dxa" w:w="3744"/>
          </w:tcPr>
          <w:p>
            <w:r/>
            <w:r>
              <w:rPr>
                <w:b/>
                <w:sz w:val="18"/>
              </w:rPr>
              <w:t>FR-05/06 (enrichment, compliance)</w:t>
            </w:r>
          </w:p>
        </w:tc>
        <w:tc>
          <w:tcPr>
            <w:tcW w:type="dxa" w:w="5328"/>
          </w:tcPr>
          <w:p>
            <w:r/>
            <w:r>
              <w:rPr>
                <w:b w:val="0"/>
                <w:sz w:val="18"/>
              </w:rPr>
              <w:t>services/enrichment/tests (version→CVE matching; compliance pass/fail/NA).</w:t>
            </w:r>
          </w:p>
        </w:tc>
      </w:tr>
      <w:tr>
        <w:tc>
          <w:tcPr>
            <w:tcW w:type="dxa" w:w="3744"/>
          </w:tcPr>
          <w:p>
            <w:r/>
            <w:r>
              <w:rPr>
                <w:b/>
                <w:sz w:val="18"/>
              </w:rPr>
              <w:t>FR-17 (authN + RBAC)</w:t>
            </w:r>
          </w:p>
        </w:tc>
        <w:tc>
          <w:tcPr>
            <w:tcW w:type="dxa" w:w="5328"/>
          </w:tcPr>
          <w:p>
            <w:r/>
            <w:r>
              <w:rPr>
                <w:b w:val="0"/>
                <w:sz w:val="18"/>
              </w:rPr>
              <w:t>services/api/tests/test_auth_guard.py (401 unauth, RBAC 403s, production-forces-auth).</w:t>
            </w:r>
          </w:p>
        </w:tc>
      </w:tr>
      <w:tr>
        <w:tc>
          <w:tcPr>
            <w:tcW w:type="dxa" w:w="3744"/>
          </w:tcPr>
          <w:p>
            <w:r/>
            <w:r>
              <w:rPr>
                <w:b/>
                <w:sz w:val="18"/>
              </w:rPr>
              <w:t>FR-01..05,12,20 (end-to-end pipeline)</w:t>
            </w:r>
          </w:p>
        </w:tc>
        <w:tc>
          <w:tcPr>
            <w:tcW w:type="dxa" w:w="5328"/>
          </w:tcPr>
          <w:p>
            <w:r/>
            <w:r>
              <w:rPr>
                <w:b w:val="0"/>
                <w:sz w:val="18"/>
              </w:rPr>
              <w:t>deploy/smoke/compose-smoke.sh: ingest→assess→score→assert findings carry a risk_score.</w:t>
            </w:r>
          </w:p>
        </w:tc>
      </w:tr>
      <w:tr>
        <w:tc>
          <w:tcPr>
            <w:tcW w:type="dxa" w:w="3744"/>
          </w:tcPr>
          <w:p>
            <w:r/>
            <w:r>
              <w:rPr>
                <w:b/>
                <w:sz w:val="18"/>
              </w:rPr>
              <w:t>NFR-01/02/03 (performance)</w:t>
            </w:r>
          </w:p>
        </w:tc>
        <w:tc>
          <w:tcPr>
            <w:tcW w:type="dxa" w:w="5328"/>
          </w:tcPr>
          <w:p>
            <w:r/>
            <w:r>
              <w:rPr>
                <w:b w:val="0"/>
                <w:sz w:val="18"/>
              </w:rPr>
              <w:t>tools/fake-producer/e2e_latency.py, make bench-ingest, tools/load/k6-api.js.</w:t>
            </w:r>
          </w:p>
        </w:tc>
      </w:tr>
      <w:tr>
        <w:tc>
          <w:tcPr>
            <w:tcW w:type="dxa" w:w="3744"/>
          </w:tcPr>
          <w:p>
            <w:r/>
            <w:r>
              <w:rPr>
                <w:b/>
                <w:sz w:val="18"/>
              </w:rPr>
              <w:t>NFR-06 (air-gap)</w:t>
            </w:r>
          </w:p>
        </w:tc>
        <w:tc>
          <w:tcPr>
            <w:tcW w:type="dxa" w:w="5328"/>
          </w:tcPr>
          <w:p>
            <w:r/>
            <w:r>
              <w:rPr>
                <w:b w:val="0"/>
                <w:sz w:val="18"/>
              </w:rPr>
              <w:t>tools/airgap/verify-egress.sh (make airgap-verify).</w:t>
            </w:r>
          </w:p>
        </w:tc>
      </w:tr>
      <w:tr>
        <w:tc>
          <w:tcPr>
            <w:tcW w:type="dxa" w:w="3744"/>
          </w:tcPr>
          <w:p>
            <w:r/>
            <w:r>
              <w:rPr>
                <w:b/>
                <w:sz w:val="18"/>
              </w:rPr>
              <w:t>NFR-11 (CI gates)</w:t>
            </w:r>
          </w:p>
        </w:tc>
        <w:tc>
          <w:tcPr>
            <w:tcW w:type="dxa" w:w="5328"/>
          </w:tcPr>
          <w:p>
            <w:r/>
            <w:r>
              <w:rPr>
                <w:b w:val="0"/>
                <w:sz w:val="18"/>
              </w:rPr>
              <w:t>.github/workflows/ci.yml: pytest (91), go vet+build, Trivy scan, k3d smoke, compose e2e smoke.</w:t>
            </w:r>
          </w:p>
        </w:tc>
      </w:tr>
    </w:tbl>
    <w:p>
      <w:r>
        <w:br w:type="page"/>
      </w:r>
    </w:p>
    <w:p>
      <w:pPr>
        <w:pStyle w:val="Heading1"/>
      </w:pPr>
      <w:r>
        <w:t>7  PROJECT DESIGN / ARCHITECTURE</w:t>
      </w:r>
    </w:p>
    <w:p>
      <w:pPr>
        <w:spacing w:after="120"/>
      </w:pPr>
      <w:r>
        <w:rPr>
          <w:b w:val="0"/>
          <w:i w:val="0"/>
          <w:sz w:val="22"/>
        </w:rPr>
        <w:t>The architecture is documented with Kruchten's 4+1 view model. The Use-Case view (Figures 1–3, §4) is the “+1” that ties the others together; the Logical, Development, Process and Physical views follow.</w:t>
      </w:r>
    </w:p>
    <w:p>
      <w:pPr>
        <w:pStyle w:val="Heading2"/>
      </w:pPr>
      <w:r>
        <w:t>7.1  Use-Case View</w:t>
      </w:r>
    </w:p>
    <w:p>
      <w:pPr>
        <w:spacing w:after="120"/>
      </w:pPr>
      <w:r>
        <w:rPr>
          <w:b w:val="0"/>
          <w:i w:val="0"/>
          <w:sz w:val="22"/>
        </w:rPr>
        <w:t>Actors and goals are shown in Figures 1–3: SOC Analyst and Senior Analyst (triage, XAI inspection, feedback, cases, containment request and approval); Administrator and Staging-host Operator (deployment, users/RBAC, agent rollout, feed mirroring, offline bundle, retraining, air-gap verification); and machine actors — the Endpoint Agent, the Pipeline Services and the Integrated Tools.</w:t>
      </w:r>
    </w:p>
    <w:p>
      <w:pPr>
        <w:pStyle w:val="Heading2"/>
      </w:pPr>
      <w:r>
        <w:t>7.2  Logical View</w:t>
      </w:r>
    </w:p>
    <w:p>
      <w:pPr>
        <w:spacing w:after="120"/>
      </w:pPr>
      <w:r>
        <w:rPr>
          <w:b w:val="0"/>
          <w:i w:val="0"/>
          <w:sz w:val="22"/>
        </w:rPr>
        <w:t>Figure 4 shows the four cooperating layers and the responsibilities and key collaborations of each. The intelligence layer (enrichment + fusion + scoring + explanation) is where the original contribution lives; everything else composes proven OSS.</w:t>
      </w:r>
    </w:p>
    <w:p>
      <w:pPr>
        <w:pStyle w:val="Heading2"/>
      </w:pPr>
      <w:r>
        <w:t>7.3  Development View</w:t>
      </w:r>
    </w:p>
    <w:p>
      <w:pPr>
        <w:jc w:val="center"/>
      </w:pPr>
      <w:r>
        <w:drawing>
          <wp:inline xmlns:a="http://schemas.openxmlformats.org/drawingml/2006/main" xmlns:pic="http://schemas.openxmlformats.org/drawingml/2006/picture">
            <wp:extent cx="5760720" cy="3840480"/>
            <wp:docPr id="5" name="Picture 5"/>
            <wp:cNvGraphicFramePr>
              <a:graphicFrameLocks noChangeAspect="1"/>
            </wp:cNvGraphicFramePr>
            <a:graphic>
              <a:graphicData uri="http://schemas.openxmlformats.org/drawingml/2006/picture">
                <pic:pic>
                  <pic:nvPicPr>
                    <pic:cNvPr id="0" name="fig5_development.png"/>
                    <pic:cNvPicPr/>
                  </pic:nvPicPr>
                  <pic:blipFill>
                    <a:blip r:embed="rId13"/>
                    <a:stretch>
                      <a:fillRect/>
                    </a:stretch>
                  </pic:blipFill>
                  <pic:spPr>
                    <a:xfrm>
                      <a:off x="0" y="0"/>
                      <a:ext cx="5760720" cy="3840480"/>
                    </a:xfrm>
                    <a:prstGeom prst="rect"/>
                  </pic:spPr>
                </pic:pic>
              </a:graphicData>
            </a:graphic>
          </wp:inline>
        </w:drawing>
      </w:r>
    </w:p>
    <w:p>
      <w:pPr>
        <w:pStyle w:val="Caption"/>
        <w:spacing w:after="200"/>
        <w:jc w:val="center"/>
      </w:pPr>
      <w:r>
        <w:rPr>
          <w:i/>
        </w:rPr>
        <w:t>Figure 5 — Development view: repository modules and their roles.</w:t>
      </w:r>
    </w:p>
    <w:p>
      <w:pPr>
        <w:spacing w:after="120"/>
      </w:pPr>
      <w:r>
        <w:rPr>
          <w:b w:val="0"/>
          <w:i w:val="0"/>
          <w:sz w:val="22"/>
        </w:rPr>
        <w:t>VYREX is a single repository whose modules map cleanly onto the layers: agent/, services/ (api, ingest-edge, workers, enrichment, feed-sync, bridges), ml/ (fusion, scoring, training, evaluation), web/console/, schema/, deploy/ (Helm, Vault, Keycloak, smokes), tools/ (producer, load, airgap), and docs/. Docker Compose files and a Makefile drive every module; CI gates the whole.</w:t>
      </w:r>
    </w:p>
    <w:p>
      <w:pPr>
        <w:pStyle w:val="Heading2"/>
      </w:pPr>
      <w:r>
        <w:t>7.4  Process View</w:t>
      </w:r>
    </w:p>
    <w:p>
      <w:pPr>
        <w:jc w:val="center"/>
      </w:pPr>
      <w:r>
        <w:drawing>
          <wp:inline xmlns:a="http://schemas.openxmlformats.org/drawingml/2006/main" xmlns:pic="http://schemas.openxmlformats.org/drawingml/2006/picture">
            <wp:extent cx="5760720" cy="3840480"/>
            <wp:docPr id="6" name="Picture 6"/>
            <wp:cNvGraphicFramePr>
              <a:graphicFrameLocks noChangeAspect="1"/>
            </wp:cNvGraphicFramePr>
            <a:graphic>
              <a:graphicData uri="http://schemas.openxmlformats.org/drawingml/2006/picture">
                <pic:pic>
                  <pic:nvPicPr>
                    <pic:cNvPr id="0" name="fig6_process.png"/>
                    <pic:cNvPicPr/>
                  </pic:nvPicPr>
                  <pic:blipFill>
                    <a:blip r:embed="rId14"/>
                    <a:stretch>
                      <a:fillRect/>
                    </a:stretch>
                  </pic:blipFill>
                  <pic:spPr>
                    <a:xfrm>
                      <a:off x="0" y="0"/>
                      <a:ext cx="5760720" cy="3840480"/>
                    </a:xfrm>
                    <a:prstGeom prst="rect"/>
                  </pic:spPr>
                </pic:pic>
              </a:graphicData>
            </a:graphic>
          </wp:inline>
        </w:drawing>
      </w:r>
    </w:p>
    <w:p>
      <w:pPr>
        <w:pStyle w:val="Caption"/>
        <w:spacing w:after="200"/>
        <w:jc w:val="center"/>
      </w:pPr>
      <w:r>
        <w:rPr>
          <w:i/>
        </w:rPr>
        <w:t>Figure 6 — Process view: the ingestion, scoring and signed-response flows.</w:t>
      </w:r>
    </w:p>
    <w:p>
      <w:pPr>
        <w:spacing w:after="120"/>
      </w:pPr>
      <w:r>
        <w:rPr>
          <w:b w:val="0"/>
          <w:i w:val="0"/>
          <w:sz w:val="22"/>
        </w:rPr>
        <w:t>Three runtime flows cooperate: (1) stateless telemetry ingestion into a durable queue; (2) the assessment &amp; scoring loop (enrich → fuse → composite + ML + SHAP → rank); and (3) analyst-controlled, two-person, Ed25519-signed containment with a hash-chained audit.</w:t>
      </w:r>
    </w:p>
    <w:p>
      <w:pPr>
        <w:pStyle w:val="Heading2"/>
      </w:pPr>
      <w:r>
        <w:t>7.5  Physical View</w:t>
      </w:r>
    </w:p>
    <w:p>
      <w:pPr>
        <w:jc w:val="center"/>
      </w:pPr>
      <w:r>
        <w:drawing>
          <wp:inline xmlns:a="http://schemas.openxmlformats.org/drawingml/2006/main" xmlns:pic="http://schemas.openxmlformats.org/drawingml/2006/picture">
            <wp:extent cx="5760720" cy="3840480"/>
            <wp:docPr id="7" name="Picture 7"/>
            <wp:cNvGraphicFramePr>
              <a:graphicFrameLocks noChangeAspect="1"/>
            </wp:cNvGraphicFramePr>
            <a:graphic>
              <a:graphicData uri="http://schemas.openxmlformats.org/drawingml/2006/picture">
                <pic:pic>
                  <pic:nvPicPr>
                    <pic:cNvPr id="0" name="fig7_physical.png"/>
                    <pic:cNvPicPr/>
                  </pic:nvPicPr>
                  <pic:blipFill>
                    <a:blip r:embed="rId15"/>
                    <a:stretch>
                      <a:fillRect/>
                    </a:stretch>
                  </pic:blipFill>
                  <pic:spPr>
                    <a:xfrm>
                      <a:off x="0" y="0"/>
                      <a:ext cx="5760720" cy="3840480"/>
                    </a:xfrm>
                    <a:prstGeom prst="rect"/>
                  </pic:spPr>
                </pic:pic>
              </a:graphicData>
            </a:graphic>
          </wp:inline>
        </w:drawing>
      </w:r>
    </w:p>
    <w:p>
      <w:pPr>
        <w:pStyle w:val="Caption"/>
        <w:spacing w:after="200"/>
        <w:jc w:val="center"/>
      </w:pPr>
      <w:r>
        <w:rPr>
          <w:i/>
        </w:rPr>
        <w:t>Figure 7 — Physical view: air-gapped deployment topology.</w:t>
      </w:r>
    </w:p>
    <w:p>
      <w:pPr>
        <w:spacing w:after="120"/>
      </w:pPr>
      <w:r>
        <w:rPr>
          <w:b w:val="0"/>
          <w:i w:val="0"/>
          <w:sz w:val="22"/>
        </w:rPr>
        <w:t>Endpoints, sensor host, analyst workstations, the server cluster and data stores all sit inside the sealed boundary. Only a DMZ staging host reaches the internet to mirror feeds; updates cross the gap on verified removable media via the offline installer bundle. The single-egress invariant is enforced (NetworkPolicy) and proven (airgap-verify).</w:t>
      </w:r>
    </w:p>
    <w:p>
      <w:pPr>
        <w:pStyle w:val="Heading2"/>
      </w:pPr>
      <w:r>
        <w:t>7.6  User Interface Design</w:t>
      </w:r>
    </w:p>
    <w:p>
      <w:pPr>
        <w:spacing w:after="120"/>
      </w:pPr>
      <w:r>
        <w:rPr>
          <w:b w:val="0"/>
          <w:i w:val="0"/>
          <w:sz w:val="22"/>
        </w:rPr>
        <w:t>The console realizes the presentation requirements in a conclusion-first, instrument-grade design language (charcoal canvas, one teal accent used only on interactive chrome, severity by shape and label for WCAG-AA). The four wireframes below show the primary screens.</w:t>
      </w:r>
    </w:p>
    <w:p>
      <w:pPr>
        <w:jc w:val="center"/>
      </w:pPr>
      <w:r>
        <w:drawing>
          <wp:inline xmlns:a="http://schemas.openxmlformats.org/drawingml/2006/main" xmlns:pic="http://schemas.openxmlformats.org/drawingml/2006/picture">
            <wp:extent cx="5760720" cy="3638349"/>
            <wp:docPr id="8" name="Picture 8"/>
            <wp:cNvGraphicFramePr>
              <a:graphicFrameLocks noChangeAspect="1"/>
            </wp:cNvGraphicFramePr>
            <a:graphic>
              <a:graphicData uri="http://schemas.openxmlformats.org/drawingml/2006/picture">
                <pic:pic>
                  <pic:nvPicPr>
                    <pic:cNvPr id="0" name="fig8_ui_triage.png"/>
                    <pic:cNvPicPr/>
                  </pic:nvPicPr>
                  <pic:blipFill>
                    <a:blip r:embed="rId16"/>
                    <a:stretch>
                      <a:fillRect/>
                    </a:stretch>
                  </pic:blipFill>
                  <pic:spPr>
                    <a:xfrm>
                      <a:off x="0" y="0"/>
                      <a:ext cx="5760720" cy="3638349"/>
                    </a:xfrm>
                    <a:prstGeom prst="rect"/>
                  </pic:spPr>
                </pic:pic>
              </a:graphicData>
            </a:graphic>
          </wp:inline>
        </w:drawing>
      </w:r>
    </w:p>
    <w:p>
      <w:pPr>
        <w:pStyle w:val="Caption"/>
        <w:spacing w:after="200"/>
        <w:jc w:val="center"/>
      </w:pPr>
      <w:r>
        <w:rPr>
          <w:i/>
        </w:rPr>
        <w:t>Figure 8 — Triage view: the risk-ranked decision queue (each row = a conclusion + one action).</w:t>
      </w:r>
    </w:p>
    <w:p>
      <w:pPr>
        <w:jc w:val="center"/>
      </w:pPr>
      <w:r>
        <w:drawing>
          <wp:inline xmlns:a="http://schemas.openxmlformats.org/drawingml/2006/main" xmlns:pic="http://schemas.openxmlformats.org/drawingml/2006/picture">
            <wp:extent cx="5760720" cy="3638349"/>
            <wp:docPr id="9" name="Picture 9"/>
            <wp:cNvGraphicFramePr>
              <a:graphicFrameLocks noChangeAspect="1"/>
            </wp:cNvGraphicFramePr>
            <a:graphic>
              <a:graphicData uri="http://schemas.openxmlformats.org/drawingml/2006/picture">
                <pic:pic>
                  <pic:nvPicPr>
                    <pic:cNvPr id="0" name="fig9_ui_detail.png"/>
                    <pic:cNvPicPr/>
                  </pic:nvPicPr>
                  <pic:blipFill>
                    <a:blip r:embed="rId17"/>
                    <a:stretch>
                      <a:fillRect/>
                    </a:stretch>
                  </pic:blipFill>
                  <pic:spPr>
                    <a:xfrm>
                      <a:off x="0" y="0"/>
                      <a:ext cx="5760720" cy="3638349"/>
                    </a:xfrm>
                    <a:prstGeom prst="rect"/>
                  </pic:spPr>
                </pic:pic>
              </a:graphicData>
            </a:graphic>
          </wp:inline>
        </w:drawing>
      </w:r>
    </w:p>
    <w:p>
      <w:pPr>
        <w:pStyle w:val="Caption"/>
        <w:spacing w:after="200"/>
        <w:jc w:val="center"/>
      </w:pPr>
      <w:r>
        <w:rPr>
          <w:i/>
        </w:rPr>
        <w:t>Figure 9 — Finding detail: the XAI drawer with composite + ML scores, the SHAP waterfall, the containment gate and evidence provenance.</w:t>
      </w:r>
    </w:p>
    <w:p>
      <w:pPr>
        <w:jc w:val="center"/>
      </w:pPr>
      <w:r>
        <w:drawing>
          <wp:inline xmlns:a="http://schemas.openxmlformats.org/drawingml/2006/main" xmlns:pic="http://schemas.openxmlformats.org/drawingml/2006/picture">
            <wp:extent cx="5760720" cy="3638349"/>
            <wp:docPr id="10" name="Picture 10"/>
            <wp:cNvGraphicFramePr>
              <a:graphicFrameLocks noChangeAspect="1"/>
            </wp:cNvGraphicFramePr>
            <a:graphic>
              <a:graphicData uri="http://schemas.openxmlformats.org/drawingml/2006/picture">
                <pic:pic>
                  <pic:nvPicPr>
                    <pic:cNvPr id="0" name="fig10_ui_cases.png"/>
                    <pic:cNvPicPr/>
                  </pic:nvPicPr>
                  <pic:blipFill>
                    <a:blip r:embed="rId18"/>
                    <a:stretch>
                      <a:fillRect/>
                    </a:stretch>
                  </pic:blipFill>
                  <pic:spPr>
                    <a:xfrm>
                      <a:off x="0" y="0"/>
                      <a:ext cx="5760720" cy="3638349"/>
                    </a:xfrm>
                    <a:prstGeom prst="rect"/>
                  </pic:spPr>
                </pic:pic>
              </a:graphicData>
            </a:graphic>
          </wp:inline>
        </w:drawing>
      </w:r>
    </w:p>
    <w:p>
      <w:pPr>
        <w:pStyle w:val="Caption"/>
        <w:spacing w:after="200"/>
        <w:jc w:val="center"/>
      </w:pPr>
      <w:r>
        <w:rPr>
          <w:i/>
        </w:rPr>
        <w:t>Figure 10 — Cases view: incidents with SLA and a hash-chained audit timeline.</w:t>
      </w:r>
    </w:p>
    <w:p>
      <w:pPr>
        <w:jc w:val="center"/>
      </w:pPr>
      <w:r>
        <w:drawing>
          <wp:inline xmlns:a="http://schemas.openxmlformats.org/drawingml/2006/main" xmlns:pic="http://schemas.openxmlformats.org/drawingml/2006/picture">
            <wp:extent cx="5760720" cy="3638349"/>
            <wp:docPr id="11" name="Picture 11"/>
            <wp:cNvGraphicFramePr>
              <a:graphicFrameLocks noChangeAspect="1"/>
            </wp:cNvGraphicFramePr>
            <a:graphic>
              <a:graphicData uri="http://schemas.openxmlformats.org/drawingml/2006/picture">
                <pic:pic>
                  <pic:nvPicPr>
                    <pic:cNvPr id="0" name="fig11_ui_fusion.png"/>
                    <pic:cNvPicPr/>
                  </pic:nvPicPr>
                  <pic:blipFill>
                    <a:blip r:embed="rId19"/>
                    <a:stretch>
                      <a:fillRect/>
                    </a:stretch>
                  </pic:blipFill>
                  <pic:spPr>
                    <a:xfrm>
                      <a:off x="0" y="0"/>
                      <a:ext cx="5760720" cy="3638349"/>
                    </a:xfrm>
                    <a:prstGeom prst="rect"/>
                  </pic:spPr>
                </pic:pic>
              </a:graphicData>
            </a:graphic>
          </wp:inline>
        </w:drawing>
      </w:r>
    </w:p>
    <w:p>
      <w:pPr>
        <w:pStyle w:val="Caption"/>
        <w:spacing w:after="200"/>
        <w:jc w:val="center"/>
      </w:pPr>
      <w:r>
        <w:rPr>
          <w:i/>
        </w:rPr>
        <w:t>Figure 11 — Sensors &amp; Fusion view: the live pipeline and the integrated-tool grid.</w:t>
      </w:r>
    </w:p>
    <w:p>
      <w:r>
        <w:br w:type="page"/>
      </w:r>
    </w:p>
    <w:p>
      <w:pPr>
        <w:pStyle w:val="Heading1"/>
      </w:pPr>
      <w:r>
        <w:t>8  CONCLUSION</w:t>
      </w:r>
    </w:p>
    <w:p>
      <w:pPr>
        <w:spacing w:after="120"/>
      </w:pPr>
      <w:r>
        <w:rPr>
          <w:b w:val="0"/>
          <w:i w:val="0"/>
          <w:sz w:val="22"/>
        </w:rPr>
        <w:t>This SRS specifies VYREX as an air-gapped SOC whose distinguishing value is the intelligence layer: exploit-aware, cross-tool, explainable prioritization over best-in-class open-source detection. The twenty functional and fourteen non-functional requirements are each traceable to a rationale, a source, and — importantly — concrete verification evidence already present in the build (unit and component tests, evaluation and benchmark harnesses, an end-to-end smoke, and air-gap verification). The system is implemented and its claims are measured rather than asserted, satisfying both the academic bar for a final-year design project and the due-diligence bar for a deployable product.</w:t>
      </w:r>
    </w:p>
    <w:sectPr w:rsidR="00FC693F" w:rsidRPr="0006063C" w:rsidSect="00034616">
      <w:footerReference w:type="default" r:id="rId2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B62"/>
        <w:sz w:val="16"/>
      </w:rPr>
      <w:t xml:space="preserve">VYREX — Software Requirements Specification v1.0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2262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2262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2262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7A6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