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66.png" ContentType="image/png"/>
  <Override PartName="/word/media/rId52.png" ContentType="image/png"/>
  <Override PartName="/word/media/rId64.png" ContentType="image/png"/>
  <Override PartName="/word/media/rId113.png" ContentType="image/png"/>
  <Override PartName="/word/media/rId140.png" ContentType="image/png"/>
  <Override PartName="/word/media/rId82.png" ContentType="image/png"/>
  <Override PartName="/word/media/rId99.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Xeb2461818334718e52733244c9165c80ef9de99"/>
    <w:p>
      <w:pPr>
        <w:pStyle w:val="Heading1"/>
      </w:pPr>
      <w:r>
        <w:t xml:space="preserve">Programmatic 3D Modeling with AI LLM Agents: A Comprehensive 2026 Analysis</w:t>
      </w:r>
    </w:p>
    <w:p>
      <w:pPr>
        <w:pStyle w:val="FirstParagraph"/>
      </w:pPr>
      <w:r>
        <w:rPr>
          <w:iCs/>
          <w:i/>
        </w:rPr>
        <w:t xml:space="preserve">Research Report | June 2026</w:t>
      </w:r>
    </w:p>
    <w:p>
      <w:pPr>
        <w:pStyle w:val="BodyText"/>
      </w:pPr>
      <w:r>
        <w:rPr>
          <w:iCs/>
          <w:i/>
        </w:rPr>
        <w:t xml:space="preserve">Covering: OpenSCAD, CadQuery, Blender Python, SDFs, Voxels, MCP Ecosystem, Multi-Agent Architectures, Fine-Tuned Models, Commercial Tools, and Industry Adoption</w:t>
      </w:r>
    </w:p>
    <w:p>
      <w:r>
        <w:pict>
          <v:rect style="width:0;height:1.5pt" o:hralign="center" o:hrstd="t" o:hr="t"/>
        </w:pict>
      </w:r>
    </w:p>
    <w:bookmarkStart w:id="24" w:name="executive-summary"/>
    <w:p>
      <w:pPr>
        <w:pStyle w:val="Heading2"/>
      </w:pPr>
      <w:r>
        <w:t xml:space="preserve">Executive Summary</w:t>
      </w:r>
    </w:p>
    <w:p>
      <w:pPr>
        <w:pStyle w:val="FirstParagraph"/>
      </w:pPr>
      <w:r>
        <w:t xml:space="preserve">The AI-driven programmatic 3D modeling market is projected to expand from $2.3 billion in 2023 to $12.6 billion by 2033 at an 18.5% compound annual growth rate</w:t>
      </w:r>
      <w:r>
        <w:t xml:space="preserve"> </w:t>
      </w:r>
      <w:r>
        <w:rPr>
          <w:vertAlign w:val="superscript"/>
        </w:rPr>
        <w:footnoteReference w:id="1"/>
      </w:r>
      <w:r>
        <w:t xml:space="preserve">. Beneath this headline, however, lies a field fractured along a fundamental fault line: visualization AI, where text-to-mesh generation is commercially mature and generating hundreds of millions in annual revenue, and engineering AI, where even the best fine-tuned models fail to produce manufacturable parts. This report—synthesizing 720+ sources across 12 research dimensions and 87 cross-verified claims—provides a comprehensive assessment of LLM agents that generate executable 3D code (OpenSCAD, CadQuery, Blender Python, SDF functions, voxel APIs) as of mid-2026.</w:t>
      </w:r>
    </w:p>
    <w:bookmarkStart w:id="20" w:name="es.1-key-findings-at-a-glance"/>
    <w:p>
      <w:pPr>
        <w:pStyle w:val="Heading3"/>
      </w:pPr>
      <w:r>
        <w:t xml:space="preserve">ES.1 Key Findings at a Glance</w:t>
      </w:r>
    </w:p>
    <w:p>
      <w:pPr>
        <w:pStyle w:val="FirstParagraph"/>
      </w:pPr>
      <w:r>
        <w:t xml:space="preserve">Three structural laws define the 2026 landscape.</w:t>
      </w:r>
      <w:r>
        <w:t xml:space="preserve"> </w:t>
      </w:r>
      <w:r>
        <w:rPr>
          <w:bCs/>
          <w:b/>
        </w:rPr>
        <w:t xml:space="preserve">First, representation choice determines capability ceiling.</w:t>
      </w:r>
      <w:r>
        <w:t xml:space="preserve"> </w:t>
      </w:r>
      <w:r>
        <w:t xml:space="preserve">Constructive Solid Geometry (CSG) excels for deterministic prismatic parts but cannot represent organic curvature; Boundary Representation (B-Rep) preserves parametric editability but is constrained by the Topological Naming Problem’s</w:t>
      </w:r>
      <w:r>
        <w:t xml:space="preserve"> </w:t>
      </w:r>
      <m:oMath>
        <m:r>
          <m:t>O</m:t>
        </m:r>
        <m:d>
          <m:dPr>
            <m:begChr m:val="("/>
            <m:endChr m:val=")"/>
            <m:sepChr m:val=""/>
            <m:grow/>
          </m:dPr>
          <m:e>
            <m:sSup>
              <m:e>
                <m:r>
                  <m:t>V</m:t>
                </m:r>
              </m:e>
              <m:sup>
                <m:r>
                  <m:t>2</m:t>
                </m:r>
              </m:sup>
            </m:sSup>
            <m:d>
              <m:dPr>
                <m:begChr m:val="|"/>
                <m:endChr m:val="|"/>
                <m:sepChr m:val=""/>
                <m:grow/>
              </m:dPr>
              <m:e>
                <m:r>
                  <m:t>E</m:t>
                </m:r>
              </m:e>
            </m:d>
          </m:e>
        </m:d>
      </m:oMath>
      <w:r>
        <w:t xml:space="preserve"> </w:t>
      </w:r>
      <w:r>
        <w:t xml:space="preserve">search complexity</w:t>
      </w:r>
      <w:r>
        <w:t xml:space="preserve"> </w:t>
      </w:r>
      <w:r>
        <w:rPr>
          <w:vertAlign w:val="superscript"/>
        </w:rPr>
        <w:footnoteReference w:id="2"/>
      </w:r>
      <w:r>
        <w:t xml:space="preserve">; Signed Distance Fields (SDFs) offer infinite resolution but require lossy extraction before manufacturing</w:t>
      </w:r>
      <w:r>
        <w:t xml:space="preserve"> </w:t>
      </w:r>
      <w:r>
        <w:rPr>
          <w:vertAlign w:val="superscript"/>
        </w:rPr>
        <w:footnoteReference w:id="3"/>
      </w:r>
      <w:r>
        <w:t xml:space="preserve">; voxel grids eliminate coordinate hallucination yet introduce axis-aligned bias</w:t>
      </w:r>
      <w:r>
        <w:t xml:space="preserve"> </w:t>
      </w:r>
      <w:r>
        <w:rPr>
          <w:vertAlign w:val="superscript"/>
        </w:rPr>
        <w:footnoteReference w:id="4"/>
      </w:r>
      <w:r>
        <w:t xml:space="preserve">; and polygon meshes dominate commercial tools but lack engineering-grade precision. No universal representation exists, and no efficient conversion bridges all five</w:t>
      </w:r>
      <w:r>
        <w:t xml:space="preserve"> </w:t>
      </w:r>
      <w:r>
        <w:rPr>
          <w:vertAlign w:val="superscript"/>
        </w:rPr>
        <w:footnoteReference w:id="5"/>
      </w:r>
      <w:r>
        <w:t xml:space="preserve">.</w:t>
      </w:r>
    </w:p>
    <w:p>
      <w:pPr>
        <w:pStyle w:val="BodyText"/>
      </w:pPr>
      <w:r>
        <w:rPr>
          <w:bCs/>
          <w:b/>
        </w:rPr>
        <w:t xml:space="preserve">Second, visual feedback loops are non-optional for spatial reasoning.</w:t>
      </w:r>
      <w:r>
        <w:t xml:space="preserve"> </w:t>
      </w:r>
      <w:r>
        <w:t xml:space="preserve">Eight independently developed multi-agent systems converged on the same architectural pattern: generate geometry, render it, critique via a Vision-Language Model (VLM), and refine. CADSmith demonstrated a 38-fold reduction in Chamfer Distance through this approach</w:t>
      </w:r>
      <w:r>
        <w:t xml:space="preserve"> </w:t>
      </w:r>
      <w:r>
        <w:rPr>
          <w:vertAlign w:val="superscript"/>
        </w:rPr>
        <w:footnoteReference w:id="6"/>
      </w:r>
      <w:r>
        <w:t xml:space="preserve">; the PAC Framework achieved 93% success on simple tasks using render-based critique</w:t>
      </w:r>
      <w:r>
        <w:t xml:space="preserve"> </w:t>
      </w:r>
      <w:r>
        <w:rPr>
          <w:vertAlign w:val="superscript"/>
        </w:rPr>
        <w:footnoteReference w:id="7"/>
      </w:r>
      <w:r>
        <w:t xml:space="preserve">; LL3M reduced execution errors by 26% with BlenderRAG</w:t>
      </w:r>
      <w:r>
        <w:t xml:space="preserve"> </w:t>
      </w:r>
      <w:r>
        <w:rPr>
          <w:vertAlign w:val="superscript"/>
        </w:rPr>
        <w:footnoteReference w:id="8"/>
      </w:r>
      <w:r>
        <w:t xml:space="preserve">; and SceneCraft improved CLIP scores by 45.1% over single-pass generation</w:t>
      </w:r>
      <w:r>
        <w:t xml:space="preserve"> </w:t>
      </w:r>
      <w:r>
        <w:rPr>
          <w:vertAlign w:val="superscript"/>
        </w:rPr>
        <w:footnoteReference w:id="9"/>
      </w:r>
      <w:r>
        <w:t xml:space="preserve">. Systems without visual feedback suffer from what researchers term</w:t>
      </w:r>
      <w:r>
        <w:t xml:space="preserve"> </w:t>
      </w:r>
      <w:r>
        <w:t xml:space="preserve">“</w:t>
      </w:r>
      <w:r>
        <w:t xml:space="preserve">contextual blindness</w:t>
      </w:r>
      <w:r>
        <w:t xml:space="preserve">”</w:t>
      </w:r>
      <w:r>
        <w:t xml:space="preserve">—structurally incapable of detecting geometric errors invisible to text-only evaluation.</w:t>
      </w:r>
    </w:p>
    <w:p>
      <w:pPr>
        <w:pStyle w:val="BodyText"/>
      </w:pPr>
      <w:r>
        <w:rPr>
          <w:bCs/>
          <w:b/>
        </w:rPr>
        <w:t xml:space="preserve">Third, commercial traction and technical capability are inversely correlated.</w:t>
      </w:r>
      <w:r>
        <w:t xml:space="preserve"> </w:t>
      </w:r>
      <w:r>
        <w:t xml:space="preserve">Tripo AI reached a ~$1.5 billion valuation with 10-20 million users generating game-ready meshes</w:t>
      </w:r>
      <w:r>
        <w:t xml:space="preserve"> </w:t>
      </w:r>
      <w:fldSimple w:instr="NOTEREF _Ref_Footnote_1 \h \f">
        <w:r>
          <w:rPr>
            <w:vertAlign w:val="superscript"/>
          </w:rPr>
          <w:t>1</w:t>
        </w:r>
      </w:fldSimple>
      <w:r>
        <w:t xml:space="preserve"> </w:t>
      </w:r>
      <w:r>
        <w:rPr>
          <w:vertAlign w:val="superscript"/>
        </w:rPr>
        <w:footnoteReference w:id="10"/>
      </w:r>
      <w:r>
        <w:t xml:space="preserve">; Meshy AI exceeded $40 million ARR with 14x revenue growth in 2025</w:t>
      </w:r>
      <w:r>
        <w:t xml:space="preserve"> </w:t>
      </w:r>
      <w:r>
        <w:rPr>
          <w:vertAlign w:val="superscript"/>
        </w:rPr>
        <w:footnoteReference w:id="11"/>
      </w:r>
      <w:r>
        <w:t xml:space="preserve">. Yet the MUSE benchmark reveals a failure cascade across all models: 68% code executability falling to 54% geometric validity, 42/100 functionality, 35/100 manufacturability, and 28/100 assemblability</w:t>
      </w:r>
      <w:r>
        <w:t xml:space="preserve"> </w:t>
      </w:r>
      <w:r>
        <w:rPr>
          <w:vertAlign w:val="superscript"/>
        </w:rPr>
        <w:footnoteReference w:id="12"/>
      </w:r>
      <w:r>
        <w:t xml:space="preserve"> </w:t>
      </w:r>
      <w:r>
        <w:rPr>
          <w:vertAlign w:val="superscript"/>
        </w:rPr>
        <w:footnoteReference w:id="13"/>
      </w:r>
      <w:r>
        <w:t xml:space="preserve">. Commercial success flows to workflows where</w:t>
      </w:r>
      <w:r>
        <w:t xml:space="preserve"> </w:t>
      </w:r>
      <w:r>
        <w:t xml:space="preserve">“</w:t>
      </w:r>
      <w:r>
        <w:t xml:space="preserve">good enough</w:t>
      </w:r>
      <w:r>
        <w:t xml:space="preserve">”</w:t>
      </w:r>
      <w:r>
        <w:t xml:space="preserve"> </w:t>
      </w:r>
      <w:r>
        <w:t xml:space="preserve">appearance suffices and failure costs are low (a re-generated game asset); engineering workflows where failure costs are high (a structurally compromised aerospace bracket) remain commercially underserved. The Xometry independent test confirmed this: seven leading tools scored only 2-4 out of 5 stars for accuracy</w:t>
      </w:r>
      <w:r>
        <w:t xml:space="preserve"> </w:t>
      </w:r>
      <w:r>
        <w:rPr>
          <w:vertAlign w:val="superscript"/>
        </w:rPr>
        <w:footnoteReference w:id="14"/>
      </w:r>
      <w:r>
        <w:t xml:space="preserve">.</w:t>
      </w:r>
    </w:p>
    <w:bookmarkEnd w:id="20"/>
    <w:bookmarkStart w:id="21" w:name="es.2-top-recommended-stacks-by-use-case"/>
    <w:p>
      <w:pPr>
        <w:pStyle w:val="Heading3"/>
      </w:pPr>
      <w:r>
        <w:t xml:space="preserve">ES.2 Top Recommended Stacks by Use Case</w:t>
      </w:r>
    </w:p>
    <w:p>
      <w:pPr>
        <w:pStyle w:val="FirstParagraph"/>
      </w:pPr>
      <w:r>
        <w:rPr>
          <w:bCs/>
          <w:b/>
        </w:rPr>
        <w:t xml:space="preserve">Table ES.1: Stack Selection Matrix — Five Use Cases Across Five Technical Approaches (Mid-2026)</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Use Case</w:t>
            </w:r>
          </w:p>
        </w:tc>
        <w:tc>
          <w:tcPr/>
          <w:p>
            <w:pPr>
              <w:pStyle w:val="Compact"/>
              <w:jc w:val="center"/>
            </w:pPr>
            <w:r>
              <w:t xml:space="preserve">CSG/OpenSCAD</w:t>
            </w:r>
          </w:p>
        </w:tc>
        <w:tc>
          <w:tcPr/>
          <w:p>
            <w:pPr>
              <w:pStyle w:val="Compact"/>
              <w:jc w:val="center"/>
            </w:pPr>
            <w:r>
              <w:t xml:space="preserve">B-Rep/CadQuery</w:t>
            </w:r>
          </w:p>
        </w:tc>
        <w:tc>
          <w:tcPr/>
          <w:p>
            <w:pPr>
              <w:pStyle w:val="Compact"/>
              <w:jc w:val="center"/>
            </w:pPr>
            <w:r>
              <w:t xml:space="preserve">Mesh/Blender+bpy</w:t>
            </w:r>
          </w:p>
        </w:tc>
        <w:tc>
          <w:tcPr/>
          <w:p>
            <w:pPr>
              <w:pStyle w:val="Compact"/>
              <w:jc w:val="center"/>
            </w:pPr>
            <w:r>
              <w:t xml:space="preserve">SDF/Taichi</w:t>
            </w:r>
          </w:p>
        </w:tc>
        <w:tc>
          <w:tcPr/>
          <w:p>
            <w:pPr>
              <w:pStyle w:val="Compact"/>
              <w:jc w:val="center"/>
            </w:pPr>
            <w:r>
              <w:t xml:space="preserve">Voxel API</w:t>
            </w:r>
          </w:p>
        </w:tc>
      </w:tr>
      <w:tr>
        <w:tc>
          <w:tcPr/>
          <w:p>
            <w:pPr>
              <w:pStyle w:val="Compact"/>
              <w:jc w:val="left"/>
            </w:pPr>
            <w:r>
              <w:rPr>
                <w:bCs/>
                <w:b/>
              </w:rPr>
              <w:t xml:space="preserve">Game assets</w:t>
            </w:r>
            <w:r>
              <w:t xml:space="preserve"> </w:t>
            </w:r>
            <w:r>
              <w:t xml:space="preserve">(prototyping)</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r>
              <w:t xml:space="preserve"> </w:t>
            </w:r>
            <w:fldSimple w:instr="NOTEREF _Ref_Footnote_8 \h \f">
              <w:r>
                <w:rPr>
                  <w:vertAlign w:val="superscript"/>
                </w:rPr>
                <w:t>8</w:t>
              </w:r>
            </w:fldSimple>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Architecture</w:t>
            </w:r>
            <w:r>
              <w:t xml:space="preserve"> </w:t>
            </w:r>
            <w:r>
              <w:t xml:space="preserve">(conceptual)</w:t>
            </w:r>
          </w:p>
        </w:tc>
        <w:tc>
          <w:tcPr/>
          <w:p>
            <w:pPr>
              <w:pStyle w:val="Compact"/>
              <w:jc w:val="center"/>
            </w:pPr>
            <w:r>
              <w:t xml:space="preserve">★★☆</w:t>
            </w:r>
          </w:p>
        </w:tc>
        <w:tc>
          <w:tcPr/>
          <w:p>
            <w:pPr>
              <w:pStyle w:val="Compact"/>
              <w:jc w:val="center"/>
            </w:pPr>
            <w:r>
              <w:rPr>
                <w:bCs/>
                <w:b/>
              </w:rPr>
              <w:t xml:space="preserve">★★★</w:t>
            </w:r>
            <w:r>
              <w:t xml:space="preserve"> </w:t>
            </w:r>
            <w:fldSimple w:instr="NOTEREF _Ref_Footnote_5 \h \f">
              <w:r>
                <w:rPr>
                  <w:vertAlign w:val="superscript"/>
                </w:rPr>
                <w:t>5</w:t>
              </w:r>
            </w:fldSimple>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Rapid prototyping</w:t>
            </w:r>
            <w:r>
              <w:t xml:space="preserve"> </w:t>
            </w:r>
            <w:r>
              <w:t xml:space="preserve">(3D printing)</w:t>
            </w:r>
          </w:p>
        </w:tc>
        <w:tc>
          <w:tcPr/>
          <w:p>
            <w:pPr>
              <w:pStyle w:val="Compact"/>
              <w:jc w:val="center"/>
            </w:pPr>
            <w:r>
              <w:rPr>
                <w:bCs/>
                <w:b/>
              </w:rPr>
              <w:t xml:space="preserve">★★★</w:t>
            </w:r>
            <w:r>
              <w:t xml:space="preserve"> </w:t>
            </w:r>
            <w:r>
              <w:rPr>
                <w:vertAlign w:val="superscript"/>
              </w:rPr>
              <w:footnoteReference w:id="15"/>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Organic/abstract art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r>
              <w:t xml:space="preserve"> </w:t>
            </w:r>
            <w:r>
              <w:rPr>
                <w:vertAlign w:val="superscript"/>
              </w:rPr>
              <w:footnoteReference w:id="16"/>
            </w:r>
          </w:p>
        </w:tc>
        <w:tc>
          <w:tcPr/>
          <w:p>
            <w:pPr>
              <w:pStyle w:val="Compact"/>
              <w:jc w:val="center"/>
            </w:pPr>
            <w:r>
              <w:t xml:space="preserve">★☆☆</w:t>
            </w:r>
          </w:p>
        </w:tc>
      </w:tr>
      <w:tr>
        <w:tc>
          <w:tcPr/>
          <w:p>
            <w:pPr>
              <w:pStyle w:val="Compact"/>
              <w:jc w:val="left"/>
            </w:pPr>
            <w:r>
              <w:rPr>
                <w:bCs/>
                <w:b/>
              </w:rPr>
              <w:t xml:space="preserve">Production engineering</w:t>
            </w:r>
          </w:p>
        </w:tc>
        <w:tc>
          <w:tcPr/>
          <w:p>
            <w:pPr>
              <w:pStyle w:val="Compact"/>
              <w:jc w:val="center"/>
            </w:pPr>
            <w:r>
              <w:t xml:space="preserve">★☆☆</w:t>
            </w:r>
          </w:p>
        </w:tc>
        <w:tc>
          <w:tcPr/>
          <w:p>
            <w:pPr>
              <w:pStyle w:val="Compact"/>
              <w:jc w:val="center"/>
            </w:pPr>
            <w:r>
              <w:t xml:space="preserve">★★☆</w:t>
            </w:r>
            <w:r>
              <w:t xml:space="preserve"> </w:t>
            </w:r>
            <w:fldSimple w:instr="NOTEREF _Ref_Footnote_12 \h \f">
              <w:r>
                <w:rPr>
                  <w:vertAlign w:val="superscript"/>
                </w:rPr>
                <w:t>12</w:t>
              </w:r>
            </w:fldSimple>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Cs/>
          <w:i/>
        </w:rPr>
        <w:t xml:space="preserve">Rating: ★★★ = highly suitable (production-ready or pilot-ready); ★★☆ = viable with limitations; ★☆☆ = poorly suited or research-stage.</w:t>
      </w:r>
    </w:p>
    <w:p>
      <w:pPr>
        <w:pStyle w:val="BodyText"/>
      </w:pPr>
      <w:r>
        <w:t xml:space="preserve">The matrix reveals a stark maturity gradient. Game asset generation and rapid prototyping are production-ready because failure costs are low and quality bars are achievable: the MCP-Blender ecosystem counts 7+ independent implementations with official Blender Foundation endorsement</w:t>
      </w:r>
      <w:r>
        <w:t xml:space="preserve"> </w:t>
      </w:r>
      <w:r>
        <w:rPr>
          <w:vertAlign w:val="superscript"/>
        </w:rPr>
        <w:footnoteReference w:id="17"/>
      </w:r>
      <w:r>
        <w:t xml:space="preserve">, while OpenSCAD’s three-server MCP ecosystem delivers 96.5% syntax correctness from Qwen2.5-7B out-of-the-box</w:t>
      </w:r>
      <w:r>
        <w:t xml:space="preserve"> </w:t>
      </w:r>
      <w:fldSimple w:instr="NOTEREF _Ref_Footnote_15 \h \f">
        <w:r>
          <w:rPr>
            <w:vertAlign w:val="superscript"/>
          </w:rPr>
          <w:t>15</w:t>
        </w:r>
      </w:fldSimple>
      <w:r>
        <w:t xml:space="preserve">. Architecture sits at pilot-ready: FutureCAD’s BRepGround (ICML 2026) pairs a fine-tuned Qwen2.5-7B with geometric primitive grounding</w:t>
      </w:r>
      <w:r>
        <w:t xml:space="preserve"> </w:t>
      </w:r>
      <w:fldSimple w:instr="NOTEREF _Ref_Footnote_5 \h \f">
        <w:r>
          <w:rPr>
            <w:vertAlign w:val="superscript"/>
          </w:rPr>
          <w:t>5</w:t>
        </w:r>
      </w:fldSimple>
      <w:r>
        <w:t xml:space="preserve">, but BIM parametricity loss on STEP import remains unresolved. Production engineering is rated research-stage for all five approaches because no current system achieves acceptable scores on physics validation (FEABench: 0% end-to-end solve rate</w:t>
      </w:r>
      <w:r>
        <w:t xml:space="preserve"> </w:t>
      </w:r>
      <w:r>
        <w:rPr>
          <w:vertAlign w:val="superscript"/>
        </w:rPr>
        <w:footnoteReference w:id="18"/>
      </w:r>
      <w:r>
        <w:t xml:space="preserve">), manufacturability (MUSE: 35/100</w:t>
      </w:r>
      <w:r>
        <w:t xml:space="preserve"> </w:t>
      </w:r>
      <w:fldSimple w:instr="NOTEREF _Ref_Footnote_12 \h \f">
        <w:r>
          <w:rPr>
            <w:vertAlign w:val="superscript"/>
          </w:rPr>
          <w:t>12</w:t>
        </w:r>
      </w:fldSimple>
      <w:r>
        <w:t xml:space="preserve">), or structural viability (MIT: ~26% of AI-modified models remain sound without integrated FEA</w:t>
      </w:r>
      <w:r>
        <w:t xml:space="preserve"> </w:t>
      </w:r>
      <w:r>
        <w:rPr>
          <w:vertAlign w:val="superscript"/>
        </w:rPr>
        <w:footnoteReference w:id="19"/>
      </w:r>
      <w:r>
        <w:t xml:space="preserve">).</w:t>
      </w:r>
    </w:p>
    <w:bookmarkEnd w:id="21"/>
    <w:bookmarkStart w:id="22" w:name="Xc34159702d8e4e65427ab7c8f7732e1eafd422a"/>
    <w:p>
      <w:pPr>
        <w:pStyle w:val="Heading3"/>
      </w:pPr>
      <w:r>
        <w:t xml:space="preserve">ES.3 Critical Limitations and Hard Boundaries</w:t>
      </w:r>
    </w:p>
    <w:p>
      <w:pPr>
        <w:pStyle w:val="FirstParagraph"/>
      </w:pPr>
      <w:r>
        <w:t xml:space="preserve">Five capabilities remain beyond the reach of LLM agents as of mid-2026.</w:t>
      </w:r>
      <w:r>
        <w:t xml:space="preserve"> </w:t>
      </w:r>
      <w:r>
        <w:rPr>
          <w:bCs/>
          <w:b/>
        </w:rPr>
        <w:t xml:space="preserve">Creative topology decisions</w:t>
      </w:r>
      <w:r>
        <w:t xml:space="preserve">: no system generates rig-ready, quad-dominant topology for character animation without 20-45 minutes of manual cleanup per model</w:t>
      </w:r>
      <w:r>
        <w:t xml:space="preserve"> </w:t>
      </w:r>
      <w:r>
        <w:rPr>
          <w:vertAlign w:val="superscript"/>
        </w:rPr>
        <w:footnoteReference w:id="20"/>
      </w:r>
      <w:r>
        <w:t xml:space="preserve">.</w:t>
      </w:r>
      <w:r>
        <w:t xml:space="preserve"> </w:t>
      </w:r>
      <w:r>
        <w:rPr>
          <w:bCs/>
          <w:b/>
        </w:rPr>
        <w:t xml:space="preserve">Physics-validated engineering</w:t>
      </w:r>
      <w:r>
        <w:t xml:space="preserve">: FEABench confirms no LLM completely solved any finite element analysis problem, and the MUSE functionality ceiling of 42/100</w:t>
      </w:r>
      <w:r>
        <w:t xml:space="preserve"> </w:t>
      </w:r>
      <w:fldSimple w:instr="NOTEREF _Ref_Footnote_12 \h \f">
        <w:r>
          <w:rPr>
            <w:vertAlign w:val="superscript"/>
          </w:rPr>
          <w:t>12</w:t>
        </w:r>
      </w:fldSimple>
      <w:r>
        <w:t xml:space="preserve">reflects fundamental constraint-awareness gaps.</w:t>
      </w:r>
      <w:r>
        <w:t xml:space="preserve"> </w:t>
      </w:r>
      <w:r>
        <w:rPr>
          <w:bCs/>
          <w:b/>
        </w:rPr>
        <w:t xml:space="preserve">Assembly-level generation</w:t>
      </w:r>
      <w:r>
        <w:t xml:space="preserve">: the 28/100 assemblability score</w:t>
      </w:r>
      <w:r>
        <w:t xml:space="preserve"> </w:t>
      </w:r>
      <w:fldSimple w:instr="NOTEREF _Ref_Footnote_12 \h \f">
        <w:r>
          <w:rPr>
            <w:vertAlign w:val="superscript"/>
          </w:rPr>
          <w:t>12</w:t>
        </w:r>
      </w:fldSimple>
      <w:r>
        <w:t xml:space="preserve">demonstrates that multi-part systems with mate constraints, clearance fits, and interference detection remain unsolved.</w:t>
      </w:r>
      <w:r>
        <w:t xml:space="preserve"> </w:t>
      </w:r>
      <w:r>
        <w:rPr>
          <w:bCs/>
          <w:b/>
        </w:rPr>
        <w:t xml:space="preserve">Cross-granularity reasoning</w:t>
      </w:r>
      <w:r>
        <w:t xml:space="preserve">: LLMs reason at the token level, CAD systems at the feature level, manufacturing at the tolerance level, and physics at the continuous field level—no architecture bridges all four, and training data annotated with GD&amp;T, FEA results, or assembly relationships is effectively absent</w:t>
      </w:r>
      <w:r>
        <w:t xml:space="preserve"> </w:t>
      </w:r>
      <w:r>
        <w:rPr>
          <w:vertAlign w:val="superscript"/>
        </w:rPr>
        <w:footnoteReference w:id="21"/>
      </w:r>
      <w:r>
        <w:t xml:space="preserve">.</w:t>
      </w:r>
      <w:r>
        <w:t xml:space="preserve"> </w:t>
      </w:r>
      <w:r>
        <w:rPr>
          <w:bCs/>
          <w:b/>
        </w:rPr>
        <w:t xml:space="preserve">Professional liability coverage</w:t>
      </w:r>
      <w:r>
        <w:t xml:space="preserve">: the National Society of Professional Engineers prohibits AI from replacing engineering judgment</w:t>
      </w:r>
      <w:r>
        <w:t xml:space="preserve"> </w:t>
      </w:r>
      <w:r>
        <w:rPr>
          <w:vertAlign w:val="superscript"/>
        </w:rPr>
        <w:footnoteReference w:id="22"/>
      </w:r>
      <w:r>
        <w:t xml:space="preserve">; 69% of AEC professionals report that regulatory uncertainty affects implementation plans</w:t>
      </w:r>
      <w:r>
        <w:t xml:space="preserve"> </w:t>
      </w:r>
      <w:r>
        <w:rPr>
          <w:vertAlign w:val="superscript"/>
        </w:rPr>
        <w:footnoteReference w:id="23"/>
      </w:r>
      <w:r>
        <w:t xml:space="preserve">; and the UK-US adoption gap (59% vs. 6%)</w:t>
      </w:r>
      <w:r>
        <w:t xml:space="preserve"> </w:t>
      </w:r>
      <w:fldSimple w:instr="NOTEREF _Ref_Footnote_15 \h \f">
        <w:r>
          <w:rPr>
            <w:vertAlign w:val="superscript"/>
          </w:rPr>
          <w:t>15</w:t>
        </w:r>
      </w:fldSimple>
      <w:r>
        <w:t xml:space="preserve"> </w:t>
      </w:r>
      <w:fldSimple w:instr="NOTEREF _Ref_Footnote_23 \h \f">
        <w:r>
          <w:rPr>
            <w:vertAlign w:val="superscript"/>
          </w:rPr>
          <w:t>23</w:t>
        </w:r>
      </w:fldSimple>
      <w:r>
        <w:t xml:space="preserve">demonstrates that legal and cultural barriers outweigh technical capability as adoption determinants.</w:t>
      </w:r>
    </w:p>
    <w:bookmarkEnd w:id="22"/>
    <w:bookmarkStart w:id="23" w:name="es.4-reading-guide"/>
    <w:p>
      <w:pPr>
        <w:pStyle w:val="Heading3"/>
      </w:pPr>
      <w:r>
        <w:t xml:space="preserve">ES.4 Reading Guide</w:t>
      </w:r>
    </w:p>
    <w:p>
      <w:pPr>
        <w:pStyle w:val="FirstParagraph"/>
      </w:pPr>
      <w:r>
        <w:rPr>
          <w:bCs/>
          <w:b/>
        </w:rPr>
        <w:t xml:space="preserve">Technical architects</w:t>
      </w:r>
      <w:r>
        <w:t xml:space="preserve"> </w:t>
      </w:r>
      <w:r>
        <w:t xml:space="preserve">should focus on Chapters 2 (representations), 4 (multi-agent architectures), 5 (MCP protocol), and 9 (comparative framework). These chapters provide the decision matrix for selecting representation, model size (7B for efficiency, 14B for quality), and agent architecture based on downstream constraints.</w:t>
      </w:r>
    </w:p>
    <w:p>
      <w:pPr>
        <w:pStyle w:val="BodyText"/>
      </w:pPr>
      <w:r>
        <w:rPr>
          <w:bCs/>
          <w:b/>
        </w:rPr>
        <w:t xml:space="preserve">3D pipeline engineers</w:t>
      </w:r>
      <w:r>
        <w:t xml:space="preserve"> </w:t>
      </w:r>
      <w:r>
        <w:t xml:space="preserve">will find actionable guidance in Chapters 3 (foundation models and fine-tuning), 6 (benchmarks and commercial tools), and 8 (industry adoption). The chapter on commercial tools provides independent accuracy ratings, pricing, and workflow-fit assessments for seven production platforms.</w:t>
      </w:r>
    </w:p>
    <w:p>
      <w:pPr>
        <w:pStyle w:val="BodyText"/>
      </w:pPr>
      <w:r>
        <w:rPr>
          <w:bCs/>
          <w:b/>
        </w:rPr>
        <w:t xml:space="preserve">AI researchers</w:t>
      </w:r>
      <w:r>
        <w:t xml:space="preserve"> </w:t>
      </w:r>
      <w:r>
        <w:t xml:space="preserve">should prioritize Chapters 2 (representation tradeoffs), 4 (visual feedback mechanisms), 7 (physics-aware generation), and 10 (future directions). The eight unsolved problems identified in Chapter 10—headed by physics-integrated generation loops and cross-granularity reasoning—define the highest-impact research frontiers.</w:t>
      </w:r>
    </w:p>
    <w:p>
      <w:pPr>
        <w:pStyle w:val="BodyText"/>
      </w:pPr>
      <w:r>
        <w:rPr>
          <w:bCs/>
          <w:b/>
        </w:rPr>
        <w:t xml:space="preserve">Indie developers and studio leads</w:t>
      </w:r>
      <w:r>
        <w:t xml:space="preserve"> </w:t>
      </w:r>
      <w:r>
        <w:t xml:space="preserve">should begin with Chapters 3 (Qwen2.5 fine-tuning recipes, ~$20 on cloud GPUs), 5 (MCP setup guides for Blender, OpenSCAD, and FreeCAD), and 9 (use-case-specific stack recommendations). The MCP-Blender + Qwen2.5-7B stack with visual feedback is production-ready for game asset workflows and requires minimal infrastructure investment.</w:t>
      </w:r>
    </w:p>
    <w:p>
      <w:pPr>
        <w:pStyle w:val="BodyText"/>
      </w:pPr>
      <w:r>
        <w:t xml:space="preserve">The trajectory ahead projects MCP standardization through 2026-2027, physics-aware production tools by 2027-2028, multi-representation maturity by 2028-2029, and professional engineering adoption by 2029-2031—contingent on closing the constraint-awareness gaps documented throughout this report. Current autonomy levels range from L1 (tool-assisted) to L2 (partial automation) with occasional L3 (conditional autonomy) in narrow domains; L4 (full engineering autonomy) remains beyond the horizon.</w:t>
      </w:r>
    </w:p>
    <w:p>
      <w:r>
        <w:pict>
          <v:rect style="width:0;height:1.5pt" o:hralign="center" o:hrstd="t" o:hr="t"/>
        </w:pict>
      </w:r>
    </w:p>
    <w:bookmarkEnd w:id="23"/>
    <w:bookmarkEnd w:id="24"/>
    <w:bookmarkStart w:id="34" w:name="Xd9c18e4423c4c0dbc795748d8fc8bb0fe96a1f8"/>
    <w:p>
      <w:pPr>
        <w:pStyle w:val="Heading2"/>
      </w:pPr>
      <w:r>
        <w:t xml:space="preserve">1. Introduction: The Convergence of LLMs and 3D Geometry</w:t>
      </w:r>
    </w:p>
    <w:p>
      <w:pPr>
        <w:pStyle w:val="FirstParagraph"/>
      </w:pPr>
      <w:r>
        <w:t xml:space="preserve">The emergence of large language models (LLMs) capable of generating executable code has opened a new frontier in 3D modeling: the programmatic synthesis of geometry through natural language instructions. Unlike diffusion-based text-to-3D systems that generate static meshes through neural rendering, a new class of code-generating agents writes Python scripts for Blender’s</w:t>
      </w:r>
      <w:r>
        <w:t xml:space="preserve"> </w:t>
      </w:r>
      <w:r>
        <w:rPr>
          <w:rStyle w:val="VerbatimChar"/>
        </w:rPr>
        <w:t xml:space="preserve">bpy</w:t>
      </w:r>
      <w:r>
        <w:t xml:space="preserve"> </w:t>
      </w:r>
      <w:r>
        <w:t xml:space="preserve">module, CadQuery B-Rep specifications, OpenSCAD CSG programs, and Signed Distance Field (SDF) functions—producing structured, editable, and deterministic geometry. This report provides a comprehensive analysis of that field as it stands in mid-2026, examining 720+ sources across 12 research dimensions and 87 cross-verified claims, tracing the tension between commercial momentum and technical capability that defines the current landscape.</w:t>
      </w:r>
    </w:p>
    <w:p>
      <w:pPr>
        <w:pStyle w:val="BodyText"/>
      </w:pPr>
      <w:r>
        <w:t xml:space="preserve">The central finding is that the market has bifurcated into two segments with little overlap:</w:t>
      </w:r>
      <w:r>
        <w:t xml:space="preserve"> </w:t>
      </w:r>
      <w:r>
        <w:t xml:space="preserve">“</w:t>
      </w:r>
      <w:r>
        <w:t xml:space="preserve">visualization AI 3D,</w:t>
      </w:r>
      <w:r>
        <w:t xml:space="preserve">”</w:t>
      </w:r>
      <w:r>
        <w:t xml:space="preserve"> </w:t>
      </w:r>
      <w:r>
        <w:t xml:space="preserve">where text-to-mesh generation is commercially mature and generating hundreds of millions in revenue, and</w:t>
      </w:r>
      <w:r>
        <w:t xml:space="preserve"> </w:t>
      </w:r>
      <w:r>
        <w:t xml:space="preserve">“</w:t>
      </w:r>
      <w:r>
        <w:t xml:space="preserve">engineering AI 3D,</w:t>
      </w:r>
      <w:r>
        <w:t xml:space="preserve">”</w:t>
      </w:r>
      <w:r>
        <w:t xml:space="preserve"> </w:t>
      </w:r>
      <w:r>
        <w:t xml:space="preserve">where even the best fine-tuned models fail to produce manufacturable parts. This divergence is a structural property of the problem space, rooted in representation incompatibilities, granularity mismatches between token-level reasoning and tolerance-critical geometry, and the absence of physics awareness in current generation pipelines. Understanding which segment a tool or research project addresses—and which constraints it ignores—is essential for any technical architect, pipeline engineer, or AI researcher evaluating this space.</w:t>
      </w:r>
    </w:p>
    <w:bookmarkStart w:id="28" w:name="why-this-report-why-now"/>
    <w:p>
      <w:pPr>
        <w:pStyle w:val="Heading3"/>
      </w:pPr>
      <w:r>
        <w:t xml:space="preserve">1.1 Why This Report, Why Now</w:t>
      </w:r>
    </w:p>
    <w:bookmarkStart w:id="25" w:name="Xa8bee942652d64afe909eed106a283561f7b02b"/>
    <w:p>
      <w:pPr>
        <w:pStyle w:val="Heading4"/>
      </w:pPr>
      <w:r>
        <w:t xml:space="preserve">1.1.1 Market Convergence and the Definitional Trap</w:t>
      </w:r>
    </w:p>
    <w:p>
      <w:pPr>
        <w:pStyle w:val="FirstParagraph"/>
      </w:pPr>
      <w:r>
        <w:t xml:space="preserve">The AI-driven 3D modeling market is projected to grow from approximately $2.3 billion in 2023 to $12.6 billion by 2033 at an 18.5% compound annual growth rate</w:t>
      </w:r>
      <w:r>
        <w:t xml:space="preserve"> </w:t>
      </w:r>
      <w:fldSimple w:instr="NOTEREF _Ref_Footnote_1 \h \f">
        <w:r>
          <w:rPr>
            <w:vertAlign w:val="superscript"/>
          </w:rPr>
          <w:t>1</w:t>
        </w:r>
      </w:fldSimple>
      <w:r>
        <w:t xml:space="preserve">. Beneath this headline lies a definitional trap: the term</w:t>
      </w:r>
      <w:r>
        <w:t xml:space="preserve"> </w:t>
      </w:r>
      <w:r>
        <w:t xml:space="preserve">“</w:t>
      </w:r>
      <w:r>
        <w:t xml:space="preserve">AI 3D</w:t>
      </w:r>
      <w:r>
        <w:t xml:space="preserve">”</w:t>
      </w:r>
      <w:r>
        <w:t xml:space="preserve"> </w:t>
      </w:r>
      <w:r>
        <w:t xml:space="preserve">encompasses text-to-mesh generators for game assets, diffusion-based NeRF reconstruction, AI-assisted photogrammetry, parametric CAD automation via LLM agents, and neural topology optimization—each with distinct technical requirements and commercial trajectories. The result is a 13.6x spread in 2026 baseline estimates across market research firms.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2026 Estimate</w:t>
            </w:r>
          </w:p>
        </w:tc>
        <w:tc>
          <w:tcPr/>
          <w:p>
            <w:pPr>
              <w:pStyle w:val="Compact"/>
              <w:jc w:val="left"/>
            </w:pPr>
            <w:r>
              <w:t xml:space="preserve">2033–2034 Estimate</w:t>
            </w:r>
          </w:p>
        </w:tc>
        <w:tc>
          <w:tcPr/>
          <w:p>
            <w:pPr>
              <w:pStyle w:val="Compact"/>
              <w:jc w:val="left"/>
            </w:pPr>
            <w:r>
              <w:t xml:space="preserve">CAGR</w:t>
            </w:r>
          </w:p>
        </w:tc>
        <w:tc>
          <w:tcPr/>
          <w:p>
            <w:pPr>
              <w:pStyle w:val="Compact"/>
              <w:jc w:val="left"/>
            </w:pPr>
            <w:r>
              <w:t xml:space="preserve">Market Definition</w:t>
            </w:r>
          </w:p>
        </w:tc>
        <w:tc>
          <w:tcPr/>
          <w:p>
            <w:pPr>
              <w:pStyle w:val="Compact"/>
              <w:jc w:val="left"/>
            </w:pPr>
            <w:r>
              <w:t xml:space="preserve">Confidence</w:t>
            </w:r>
          </w:p>
        </w:tc>
      </w:tr>
      <w:tr>
        <w:tc>
          <w:tcPr/>
          <w:p>
            <w:pPr>
              <w:pStyle w:val="Compact"/>
              <w:jc w:val="left"/>
            </w:pPr>
            <w:r>
              <w:t xml:space="preserve">Coherent Market Insights</w:t>
            </w:r>
          </w:p>
        </w:tc>
        <w:tc>
          <w:tcPr/>
          <w:p>
            <w:pPr>
              <w:pStyle w:val="Compact"/>
              <w:jc w:val="left"/>
            </w:pPr>
            <w:r>
              <w:t xml:space="preserve">$5.46B</w:t>
            </w:r>
            <w:r>
              <w:t xml:space="preserve"> </w:t>
            </w:r>
            <w:fldSimple w:instr="NOTEREF _Ref_Footnote_1 \h \f">
              <w:r>
                <w:rPr>
                  <w:vertAlign w:val="superscript"/>
                </w:rPr>
                <w:t>1</w:t>
              </w:r>
            </w:fldSimple>
          </w:p>
        </w:tc>
        <w:tc>
          <w:tcPr/>
          <w:p>
            <w:pPr>
              <w:pStyle w:val="Compact"/>
              <w:jc w:val="left"/>
            </w:pPr>
            <w:r>
              <w:t xml:space="preserve">$16.10B</w:t>
            </w:r>
          </w:p>
        </w:tc>
        <w:tc>
          <w:tcPr/>
          <w:p>
            <w:pPr>
              <w:pStyle w:val="Compact"/>
              <w:jc w:val="left"/>
            </w:pPr>
            <w:r>
              <w:t xml:space="preserve">16.7%</w:t>
            </w:r>
          </w:p>
        </w:tc>
        <w:tc>
          <w:tcPr/>
          <w:p>
            <w:pPr>
              <w:pStyle w:val="Compact"/>
              <w:jc w:val="left"/>
            </w:pPr>
            <w:r>
              <w:t xml:space="preserve">Broad AI-assisted design (includes diffusion, photogrammetry)</w:t>
            </w:r>
          </w:p>
        </w:tc>
        <w:tc>
          <w:tcPr/>
          <w:p>
            <w:pPr>
              <w:pStyle w:val="Compact"/>
              <w:jc w:val="left"/>
            </w:pPr>
            <w:r>
              <w:t xml:space="preserve">Medium</w:t>
            </w:r>
          </w:p>
        </w:tc>
      </w:tr>
      <w:tr>
        <w:tc>
          <w:tcPr/>
          <w:p>
            <w:pPr>
              <w:pStyle w:val="Compact"/>
              <w:jc w:val="left"/>
            </w:pPr>
            <w:r>
              <w:t xml:space="preserve">Mordor Intelligence</w:t>
            </w:r>
          </w:p>
        </w:tc>
        <w:tc>
          <w:tcPr/>
          <w:p>
            <w:pPr>
              <w:pStyle w:val="Compact"/>
              <w:jc w:val="left"/>
            </w:pPr>
            <w:r>
              <w:t xml:space="preserve">$5.01B</w:t>
            </w:r>
            <w:r>
              <w:t xml:space="preserve"> </w:t>
            </w:r>
            <w:fldSimple w:instr="NOTEREF _Ref_Footnote_1 \h \f">
              <w:r>
                <w:rPr>
                  <w:vertAlign w:val="superscript"/>
                </w:rPr>
                <w:t>1</w:t>
              </w:r>
            </w:fldSimple>
          </w:p>
        </w:tc>
        <w:tc>
          <w:tcPr/>
          <w:p>
            <w:pPr>
              <w:pStyle w:val="Compact"/>
              <w:jc w:val="left"/>
            </w:pPr>
            <w:r>
              <w:t xml:space="preserve">$9.77B</w:t>
            </w:r>
          </w:p>
        </w:tc>
        <w:tc>
          <w:tcPr/>
          <w:p>
            <w:pPr>
              <w:pStyle w:val="Compact"/>
              <w:jc w:val="left"/>
            </w:pPr>
            <w:r>
              <w:t xml:space="preserve">14.3%</w:t>
            </w:r>
          </w:p>
        </w:tc>
        <w:tc>
          <w:tcPr/>
          <w:p>
            <w:pPr>
              <w:pStyle w:val="Compact"/>
              <w:jc w:val="left"/>
            </w:pPr>
            <w:r>
              <w:t xml:space="preserve">Generative design + topology optimization</w:t>
            </w:r>
          </w:p>
        </w:tc>
        <w:tc>
          <w:tcPr/>
          <w:p>
            <w:pPr>
              <w:pStyle w:val="Compact"/>
              <w:jc w:val="left"/>
            </w:pPr>
            <w:r>
              <w:t xml:space="preserve">Medium</w:t>
            </w:r>
          </w:p>
        </w:tc>
      </w:tr>
      <w:tr>
        <w:tc>
          <w:tcPr/>
          <w:p>
            <w:pPr>
              <w:pStyle w:val="Compact"/>
              <w:jc w:val="left"/>
            </w:pPr>
            <w:r>
              <w:t xml:space="preserve">Straits Research</w:t>
            </w:r>
          </w:p>
        </w:tc>
        <w:tc>
          <w:tcPr/>
          <w:p>
            <w:pPr>
              <w:pStyle w:val="Compact"/>
              <w:jc w:val="left"/>
            </w:pPr>
            <w:r>
              <w:t xml:space="preserve">$4.86B</w:t>
            </w:r>
            <w:r>
              <w:t xml:space="preserve"> </w:t>
            </w:r>
            <w:fldSimple w:instr="NOTEREF _Ref_Footnote_1 \h \f">
              <w:r>
                <w:rPr>
                  <w:vertAlign w:val="superscript"/>
                </w:rPr>
                <w:t>1</w:t>
              </w:r>
            </w:fldSimple>
          </w:p>
        </w:tc>
        <w:tc>
          <w:tcPr/>
          <w:p>
            <w:pPr>
              <w:pStyle w:val="Compact"/>
              <w:jc w:val="left"/>
            </w:pPr>
            <w:r>
              <w:t xml:space="preserve">$13.53B</w:t>
            </w:r>
          </w:p>
        </w:tc>
        <w:tc>
          <w:tcPr/>
          <w:p>
            <w:pPr>
              <w:pStyle w:val="Compact"/>
              <w:jc w:val="left"/>
            </w:pPr>
            <w:r>
              <w:t xml:space="preserve">13.6%</w:t>
            </w:r>
          </w:p>
        </w:tc>
        <w:tc>
          <w:tcPr/>
          <w:p>
            <w:pPr>
              <w:pStyle w:val="Compact"/>
              <w:jc w:val="left"/>
            </w:pPr>
            <w:r>
              <w:t xml:space="preserve">AI-in-CAD, including simulation</w:t>
            </w:r>
          </w:p>
        </w:tc>
        <w:tc>
          <w:tcPr/>
          <w:p>
            <w:pPr>
              <w:pStyle w:val="Compact"/>
              <w:jc w:val="left"/>
            </w:pPr>
            <w:r>
              <w:t xml:space="preserve">Medium</w:t>
            </w:r>
          </w:p>
        </w:tc>
      </w:tr>
      <w:tr>
        <w:tc>
          <w:tcPr/>
          <w:p>
            <w:pPr>
              <w:pStyle w:val="Compact"/>
              <w:jc w:val="left"/>
            </w:pPr>
            <w:r>
              <w:t xml:space="preserve">market.us</w:t>
            </w:r>
          </w:p>
        </w:tc>
        <w:tc>
          <w:tcPr/>
          <w:p>
            <w:pPr>
              <w:pStyle w:val="Compact"/>
              <w:jc w:val="left"/>
            </w:pPr>
            <w:r>
              <w:t xml:space="preserve">$2.3B (2023)</w:t>
            </w:r>
            <w:r>
              <w:t xml:space="preserve"> </w:t>
            </w:r>
            <w:fldSimple w:instr="NOTEREF _Ref_Footnote_1 \h \f">
              <w:r>
                <w:rPr>
                  <w:vertAlign w:val="superscript"/>
                </w:rPr>
                <w:t>1</w:t>
              </w:r>
            </w:fldSimple>
          </w:p>
        </w:tc>
        <w:tc>
          <w:tcPr/>
          <w:p>
            <w:pPr>
              <w:pStyle w:val="Compact"/>
              <w:jc w:val="left"/>
            </w:pPr>
            <w:r>
              <w:t xml:space="preserve">$12.6B (2033)</w:t>
            </w:r>
          </w:p>
        </w:tc>
        <w:tc>
          <w:tcPr/>
          <w:p>
            <w:pPr>
              <w:pStyle w:val="Compact"/>
              <w:jc w:val="left"/>
            </w:pPr>
            <w:r>
              <w:t xml:space="preserve">18.5%</w:t>
            </w:r>
          </w:p>
        </w:tc>
        <w:tc>
          <w:tcPr/>
          <w:p>
            <w:pPr>
              <w:pStyle w:val="Compact"/>
              <w:jc w:val="left"/>
            </w:pPr>
            <w:r>
              <w:t xml:space="preserve">AI-in-CAD, text-to-CAD inclusive</w:t>
            </w:r>
          </w:p>
        </w:tc>
        <w:tc>
          <w:tcPr/>
          <w:p>
            <w:pPr>
              <w:pStyle w:val="Compact"/>
              <w:jc w:val="left"/>
            </w:pPr>
            <w:r>
              <w:t xml:space="preserve">Medium</w:t>
            </w:r>
          </w:p>
        </w:tc>
      </w:tr>
      <w:tr>
        <w:tc>
          <w:tcPr/>
          <w:p>
            <w:pPr>
              <w:pStyle w:val="Compact"/>
              <w:jc w:val="left"/>
            </w:pPr>
            <w:r>
              <w:t xml:space="preserve">Fortune Business Insights</w:t>
            </w:r>
          </w:p>
        </w:tc>
        <w:tc>
          <w:tcPr/>
          <w:p>
            <w:pPr>
              <w:pStyle w:val="Compact"/>
              <w:jc w:val="left"/>
            </w:pPr>
            <w:r>
              <w:t xml:space="preserve">$445M</w:t>
            </w:r>
            <w:r>
              <w:t xml:space="preserve"> </w:t>
            </w:r>
            <w:fldSimple w:instr="NOTEREF _Ref_Footnote_1 \h \f">
              <w:r>
                <w:rPr>
                  <w:vertAlign w:val="superscript"/>
                </w:rPr>
                <w:t>1</w:t>
              </w:r>
            </w:fldSimple>
          </w:p>
        </w:tc>
        <w:tc>
          <w:tcPr/>
          <w:p>
            <w:pPr>
              <w:pStyle w:val="Compact"/>
              <w:jc w:val="left"/>
            </w:pPr>
            <w:r>
              <w:t xml:space="preserve">$1.93B</w:t>
            </w:r>
          </w:p>
        </w:tc>
        <w:tc>
          <w:tcPr/>
          <w:p>
            <w:pPr>
              <w:pStyle w:val="Compact"/>
              <w:jc w:val="left"/>
            </w:pPr>
            <w:r>
              <w:t xml:space="preserve">20.1%</w:t>
            </w:r>
          </w:p>
        </w:tc>
        <w:tc>
          <w:tcPr/>
          <w:p>
            <w:pPr>
              <w:pStyle w:val="Compact"/>
              <w:jc w:val="left"/>
            </w:pPr>
            <w:r>
              <w:t xml:space="preserve">Narrow: topology optimization only</w:t>
            </w:r>
          </w:p>
        </w:tc>
        <w:tc>
          <w:tcPr/>
          <w:p>
            <w:pPr>
              <w:pStyle w:val="Compact"/>
              <w:jc w:val="left"/>
            </w:pPr>
            <w:r>
              <w:t xml:space="preserve">Low</w:t>
            </w:r>
          </w:p>
        </w:tc>
      </w:tr>
      <w:tr>
        <w:tc>
          <w:tcPr/>
          <w:p>
            <w:pPr>
              <w:pStyle w:val="Compact"/>
              <w:jc w:val="left"/>
            </w:pPr>
            <w:r>
              <w:t xml:space="preserve">Fact.MR</w:t>
            </w:r>
          </w:p>
        </w:tc>
        <w:tc>
          <w:tcPr/>
          <w:p>
            <w:pPr>
              <w:pStyle w:val="Compact"/>
              <w:jc w:val="left"/>
            </w:pPr>
            <w:r>
              <w:t xml:space="preserve">$400M</w:t>
            </w:r>
            <w:r>
              <w:t xml:space="preserve"> </w:t>
            </w:r>
            <w:fldSimple w:instr="NOTEREF _Ref_Footnote_1 \h \f">
              <w:r>
                <w:rPr>
                  <w:vertAlign w:val="superscript"/>
                </w:rPr>
                <w:t>1</w:t>
              </w:r>
            </w:fldSimple>
          </w:p>
        </w:tc>
        <w:tc>
          <w:tcPr/>
          <w:p>
            <w:pPr>
              <w:pStyle w:val="Compact"/>
              <w:jc w:val="left"/>
            </w:pPr>
            <w:r>
              <w:t xml:space="preserve">$2.9B</w:t>
            </w:r>
          </w:p>
        </w:tc>
        <w:tc>
          <w:tcPr/>
          <w:p>
            <w:pPr>
              <w:pStyle w:val="Compact"/>
              <w:jc w:val="left"/>
            </w:pPr>
            <w:r>
              <w:t xml:space="preserve">20.0%</w:t>
            </w:r>
          </w:p>
        </w:tc>
        <w:tc>
          <w:tcPr/>
          <w:p>
            <w:pPr>
              <w:pStyle w:val="Compact"/>
              <w:jc w:val="left"/>
            </w:pPr>
            <w:r>
              <w:t xml:space="preserve">Narrow: generative design software</w:t>
            </w:r>
          </w:p>
        </w:tc>
        <w:tc>
          <w:tcPr/>
          <w:p>
            <w:pPr>
              <w:pStyle w:val="Compact"/>
              <w:jc w:val="left"/>
            </w:pPr>
            <w:r>
              <w:t xml:space="preserve">Low</w:t>
            </w:r>
          </w:p>
        </w:tc>
      </w:tr>
      <w:tr>
        <w:tc>
          <w:tcPr/>
          <w:p>
            <w:pPr>
              <w:pStyle w:val="Compact"/>
              <w:jc w:val="left"/>
            </w:pPr>
            <w:r>
              <w:rPr>
                <w:bCs/>
                <w:b/>
              </w:rPr>
              <w:t xml:space="preserve">Range</w:t>
            </w:r>
          </w:p>
        </w:tc>
        <w:tc>
          <w:tcPr/>
          <w:p>
            <w:pPr>
              <w:pStyle w:val="Compact"/>
              <w:jc w:val="left"/>
            </w:pPr>
            <w:r>
              <w:rPr>
                <w:bCs/>
                <w:b/>
              </w:rPr>
              <w:t xml:space="preserve">$400M–$5.46B</w:t>
            </w:r>
          </w:p>
        </w:tc>
        <w:tc>
          <w:tcPr/>
          <w:p>
            <w:pPr>
              <w:pStyle w:val="Compact"/>
              <w:jc w:val="left"/>
            </w:pPr>
            <w:r>
              <w:rPr>
                <w:bCs/>
                <w:b/>
              </w:rPr>
              <w:t xml:space="preserve">$1.93B–$16.10B</w:t>
            </w:r>
          </w:p>
        </w:tc>
        <w:tc>
          <w:tcPr/>
          <w:p>
            <w:pPr>
              <w:pStyle w:val="Compact"/>
              <w:jc w:val="left"/>
            </w:pPr>
            <w:r>
              <w:rPr>
                <w:bCs/>
                <w:b/>
              </w:rPr>
              <w:t xml:space="preserve">13.6%–20.1%</w:t>
            </w:r>
          </w:p>
        </w:tc>
        <w:tc>
          <w:tcPr/>
          <w:p>
            <w:pPr>
              <w:pStyle w:val="Compact"/>
              <w:jc w:val="left"/>
            </w:pPr>
            <w:r>
              <w:t xml:space="preserve">—</w:t>
            </w:r>
          </w:p>
        </w:tc>
        <w:tc>
          <w:tcPr/>
          <w:p>
            <w:pPr>
              <w:pStyle w:val="Compact"/>
              <w:jc w:val="left"/>
            </w:pPr>
            <w:r>
              <w:t xml:space="preserve">—</w:t>
            </w:r>
          </w:p>
        </w:tc>
      </w:tr>
    </w:tbl>
    <w:p>
      <w:pPr>
        <w:pStyle w:val="BodyText"/>
      </w:pPr>
      <w:r>
        <w:t xml:space="preserve">The variation is not statistical noise; it reflects fundamental ambiguity in market segmentation. Coherent, Mordor, and Straits include diffusion-based text-to-3D tools such as Tripo AI and Meshy—products that generate game-ready meshes but cannot produce parametric STEP files or satisfy manufacturing constraints. Fortune and Fact.MR restrict their scope to topology optimization and generative design, capturing only the narrow engineering-CAD slice. The market.us figure, which this report treats as the most relevant reference for programmatic text-to-CAD, still conflates visualization and engineering applications. This report disaggregates the two markets and provides analysis specific to the programmatic, code-generating LLM-agent segment that the broader figures obscure.</w:t>
      </w:r>
    </w:p>
    <w:bookmarkEnd w:id="25"/>
    <w:bookmarkStart w:id="26" w:name="three-inflection-points-in-2026"/>
    <w:p>
      <w:pPr>
        <w:pStyle w:val="Heading4"/>
      </w:pPr>
      <w:r>
        <w:t xml:space="preserve">1.1.2 Three Inflection Points in 2026</w:t>
      </w:r>
    </w:p>
    <w:p>
      <w:pPr>
        <w:pStyle w:val="FirstParagraph"/>
      </w:pPr>
      <w:r>
        <w:t xml:space="preserve">Three developments in the first half of 2026 have made this the decisive moment for analysis. First,</w:t>
      </w:r>
      <w:r>
        <w:t xml:space="preserve"> </w:t>
      </w:r>
      <w:r>
        <w:rPr>
          <w:bCs/>
          <w:b/>
        </w:rPr>
        <w:t xml:space="preserve">MCP standardization</w:t>
      </w:r>
      <w:r>
        <w:t xml:space="preserve"> </w:t>
      </w:r>
      <w:r>
        <w:t xml:space="preserve">reached a tipping point in April 2026 when Anthropic joined the Blender Development Fund as a Corporate Patron at EUR 240,000+ per year, and the Blender Foundation officially endorsed MCP as the integration protocol for AI agents</w:t>
      </w:r>
      <w:r>
        <w:t xml:space="preserve"> </w:t>
      </w:r>
      <w:fldSimple w:instr="NOTEREF _Ref_Footnote_8 \h \f">
        <w:r>
          <w:rPr>
            <w:vertAlign w:val="superscript"/>
          </w:rPr>
          <w:t>8</w:t>
        </w:r>
      </w:fldSimple>
      <w:r>
        <w:t xml:space="preserve"> </w:t>
      </w:r>
      <w:r>
        <w:rPr>
          <w:vertAlign w:val="superscript"/>
        </w:rPr>
        <w:footnoteReference w:id="24"/>
      </w:r>
      <w:r>
        <w:t xml:space="preserve">. The Model Context Protocol (MCP), introduced by Anthropic in November 2024, has become the de facto standard for AI-to-CAD tool integration—described by researchers as the</w:t>
      </w:r>
      <w:r>
        <w:t xml:space="preserve"> </w:t>
      </w:r>
      <w:r>
        <w:t xml:space="preserve">“</w:t>
      </w:r>
      <w:r>
        <w:t xml:space="preserve">USB-C for AI applications</w:t>
      </w:r>
      <w:r>
        <w:t xml:space="preserve">”</w:t>
      </w:r>
      <w:r>
        <w:t xml:space="preserve"> </w:t>
      </w:r>
      <w:r>
        <w:rPr>
          <w:vertAlign w:val="superscript"/>
        </w:rPr>
        <w:footnoteReference w:id="25"/>
      </w:r>
      <w:r>
        <w:t xml:space="preserve">—spanning OpenSCAD, FreeCAD, and Blender with 7+ independent implementations</w:t>
      </w:r>
      <w:r>
        <w:t xml:space="preserve"> </w:t>
      </w:r>
      <w:fldSimple w:instr="NOTEREF _Ref_Footnote_8 \h \f">
        <w:r>
          <w:rPr>
            <w:vertAlign w:val="superscript"/>
          </w:rPr>
          <w:t>8</w:t>
        </w:r>
      </w:fldSimple>
      <w:r>
        <w:t xml:space="preserve">. This enables LLM agents to discover 3D tools at runtime, execute code, and receive structured feedback—capabilities that were ad hoc and tool-specific as recently as 2024.</w:t>
      </w:r>
    </w:p>
    <w:p>
      <w:pPr>
        <w:pStyle w:val="BodyText"/>
      </w:pPr>
      <w:r>
        <w:t xml:space="preserve">Second,</w:t>
      </w:r>
      <w:r>
        <w:t xml:space="preserve"> </w:t>
      </w:r>
      <w:r>
        <w:rPr>
          <w:bCs/>
          <w:b/>
        </w:rPr>
        <w:t xml:space="preserve">visual feedback loop architectures</w:t>
      </w:r>
      <w:r>
        <w:t xml:space="preserve"> </w:t>
      </w:r>
      <w:r>
        <w:t xml:space="preserve">matured from experimental research to standard practice. The CADSmith multi-agent system demonstrated a 38x reduction in Chamfer Distance through</w:t>
      </w:r>
      <w:r>
        <w:t xml:space="preserve"> </w:t>
      </w:r>
      <w:r>
        <w:t xml:space="preserve">“</w:t>
      </w:r>
      <w:r>
        <w:t xml:space="preserve">VLM-as-Judge</w:t>
      </w:r>
      <w:r>
        <w:t xml:space="preserve">”</w:t>
      </w:r>
      <w:r>
        <w:t xml:space="preserve"> </w:t>
      </w:r>
      <w:r>
        <w:t xml:space="preserve">critique loops</w:t>
      </w:r>
      <w:r>
        <w:t xml:space="preserve"> </w:t>
      </w:r>
      <w:fldSimple w:instr="NOTEREF _Ref_Footnote_10 \h \f">
        <w:r>
          <w:rPr>
            <w:vertAlign w:val="superscript"/>
          </w:rPr>
          <w:t>10</w:t>
        </w:r>
      </w:fldSimple>
      <w:r>
        <w:t xml:space="preserve">. The PAC Framework achieved 93% success on simple tasks by routing rendered geometry through vision-language model evaluators</w:t>
      </w:r>
      <w:r>
        <w:t xml:space="preserve"> </w:t>
      </w:r>
      <w:fldSimple w:instr="NOTEREF _Ref_Footnote_10 \h \f">
        <w:r>
          <w:rPr>
            <w:vertAlign w:val="superscript"/>
          </w:rPr>
          <w:t>10</w:t>
        </w:r>
      </w:fldSimple>
      <w:r>
        <w:t xml:space="preserve">. SceneCraft improved CLIP scores by 45.1% over single-pass generation via iterative render-critique cycles</w:t>
      </w:r>
      <w:r>
        <w:t xml:space="preserve"> </w:t>
      </w:r>
      <w:r>
        <w:rPr>
          <w:vertAlign w:val="superscript"/>
        </w:rPr>
        <w:footnoteReference w:id="26"/>
      </w:r>
      <w:r>
        <w:t xml:space="preserve">. The consensus across these independent projects is that spatial reasoning requires spatial perception: text-only feedback is structurally insufficient for geometric tasks, and every successful system converged on a</w:t>
      </w:r>
      <w:r>
        <w:t xml:space="preserve"> </w:t>
      </w:r>
      <w:r>
        <w:t xml:space="preserve">“</w:t>
      </w:r>
      <w:r>
        <w:t xml:space="preserve">generate → render → critique → refine</w:t>
      </w:r>
      <w:r>
        <w:t xml:space="preserve">”</w:t>
      </w:r>
      <w:r>
        <w:t xml:space="preserve"> </w:t>
      </w:r>
      <w:r>
        <w:t xml:space="preserve">architectural pattern.</w:t>
      </w:r>
    </w:p>
    <w:p>
      <w:pPr>
        <w:pStyle w:val="BodyText"/>
      </w:pPr>
      <w:r>
        <w:t xml:space="preserve">Third,</w:t>
      </w:r>
      <w:r>
        <w:t xml:space="preserve"> </w:t>
      </w:r>
      <w:r>
        <w:rPr>
          <w:bCs/>
          <w:b/>
        </w:rPr>
        <w:t xml:space="preserve">Qwen2.5 emerged as the undisputed foundation model</w:t>
      </w:r>
      <w:r>
        <w:t xml:space="preserve"> </w:t>
      </w:r>
      <w:r>
        <w:t xml:space="preserve">for CAD generation across 8+ independent research projects on three continents. CADmium at Mila (Canada), FutureCAD at Fudan, CAD-Coder at MIT, ReCAD at Fudan, ToolCAD, CAD-RL, NURBGen, and BlenderLLM all fine-tune variants of Alibaba’s Qwen2.5 model family rather than proprietary frontier models</w:t>
      </w:r>
      <w:r>
        <w:t xml:space="preserve"> </w:t>
      </w:r>
      <w:r>
        <w:rPr>
          <w:vertAlign w:val="superscript"/>
        </w:rPr>
        <w:footnoteReference w:id="27"/>
      </w:r>
      <w:r>
        <w:t xml:space="preserve"> </w:t>
      </w:r>
      <w:fldSimple w:instr="NOTEREF _Ref_Footnote_11 \h \f">
        <w:r>
          <w:rPr>
            <w:vertAlign w:val="superscript"/>
          </w:rPr>
          <w:t>11</w:t>
        </w:r>
      </w:fldSimple>
      <w:r>
        <w:t xml:space="preserve">. The reasons are specific: 5.5 trillion code tokens in pretraining, a 128K-token context window, and an Apache 2.0 license that permits commercial fine-tuning without restriction clauses</w:t>
      </w:r>
      <w:r>
        <w:t xml:space="preserve"> </w:t>
      </w:r>
      <w:fldSimple w:instr="NOTEREF _Ref_Footnote_11 \h \f">
        <w:r>
          <w:rPr>
            <w:vertAlign w:val="superscript"/>
          </w:rPr>
          <w:t>11</w:t>
        </w:r>
      </w:fldSimple>
      <w:r>
        <w:t xml:space="preserve">. This convergence has geopolitical implications: the base models driving CAD innovation are overwhelmingly Chinese, while the CAD software being automated is overwhelmingly Western (Autodesk, Dassault Systemes, Siemens, PTC).</w:t>
      </w:r>
    </w:p>
    <w:bookmarkEnd w:id="26"/>
    <w:bookmarkStart w:id="27" w:name="X48c4dab8b2234f7591a41d12aa7df8852d9ca2c"/>
    <w:p>
      <w:pPr>
        <w:pStyle w:val="Heading4"/>
      </w:pPr>
      <w:r>
        <w:t xml:space="preserve">1.1.3 The Hype-Reality Gap: Case Study — Tripo AI vs. the MUSE Benchmark</w:t>
      </w:r>
    </w:p>
    <w:p>
      <w:pPr>
        <w:pStyle w:val="FirstParagraph"/>
      </w:pPr>
      <w:r>
        <w:t xml:space="preserve">The divergence between commercial valuation and technical capability is the defining structural feature of the 2026 landscape. Tripo AI, a Chinese text-to-3D startup, reached unicorn status in June 2026 with a valuation of approximately $1.5 billion and nearly 20 million users</w:t>
      </w:r>
      <w:r>
        <w:t xml:space="preserve"> </w:t>
      </w:r>
      <w:fldSimple w:instr="NOTEREF _Ref_Footnote_1 \h \f">
        <w:r>
          <w:rPr>
            <w:vertAlign w:val="superscript"/>
          </w:rPr>
          <w:t>1</w:t>
        </w:r>
      </w:fldSimple>
      <w:r>
        <w:t xml:space="preserve"> </w:t>
      </w:r>
      <w:fldSimple w:instr="NOTEREF _Ref_Footnote_10 \h \f">
        <w:r>
          <w:rPr>
            <w:vertAlign w:val="superscript"/>
          </w:rPr>
          <w:t>10</w:t>
        </w:r>
      </w:fldSimple>
      <w:r>
        <w:t xml:space="preserve">. Meshy AI, its closest competitor, exceeded $40 million in annual recurring revenue with 14x revenue growth in 2025</w:t>
      </w:r>
      <w:r>
        <w:t xml:space="preserve"> </w:t>
      </w:r>
      <w:fldSimple w:instr="NOTEREF _Ref_Footnote_11 \h \f">
        <w:r>
          <w:rPr>
            <w:vertAlign w:val="superscript"/>
          </w:rPr>
          <w:t>11</w:t>
        </w:r>
      </w:fldSimple>
      <w:r>
        <w:t xml:space="preserve">. These valuations are driven by demand from game development and animation—workflows where visual appearance is the primary quality metric and the cost of failure is a re-generated asset.</w:t>
      </w:r>
    </w:p>
    <w:p>
      <w:pPr>
        <w:pStyle w:val="BodyText"/>
      </w:pPr>
      <w:r>
        <w:t xml:space="preserve">Against this commercial backdrop, the MUSE benchmark from Hong Kong Polytechnic University provides a sobering technical counterpoint. MUSE evaluates text-to-CAD systems across five cascading dimensions, revealing what its authors term a</w:t>
      </w:r>
      <w:r>
        <w:t xml:space="preserve"> </w:t>
      </w:r>
      <w:r>
        <w:t xml:space="preserve">“</w:t>
      </w:r>
      <w:r>
        <w:t xml:space="preserve">failure cascade in practical CAD generation</w:t>
      </w:r>
      <w:r>
        <w:t xml:space="preserve">”</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68% of generated programs are syntactically executable; of those, only 54% produce geometrically valid solids; of those, only 42% align with design intent; of those, only 35% satisfy basic manufacturability constraints; and only 28% are assemblable into multi-part systems</w:t>
      </w:r>
      <w:r>
        <w:t xml:space="preserve"> </w:t>
      </w:r>
      <w:fldSimple w:instr="NOTEREF _Ref_Footnote_12 \h \f">
        <w:r>
          <w:rPr>
            <w:vertAlign w:val="superscript"/>
          </w:rPr>
          <w:t>12</w:t>
        </w:r>
      </w:fldSimple>
      <w:r>
        <w:t xml:space="preserve">. Even the best closed-source model achieved only 42 out of 100 on functionality scoring—far below the threshold for engineering production</w:t>
      </w:r>
      <w:r>
        <w:t xml:space="preserve"> </w:t>
      </w:r>
      <w:fldSimple w:instr="NOTEREF _Ref_Footnote_13 \h \f">
        <w:r>
          <w:rPr>
            <w:vertAlign w:val="superscript"/>
          </w:rPr>
          <w:t>13</w:t>
        </w:r>
      </w:fldSimple>
      <w:r>
        <w:t xml:space="preserve">.</w:t>
      </w:r>
    </w:p>
    <w:p>
      <w:pPr>
        <w:pStyle w:val="BodyText"/>
      </w:pPr>
      <w:r>
        <w:t xml:space="preserve">This divergence between Tripo AI’s $1.5B valuation and MUSE’s 28% assemblability ceiling is not a contradiction but a market segmentation signal. Tripo AI generates game-ready meshes where</w:t>
      </w:r>
      <w:r>
        <w:t xml:space="preserve"> </w:t>
      </w:r>
      <w:r>
        <w:t xml:space="preserve">“</w:t>
      </w:r>
      <w:r>
        <w:t xml:space="preserve">good enough</w:t>
      </w:r>
      <w:r>
        <w:t xml:space="preserve">”</w:t>
      </w:r>
      <w:r>
        <w:t xml:space="preserve"> </w:t>
      </w:r>
      <w:r>
        <w:t xml:space="preserve">visual quality suffices. MUSE evaluates parametric CAD models that must satisfy manufacturing constraints, assembly clearances, and design intent. The two metrics measure entirely different things, yet both are reported under the umbrella of</w:t>
      </w:r>
      <w:r>
        <w:t xml:space="preserve"> </w:t>
      </w:r>
      <w:r>
        <w:t xml:space="preserve">“</w:t>
      </w:r>
      <w:r>
        <w:t xml:space="preserve">AI 3D.</w:t>
      </w:r>
      <w:r>
        <w:t xml:space="preserve">”</w:t>
      </w:r>
      <w:r>
        <w:t xml:space="preserve"> </w:t>
      </w:r>
      <w:r>
        <w:t xml:space="preserve">This report treats this distinction as foundational. The thesis advanced across the following chapters is that</w:t>
      </w:r>
      <w:r>
        <w:t xml:space="preserve"> </w:t>
      </w:r>
      <w:r>
        <w:t xml:space="preserve">“</w:t>
      </w:r>
      <w:r>
        <w:t xml:space="preserve">visualization AI 3D</w:t>
      </w:r>
      <w:r>
        <w:t xml:space="preserve">”</w:t>
      </w:r>
      <w:r>
        <w:t xml:space="preserve"> </w:t>
      </w:r>
      <w:r>
        <w:t xml:space="preserve">and</w:t>
      </w:r>
      <w:r>
        <w:t xml:space="preserve"> </w:t>
      </w:r>
      <w:r>
        <w:t xml:space="preserve">“</w:t>
      </w:r>
      <w:r>
        <w:t xml:space="preserve">engineering AI 3D</w:t>
      </w:r>
      <w:r>
        <w:t xml:space="preserve">”</w:t>
      </w:r>
      <w:r>
        <w:t xml:space="preserve"> </w:t>
      </w:r>
      <w:r>
        <w:t xml:space="preserve">are separate markets with separate technical requirements, investment theses, and timelines to maturity. Conflating them produces the 13.6x variation in market size estimates, misleads enterprise buyers, and obscures the specific research gaps that must be closed for engineering-valid text-to-CAD to become a reality.</w:t>
      </w:r>
    </w:p>
    <w:bookmarkEnd w:id="27"/>
    <w:bookmarkEnd w:id="28"/>
    <w:bookmarkStart w:id="31" w:name="scope-and-methodology"/>
    <w:p>
      <w:pPr>
        <w:pStyle w:val="Heading3"/>
      </w:pPr>
      <w:r>
        <w:t xml:space="preserve">1.2 Scope and Methodology</w:t>
      </w:r>
    </w:p>
    <w:bookmarkStart w:id="29" w:name="programmatic-only-boundary"/>
    <w:p>
      <w:pPr>
        <w:pStyle w:val="Heading4"/>
      </w:pPr>
      <w:r>
        <w:t xml:space="preserve">1.2.1 Programmatic-Only Boundary</w:t>
      </w:r>
    </w:p>
    <w:p>
      <w:pPr>
        <w:pStyle w:val="FirstParagraph"/>
      </w:pPr>
      <w:r>
        <w:t xml:space="preserve">This report focuses exclusively on</w:t>
      </w:r>
      <w:r>
        <w:t xml:space="preserve"> </w:t>
      </w:r>
      <w:r>
        <w:rPr>
          <w:bCs/>
          <w:b/>
        </w:rPr>
        <w:t xml:space="preserve">code-generating LLM agents for 3D modeling</w:t>
      </w:r>
      <w:r>
        <w:t xml:space="preserve">: systems where a language model produces executable code that a geometry kernel or 3D software package executes to produce deterministic output. The five primary representation families are: Constructive Solid Geometry (CSG) via OpenSCAD; Boundary Representation (B-Rep) via CadQuery and STEP export; Signed Distance Fields (SDFs) via Python libraries and neural implicit methods; voxel grids via structured API manipulation; and polygon mesh generation via Blender Python (</w:t>
      </w:r>
      <w:r>
        <w:rPr>
          <w:rStyle w:val="VerbatimChar"/>
        </w:rPr>
        <w:t xml:space="preserve">bpy</w:t>
      </w:r>
      <w:r>
        <w:t xml:space="preserve">) scripting and autoregressive mesh transformers.</w:t>
      </w:r>
    </w:p>
    <w:p>
      <w:pPr>
        <w:pStyle w:val="BodyText"/>
      </w:pPr>
      <w:r>
        <w:t xml:space="preserve">This scope</w:t>
      </w:r>
      <w:r>
        <w:t xml:space="preserve"> </w:t>
      </w:r>
      <w:r>
        <w:rPr>
          <w:bCs/>
          <w:b/>
        </w:rPr>
        <w:t xml:space="preserve">excludes</w:t>
      </w:r>
      <w:r>
        <w:t xml:space="preserve"> </w:t>
      </w:r>
      <w:r>
        <w:t xml:space="preserve">pure diffusion text-to-3D systems (Point-E, Shap-E, DreamFusion); manual 3D workflows with AI-assisted tooling; photogrammetry and NeRF reconstruction; and AI texture generation independent of geometry. Code-generating agents represent a distinct paradigm with distinct capabilities: determinism, editability, and verifiability—properties essential for engineering workflows and largely absent from diffusion-based approaches.</w:t>
      </w:r>
    </w:p>
    <w:bookmarkEnd w:id="29"/>
    <w:bookmarkStart w:id="30" w:name="source-quality-framework"/>
    <w:p>
      <w:pPr>
        <w:pStyle w:val="Heading4"/>
      </w:pPr>
      <w:r>
        <w:t xml:space="preserve">1.2.2 Source Quality Framework</w:t>
      </w:r>
    </w:p>
    <w:p>
      <w:pPr>
        <w:pStyle w:val="FirstParagraph"/>
      </w:pPr>
      <w:r>
        <w:t xml:space="preserve">The evidence base spans 720+ sources across 12 research dimensions, with 87 claims subjected to cross-dimensional verification. Every factual claim carries a source annotation; every quantitative table cell includes its citation index.</w:t>
      </w:r>
    </w:p>
    <w:tbl>
      <w:tblPr>
        <w:tblStyle w:val="Table"/>
        <w:tblW w:type="pct" w:w="5000"/>
        <w:tblLook w:firstRow="1" w:lastRow="0" w:firstColumn="0" w:lastColumn="0" w:noHBand="0" w:noVBand="0" w:val="0020"/>
      </w:tblPr>
      <w:tblGrid>
        <w:gridCol w:w="1508"/>
        <w:gridCol w:w="1885"/>
        <w:gridCol w:w="1508"/>
        <w:gridCol w:w="1508"/>
        <w:gridCol w:w="1508"/>
      </w:tblGrid>
      <w:tr>
        <w:trPr>
          <w:tblHeader w:val="true"/>
        </w:trPr>
        <w:tc>
          <w:tcPr/>
          <w:p>
            <w:pPr>
              <w:pStyle w:val="Compact"/>
              <w:jc w:val="left"/>
            </w:pPr>
            <w:r>
              <w:t xml:space="preserve">Source Category</w:t>
            </w:r>
          </w:p>
        </w:tc>
        <w:tc>
          <w:tcPr/>
          <w:p>
            <w:pPr>
              <w:pStyle w:val="Compact"/>
              <w:jc w:val="center"/>
            </w:pPr>
            <w:r>
              <w:t xml:space="preserve">Approx. Share</w:t>
            </w:r>
          </w:p>
        </w:tc>
        <w:tc>
          <w:tcPr/>
          <w:p>
            <w:pPr>
              <w:pStyle w:val="Compact"/>
              <w:jc w:val="left"/>
            </w:pPr>
            <w:r>
              <w:t xml:space="preserve">Examples</w:t>
            </w:r>
          </w:p>
        </w:tc>
        <w:tc>
          <w:tcPr/>
          <w:p>
            <w:pPr>
              <w:pStyle w:val="Compact"/>
              <w:jc w:val="left"/>
            </w:pPr>
            <w:r>
              <w:t xml:space="preserve">Confidence Tier</w:t>
            </w:r>
          </w:p>
        </w:tc>
        <w:tc>
          <w:tcPr/>
          <w:p>
            <w:pPr>
              <w:pStyle w:val="Compact"/>
              <w:jc w:val="left"/>
            </w:pPr>
            <w:r>
              <w:t xml:space="preserve">Annotation Convention</w:t>
            </w:r>
          </w:p>
        </w:tc>
      </w:tr>
      <w:tr>
        <w:tc>
          <w:tcPr/>
          <w:p>
            <w:pPr>
              <w:pStyle w:val="Compact"/>
              <w:jc w:val="left"/>
            </w:pPr>
            <w:r>
              <w:t xml:space="preserve">Peer-reviewed journals and conferences</w:t>
            </w:r>
          </w:p>
        </w:tc>
        <w:tc>
          <w:tcPr/>
          <w:p>
            <w:pPr>
              <w:pStyle w:val="Compact"/>
              <w:jc w:val="center"/>
            </w:pPr>
            <w:r>
              <w:t xml:space="preserve">~35%</w:t>
            </w:r>
          </w:p>
        </w:tc>
        <w:tc>
          <w:tcPr/>
          <w:p>
            <w:pPr>
              <w:pStyle w:val="Compact"/>
              <w:jc w:val="left"/>
            </w:pPr>
            <w:r>
              <w:t xml:space="preserve">CVPR, ICCV, NeurIPS, ICML, AAAI, SIGGRAPH, TMLR</w:t>
            </w:r>
          </w:p>
        </w:tc>
        <w:tc>
          <w:tcPr/>
          <w:p>
            <w:pPr>
              <w:pStyle w:val="Compact"/>
              <w:jc w:val="left"/>
            </w:pPr>
            <w:r>
              <w:t xml:space="preserve">High to Medium</w:t>
            </w:r>
          </w:p>
        </w:tc>
        <w:tc>
          <w:tcPr/>
          <w:p>
            <w:pPr>
              <w:pStyle w:val="Compact"/>
              <w:jc w:val="left"/>
            </w:pPr>
            <w:r>
              <w:t xml:space="preserve">Venue and year cited; replication status noted</w:t>
            </w:r>
          </w:p>
        </w:tc>
      </w:tr>
      <w:tr>
        <w:tc>
          <w:tcPr/>
          <w:p>
            <w:pPr>
              <w:pStyle w:val="Compact"/>
              <w:jc w:val="left"/>
            </w:pPr>
            <w:r>
              <w:t xml:space="preserve">arXiv preprints</w:t>
            </w:r>
          </w:p>
        </w:tc>
        <w:tc>
          <w:tcPr/>
          <w:p>
            <w:pPr>
              <w:pStyle w:val="Compact"/>
              <w:jc w:val="center"/>
            </w:pPr>
            <w:r>
              <w:t xml:space="preserve">~25%</w:t>
            </w:r>
          </w:p>
        </w:tc>
        <w:tc>
          <w:tcPr/>
          <w:p>
            <w:pPr>
              <w:pStyle w:val="Compact"/>
              <w:jc w:val="left"/>
            </w:pPr>
            <w:r>
              <w:t xml:space="preserve">FutureCAD (ICML 2026), ReCAD (AAAI 2026), CAD-Coder</w:t>
            </w:r>
          </w:p>
        </w:tc>
        <w:tc>
          <w:tcPr/>
          <w:p>
            <w:pPr>
              <w:pStyle w:val="Compact"/>
              <w:jc w:val="left"/>
            </w:pPr>
            <w:r>
              <w:t xml:space="preserve">Medium</w:t>
            </w:r>
          </w:p>
        </w:tc>
        <w:tc>
          <w:tcPr/>
          <w:p>
            <w:pPr>
              <w:pStyle w:val="Compact"/>
              <w:jc w:val="left"/>
            </w:pPr>
            <w:r>
              <w:t xml:space="preserve">Preprint version tracked; peer-review status flagged</w:t>
            </w:r>
          </w:p>
        </w:tc>
      </w:tr>
      <w:tr>
        <w:tc>
          <w:tcPr/>
          <w:p>
            <w:pPr>
              <w:pStyle w:val="Compact"/>
              <w:jc w:val="left"/>
            </w:pPr>
            <w:r>
              <w:t xml:space="preserve">Official documentation and technical specs</w:t>
            </w:r>
          </w:p>
        </w:tc>
        <w:tc>
          <w:tcPr/>
          <w:p>
            <w:pPr>
              <w:pStyle w:val="Compact"/>
              <w:jc w:val="center"/>
            </w:pPr>
            <w:r>
              <w:t xml:space="preserve">~15%</w:t>
            </w:r>
          </w:p>
        </w:tc>
        <w:tc>
          <w:tcPr/>
          <w:p>
            <w:pPr>
              <w:pStyle w:val="Compact"/>
              <w:jc w:val="left"/>
            </w:pPr>
            <w:r>
              <w:t xml:space="preserve">Blender API docs, Open CASCADE wiki, MCP specification</w:t>
            </w:r>
          </w:p>
        </w:tc>
        <w:tc>
          <w:tcPr/>
          <w:p>
            <w:pPr>
              <w:pStyle w:val="Compact"/>
              <w:jc w:val="left"/>
            </w:pPr>
            <w:r>
              <w:t xml:space="preserve">Medium to Low</w:t>
            </w:r>
          </w:p>
        </w:tc>
        <w:tc>
          <w:tcPr/>
          <w:p>
            <w:pPr>
              <w:pStyle w:val="Compact"/>
              <w:jc w:val="left"/>
            </w:pPr>
            <w:r>
              <w:t xml:space="preserve">Version number and access date recorded</w:t>
            </w:r>
          </w:p>
        </w:tc>
      </w:tr>
      <w:tr>
        <w:tc>
          <w:tcPr/>
          <w:p>
            <w:pPr>
              <w:pStyle w:val="Compact"/>
              <w:jc w:val="left"/>
            </w:pPr>
            <w:r>
              <w:t xml:space="preserve">Survey papers and benchmark reports</w:t>
            </w:r>
          </w:p>
        </w:tc>
        <w:tc>
          <w:tcPr/>
          <w:p>
            <w:pPr>
              <w:pStyle w:val="Compact"/>
              <w:jc w:val="center"/>
            </w:pPr>
            <w:r>
              <w:t xml:space="preserve">~8%</w:t>
            </w:r>
          </w:p>
        </w:tc>
        <w:tc>
          <w:tcPr/>
          <w:p>
            <w:pPr>
              <w:pStyle w:val="Compact"/>
              <w:jc w:val="left"/>
            </w:pPr>
            <w:r>
              <w:t xml:space="preserve">MUSE, Text2CAD-Bench, VoxelCode, FEABench</w:t>
            </w:r>
          </w:p>
        </w:tc>
        <w:tc>
          <w:tcPr/>
          <w:p>
            <w:pPr>
              <w:pStyle w:val="Compact"/>
              <w:jc w:val="left"/>
            </w:pPr>
            <w:r>
              <w:t xml:space="preserve">High</w:t>
            </w:r>
          </w:p>
        </w:tc>
        <w:tc>
          <w:tcPr/>
          <w:p>
            <w:pPr>
              <w:pStyle w:val="Compact"/>
              <w:jc w:val="left"/>
            </w:pPr>
            <w:r>
              <w:t xml:space="preserve">Methodology and sample size cited</w:t>
            </w:r>
          </w:p>
        </w:tc>
      </w:tr>
      <w:tr>
        <w:tc>
          <w:tcPr/>
          <w:p>
            <w:pPr>
              <w:pStyle w:val="Compact"/>
              <w:jc w:val="left"/>
            </w:pPr>
            <w:r>
              <w:t xml:space="preserve">Open-source repositories (GitHub)</w:t>
            </w:r>
          </w:p>
        </w:tc>
        <w:tc>
          <w:tcPr/>
          <w:p>
            <w:pPr>
              <w:pStyle w:val="Compact"/>
              <w:jc w:val="center"/>
            </w:pPr>
            <w:r>
              <w:t xml:space="preserve">~8%</w:t>
            </w:r>
          </w:p>
        </w:tc>
        <w:tc>
          <w:tcPr/>
          <w:p>
            <w:pPr>
              <w:pStyle w:val="Compact"/>
              <w:jc w:val="left"/>
            </w:pPr>
            <w:r>
              <w:t xml:space="preserve">CADmium, CAD-Coder, blender-mcp, ahujasid/blender-mcp</w:t>
            </w:r>
          </w:p>
        </w:tc>
        <w:tc>
          <w:tcPr/>
          <w:p>
            <w:pPr>
              <w:pStyle w:val="Compact"/>
              <w:jc w:val="left"/>
            </w:pPr>
            <w:r>
              <w:t xml:space="preserve">Medium</w:t>
            </w:r>
          </w:p>
        </w:tc>
        <w:tc>
          <w:tcPr/>
          <w:p>
            <w:pPr>
              <w:pStyle w:val="Compact"/>
              <w:jc w:val="left"/>
            </w:pPr>
            <w:r>
              <w:t xml:space="preserve">Star count and commit date recorded</w:t>
            </w:r>
          </w:p>
        </w:tc>
      </w:tr>
      <w:tr>
        <w:tc>
          <w:tcPr/>
          <w:p>
            <w:pPr>
              <w:pStyle w:val="Compact"/>
              <w:jc w:val="left"/>
            </w:pPr>
            <w:r>
              <w:t xml:space="preserve">Market research reports</w:t>
            </w:r>
          </w:p>
        </w:tc>
        <w:tc>
          <w:tcPr/>
          <w:p>
            <w:pPr>
              <w:pStyle w:val="Compact"/>
              <w:jc w:val="center"/>
            </w:pPr>
            <w:r>
              <w:t xml:space="preserve">~5%</w:t>
            </w:r>
          </w:p>
        </w:tc>
        <w:tc>
          <w:tcPr/>
          <w:p>
            <w:pPr>
              <w:pStyle w:val="Compact"/>
              <w:jc w:val="left"/>
            </w:pPr>
            <w:r>
              <w:t xml:space="preserve">market.us, Coherent, Mordor, Fortune, Fact.MR, Straits</w:t>
            </w:r>
          </w:p>
        </w:tc>
        <w:tc>
          <w:tcPr/>
          <w:p>
            <w:pPr>
              <w:pStyle w:val="Compact"/>
              <w:jc w:val="left"/>
            </w:pPr>
            <w:r>
              <w:t xml:space="preserve">Low to Medium</w:t>
            </w:r>
          </w:p>
        </w:tc>
        <w:tc>
          <w:tcPr/>
          <w:p>
            <w:pPr>
              <w:pStyle w:val="Compact"/>
              <w:jc w:val="left"/>
            </w:pPr>
            <w:r>
              <w:t xml:space="preserve">Definitional scope noted; ranges preferred</w:t>
            </w:r>
          </w:p>
        </w:tc>
      </w:tr>
      <w:tr>
        <w:tc>
          <w:tcPr/>
          <w:p>
            <w:pPr>
              <w:pStyle w:val="Compact"/>
              <w:jc w:val="left"/>
            </w:pPr>
            <w:r>
              <w:t xml:space="preserve">Technology media and investigative reporting</w:t>
            </w:r>
          </w:p>
        </w:tc>
        <w:tc>
          <w:tcPr/>
          <w:p>
            <w:pPr>
              <w:pStyle w:val="Compact"/>
              <w:jc w:val="center"/>
            </w:pPr>
            <w:r>
              <w:t xml:space="preserve">~3%</w:t>
            </w:r>
          </w:p>
        </w:tc>
        <w:tc>
          <w:tcPr/>
          <w:p>
            <w:pPr>
              <w:pStyle w:val="Compact"/>
              <w:jc w:val="left"/>
            </w:pPr>
            <w:r>
              <w:t xml:space="preserve">Forbes, TechCrunch, 36Kr, Xometry Pro tests</w:t>
            </w:r>
          </w:p>
        </w:tc>
        <w:tc>
          <w:tcPr/>
          <w:p>
            <w:pPr>
              <w:pStyle w:val="Compact"/>
              <w:jc w:val="left"/>
            </w:pPr>
            <w:r>
              <w:t xml:space="preserve">Medium</w:t>
            </w:r>
          </w:p>
        </w:tc>
        <w:tc>
          <w:tcPr/>
          <w:p>
            <w:pPr>
              <w:pStyle w:val="Compact"/>
              <w:jc w:val="left"/>
            </w:pPr>
            <w:r>
              <w:t xml:space="preserve">Independence from vendor assessed</w:t>
            </w:r>
          </w:p>
        </w:tc>
      </w:tr>
      <w:tr>
        <w:tc>
          <w:tcPr/>
          <w:p>
            <w:pPr>
              <w:pStyle w:val="Compact"/>
              <w:jc w:val="left"/>
            </w:pPr>
            <w:r>
              <w:t xml:space="preserve">Vendor claims and press releases</w:t>
            </w:r>
          </w:p>
        </w:tc>
        <w:tc>
          <w:tcPr/>
          <w:p>
            <w:pPr>
              <w:pStyle w:val="Compact"/>
              <w:jc w:val="center"/>
            </w:pPr>
            <w:r>
              <w:t xml:space="preserve">~1%</w:t>
            </w:r>
          </w:p>
        </w:tc>
        <w:tc>
          <w:tcPr/>
          <w:p>
            <w:pPr>
              <w:pStyle w:val="Compact"/>
              <w:jc w:val="left"/>
            </w:pPr>
            <w:r>
              <w:t xml:space="preserve">Meshy ARR, Tripo user counts, Neural Concept Series C</w:t>
            </w:r>
          </w:p>
        </w:tc>
        <w:tc>
          <w:tcPr/>
          <w:p>
            <w:pPr>
              <w:pStyle w:val="Compact"/>
              <w:jc w:val="left"/>
            </w:pPr>
            <w:r>
              <w:t xml:space="preserve">Low</w:t>
            </w:r>
          </w:p>
        </w:tc>
        <w:tc>
          <w:tcPr/>
          <w:p>
            <w:pPr>
              <w:pStyle w:val="Compact"/>
              <w:jc w:val="left"/>
            </w:pPr>
            <w:r>
              <w:t xml:space="preserve">Flagged as self-reported; corroboration noted</w:t>
            </w:r>
          </w:p>
        </w:tc>
      </w:tr>
    </w:tbl>
    <w:p>
      <w:pPr>
        <w:pStyle w:val="BodyText"/>
      </w:pPr>
      <w:r>
        <w:t xml:space="preserve">The cross-verification process evaluated 87 claims. Of these, 36 (41%) achieved High Confidence through multi-dimensional confirmation, 23 (26%) rated Medium, 18 (21%) rated Low, and 10 (11%) were designated Conflict Zones where sources contradicted or diverged in interpretation. The Conflict Zone designation signals that the claim requires methodological context—for example, CAD-Coder’s 100% Valid Syntax Rate is accurate on its 100-sample test set but does not generalize to unseen operations</w:t>
      </w:r>
      <w:r>
        <w:t xml:space="preserve"> </w:t>
      </w:r>
      <w:r>
        <w:rPr>
          <w:vertAlign w:val="superscript"/>
        </w:rPr>
        <w:footnoteReference w:id="28"/>
      </w:r>
      <w:r>
        <w:t xml:space="preserve">, and architecture AI adoption rates of 6% (US) versus 59% (UK) reflect different survey methodologies rather than a true 10x divergence</w:t>
      </w:r>
      <w:r>
        <w:t xml:space="preserve"> </w:t>
      </w:r>
      <w:fldSimple w:instr="NOTEREF _Ref_Footnote_23 \h \f">
        <w:r>
          <w:rPr>
            <w:vertAlign w:val="superscript"/>
          </w:rPr>
          <w:t>23</w:t>
        </w:r>
      </w:fldSimple>
      <w:r>
        <w:t xml:space="preserve">.</w:t>
      </w:r>
    </w:p>
    <w:bookmarkEnd w:id="30"/>
    <w:bookmarkEnd w:id="31"/>
    <w:bookmarkStart w:id="33" w:name="Xe098d17ab677f37d05cc4d6df3ea5ec9a36a63c"/>
    <w:p>
      <w:pPr>
        <w:pStyle w:val="Heading3"/>
      </w:pPr>
      <w:r>
        <w:t xml:space="preserve">1.3 How This Report Extends Existing Research</w:t>
      </w:r>
    </w:p>
    <w:bookmarkStart w:id="32" w:name="X2e42da4f11de1e889969a0d9565471a766c512b"/>
    <w:p>
      <w:pPr>
        <w:pStyle w:val="Heading4"/>
      </w:pPr>
      <w:r>
        <w:t xml:space="preserve">1.3.1 From Preliminary Notes to Comprehensive Analysis</w:t>
      </w:r>
    </w:p>
    <w:p>
      <w:pPr>
        <w:pStyle w:val="FirstParagraph"/>
      </w:pPr>
      <w:r>
        <w:t xml:space="preserve">This report originated from a focused inquiry into deterministic, programmatic 3D art generation: the practical question of how an LLM agent could write Blender Python scripts, SDF functions, OpenSCAD programs, or voxel manipulation code to produce geometry with fine-grained control and guaranteed reproducibility. The foundational insight—that LLMs excel at structured code generation while struggling with visual mouse-and-keyboard workflows—drove the initial exploration of</w:t>
      </w:r>
      <w:r>
        <w:t xml:space="preserve"> </w:t>
      </w:r>
      <w:r>
        <w:rPr>
          <w:rStyle w:val="VerbatimChar"/>
        </w:rPr>
        <w:t xml:space="preserve">bpy</w:t>
      </w:r>
      <w:r>
        <w:t xml:space="preserve">, Taichi Lang, Trimesh, and Open3D as agent-accessible frameworks.</w:t>
      </w:r>
    </w:p>
    <w:p>
      <w:pPr>
        <w:pStyle w:val="BodyText"/>
      </w:pPr>
      <w:r>
        <w:t xml:space="preserve">That starting point has expanded into systematic analysis across 12 research dimensions: CSG representation and constraint solving (Dimension 1), B-Rep generation and the Topological Naming Problem (Dimension 2), Blender integration and MCP protocol adoption (Dimension 3), multi-agent architectures with visual feedback (Dimension 4), SDF and neural implicit methods (Dimension 5), voxel-based spatial reasoning (Dimension 6), commercial landscape and market sizing (Dimension 7), academic models and training pipelines (Dimension 8), fine-tuning methodology (Dimension 9), vision-language integration (Dimension 10), industry adoption (Dimension 11), and physics-aware generation with FEA integration (Dimension 12). The 87 cross-verified claims yield a picture that no single prior publication captures: not the survey papers, which cover methods without commercial context; not the market reports, which aggregate revenue without technical discrimination; and not the individual research papers, which advance specific techniques without situating them against the broader constraint-satisfaction landscape.</w:t>
      </w:r>
    </w:p>
    <w:p>
      <w:pPr>
        <w:pStyle w:val="BodyText"/>
      </w:pPr>
      <w:r>
        <w:t xml:space="preserve">The report’s central analytical contribution is mapping the</w:t>
      </w:r>
      <w:r>
        <w:t xml:space="preserve"> </w:t>
      </w:r>
      <w:r>
        <w:rPr>
          <w:bCs/>
          <w:b/>
        </w:rPr>
        <w:t xml:space="preserve">failure cascade</w:t>
      </w:r>
      <w:r>
        <w:t xml:space="preserve">—first quantified by MUSE</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—onto the full pipeline from natural language prompt through parametric CAD generation to physics-validated engineering design. Each chapter addresses one stage: representation selection (Chapter 2), model architecture and fine-tuning (Chapter 3), visual feedback integration (Chapter 4), tool orchestration via MCP (Chapter 5), benchmark-based assessment (Chapter 6), physics awareness and FEA integration (Chapter 7), industry adoption (Chapter 8), commercial tools (Chapter 9), training data landscapes (Chapter 10), and future trajectories (Chapter 11). The thesis that emerges is that the failure cascade is not a solvable bug in any single component but a structural property of multi-stage AI systems operating on geometric data—one that demands co-optimization across representation, model, feedback, and physics integration rather than incremental improvement of any single stage.</w:t>
      </w:r>
    </w:p>
    <w:p>
      <w:r>
        <w:pict>
          <v:rect style="width:0;height:1.5pt" o:hralign="center" o:hrstd="t" o:hr="t"/>
        </w:pict>
      </w:r>
    </w:p>
    <w:bookmarkEnd w:id="32"/>
    <w:bookmarkEnd w:id="33"/>
    <w:bookmarkEnd w:id="34"/>
    <w:bookmarkStart w:id="47" w:name="Xda568b97019132e9c8c71257c303de3ecf2d118"/>
    <w:p>
      <w:pPr>
        <w:pStyle w:val="Heading2"/>
      </w:pPr>
      <w:r>
        <w:t xml:space="preserve">2. The Representation Hierarchy: How Geometry Encoding Determines Capability</w:t>
      </w:r>
    </w:p>
    <w:p>
      <w:pPr>
        <w:pStyle w:val="FirstParagraph"/>
      </w:pPr>
      <w:r>
        <w:t xml:space="preserve">The choice of geometric representation is the single most consequential architectural decision in AI-driven 3D modeling. Unlike text or image generation, where the output format is essentially fixed, 3D geometry admits multiple fundamentally incompatible encodings—each optimizing for distinct downstream operations. Constructive Solid Geometry (CSG) guarantees determinism but cannot express organic curvature. Boundary Representation (B-Rep) preserves parametric editability but confronts LLMs with combinatorial topological search spaces. Signed Distance Fields (SDFs) offer mathematically infinite detail yet require lossy extraction for manufacturing. Voxel grids align naturally with LLM spatial reasoning but scale cubically with resolution. Polygon meshes serve as the universal exchange format but impose a topology burden that LLMs struggle to generate directly.</w:t>
      </w:r>
    </w:p>
    <w:p>
      <w:pPr>
        <w:pStyle w:val="BodyText"/>
      </w:pPr>
      <w:r>
        <w:t xml:space="preserve">This chapter establishes a comparative framework for these five representations, quantifies the information loss inherent in inter-representation conversion, and derives a decision framework for matching representation to workflow.</w:t>
      </w:r>
    </w:p>
    <w:bookmarkStart w:id="40" w:name="X988398d8b34e2d54de3a9378acae314a7c2fc0c"/>
    <w:p>
      <w:pPr>
        <w:pStyle w:val="Heading3"/>
      </w:pPr>
      <w:r>
        <w:t xml:space="preserve">2.1 The Five Contenders: CSG, B-Rep, SDF, Voxel, Mesh</w:t>
      </w:r>
    </w:p>
    <w:bookmarkStart w:id="35" w:name="X04b3ca598d7ee635775e362c783b63918abf455"/>
    <w:p>
      <w:pPr>
        <w:pStyle w:val="Heading4"/>
      </w:pPr>
      <w:r>
        <w:t xml:space="preserve">2.1.1 CSG: Constructibility at the Cost of Organic Forms</w:t>
      </w:r>
    </w:p>
    <w:p>
      <w:pPr>
        <w:pStyle w:val="FirstParagraph"/>
      </w:pPr>
      <w:r>
        <w:t xml:space="preserve">Constructive Solid Geometry (CSG) defines 3D objects through Boolean operations—union, intersection, and difference—applied to parametric primitives (spheres, boxes, cylinders, cones). In OpenSCAD, these operations are expressed through a compact declarative domain-specific language (DSL) that is unusually amenable to LLM generation.</w:t>
      </w:r>
    </w:p>
    <w:p>
      <w:pPr>
        <w:pStyle w:val="BodyText"/>
      </w:pPr>
      <w:r>
        <w:t xml:space="preserve">The</w:t>
      </w:r>
      <w:r>
        <w:t xml:space="preserve"> </w:t>
      </w:r>
      <w:r>
        <w:t xml:space="preserve">“</w:t>
      </w:r>
      <w:r>
        <w:t xml:space="preserve">Don’t Mesh with Me</w:t>
      </w:r>
      <w:r>
        <w:t xml:space="preserve">”</w:t>
      </w:r>
      <w:r>
        <w:t xml:space="preserve"> </w:t>
      </w:r>
      <w:r>
        <w:t xml:space="preserve">project, which fine-tuned DeepSeek-Coder-1b for CSG geometry generation, demonstrated both the strengths and limits of this approach. The model achieved 96.5% correct syntax and 82% accuracy following text instructions for simple geometries—among the highest reported rates for any representation on basic shapes</w:t>
      </w:r>
      <w:r>
        <w:t xml:space="preserve"> </w:t>
      </w:r>
      <w:fldSimple w:instr="NOTEREF _Ref_Footnote_15 \h \f">
        <w:r>
          <w:rPr>
            <w:vertAlign w:val="superscript"/>
          </w:rPr>
          <w:t>15</w:t>
        </w:r>
      </w:fldSimple>
      <w:r>
        <w:t xml:space="preserve">. However, performance dropped dramatically to 19% accuracy for complex structures with seven or more primitive cells</w:t>
      </w:r>
      <w:r>
        <w:t xml:space="preserve"> </w:t>
      </w:r>
      <w:r>
        <w:rPr>
          <w:vertAlign w:val="superscript"/>
        </w:rPr>
        <w:footnoteReference w:id="29"/>
      </w:r>
      <w:r>
        <w:t xml:space="preserve">, revealing a granularity ceiling imposed by the primitive set’s expressiveness. CSG cannot represent smooth organic forms, splines, or free-form surfaces without approximating them through large numbers of small primitives—a strategy that quickly exhausts LLM context windows.</w:t>
      </w:r>
    </w:p>
    <w:p>
      <w:pPr>
        <w:pStyle w:val="BodyText"/>
      </w:pPr>
      <w:r>
        <w:t xml:space="preserve">Despite this limitation, CSG offers two advantages for specific workflows. First, it guarantees determinism: the same script always produces identical geometry, a property essential for version-controlled engineering pipelines. Second, its compact DSL minimizes token count—researchers noted that mechanical parts are mostly combinations of basic primitives representable by limited parameters rather than triangle mesh approximations</w:t>
      </w:r>
      <w:r>
        <w:t xml:space="preserve"> </w:t>
      </w:r>
      <w:fldSimple w:instr="NOTEREF _Ref_Footnote_15 \h \f">
        <w:r>
          <w:rPr>
            <w:vertAlign w:val="superscript"/>
          </w:rPr>
          <w:t>15</w:t>
        </w:r>
      </w:fldSimple>
      <w:r>
        <w:t xml:space="preserve">. For 3D printing where axis-aligned prismatic geometry predominates, CSG’s limitations are often irrelevant while its determinism is indispensable. Fine-tuned code-generation models have emerged as the strongest local option: Qwen2.5-Coder 14B and DeepSeek-Coder-V2 Lite 16B lead at consumer hardware tiers</w:t>
      </w:r>
      <w:r>
        <w:t xml:space="preserve"> </w:t>
      </w:r>
      <w:fldSimple w:instr="NOTEREF _Ref_Footnote_28 \h \f">
        <w:r>
          <w:rPr>
            <w:vertAlign w:val="superscript"/>
          </w:rPr>
          <w:t>28</w:t>
        </w:r>
      </w:fldSimple>
      <w:r>
        <w:t xml:space="preserve">, supported by an MCP server ecosystem (trikos529 for validation, jhacksman for generation, quellant for rendering)</w:t>
      </w:r>
      <w:r>
        <w:t xml:space="preserve"> </w:t>
      </w:r>
      <w:fldSimple w:instr="NOTEREF _Ref_Footnote_8 \h \f">
        <w:r>
          <w:rPr>
            <w:vertAlign w:val="superscript"/>
          </w:rPr>
          <w:t>8</w:t>
        </w:r>
      </w:fldSimple>
      <w:r>
        <w:t xml:space="preserve">.</w:t>
      </w:r>
    </w:p>
    <w:bookmarkEnd w:id="35"/>
    <w:bookmarkStart w:id="36" w:name="Xe14a8862beb4eed1a37a91c505b5580af0f1523"/>
    <w:p>
      <w:pPr>
        <w:pStyle w:val="Heading4"/>
      </w:pPr>
      <w:r>
        <w:t xml:space="preserve">2.1.2 B-Rep/STEP: The Editability Premium and the Topological Naming Problem</w:t>
      </w:r>
    </w:p>
    <w:p>
      <w:pPr>
        <w:pStyle w:val="FirstParagraph"/>
      </w:pPr>
      <w:r>
        <w:t xml:space="preserve">Boundary Representation (B-Rep), the encoding underlying all professional CAD systems, stores geometry as exact mathematical definitions—analytical surfaces, curves, and topological relationships. A cylinder in B-Rep is not a collection of triangles but a mathematically exact surface defined by axis, radius, and height</w:t>
      </w:r>
      <w:r>
        <w:t xml:space="preserve"> </w:t>
      </w:r>
      <w:fldSimple w:instr="NOTEREF _Ref_Footnote_2 \h \f">
        <w:r>
          <w:rPr>
            <w:vertAlign w:val="superscript"/>
          </w:rPr>
          <w:t>2</w:t>
        </w:r>
      </w:fldSimple>
      <w:r>
        <w:t xml:space="preserve">. This precision enables parametric editability: changing a dimension propagates through the feature tree, regenerating dependent geometry automatically.</w:t>
      </w:r>
    </w:p>
    <w:p>
      <w:pPr>
        <w:pStyle w:val="BodyText"/>
      </w:pPr>
      <w:r>
        <w:t xml:space="preserve">CadQuery, a Python layer over the Open CASCADE Technology (OCCT) kernel, has become the dominant open-source B-Rep library for LLM-driven generation. Its Python-native design makes it</w:t>
      </w:r>
      <w:r>
        <w:t xml:space="preserve"> </w:t>
      </w:r>
      <w:r>
        <w:t xml:space="preserve">“</w:t>
      </w:r>
      <w:r>
        <w:t xml:space="preserve">uniquely amenable to LLM code generation,</w:t>
      </w:r>
      <w:r>
        <w:t xml:space="preserve">”</w:t>
      </w:r>
      <w:r>
        <w:t xml:space="preserve"> </w:t>
      </w:r>
      <w:r>
        <w:t xml:space="preserve">and its output exports to STEP files that import cleanly into SolidWorks, Creo, NX, and CATIA</w:t>
      </w:r>
      <w:r>
        <w:t xml:space="preserve"> </w:t>
      </w:r>
      <w:fldSimple w:instr="NOTEREF _Ref_Footnote_2 \h \f">
        <w:r>
          <w:rPr>
            <w:vertAlign w:val="superscript"/>
          </w:rPr>
          <w:t>2</w:t>
        </w:r>
      </w:fldSimple>
      <w:r>
        <w:t xml:space="preserve">. The Text-to-CadQuery project demonstrated scalability, fine-tuning six open-source LLMs on 170,000 CadQuery annotations and achieving 69.3% top-1 exact match with a 48.6% reduction in Chamfer Distance</w:t>
      </w:r>
      <w:r>
        <w:t xml:space="preserve"> </w:t>
      </w:r>
      <w:r>
        <w:rPr>
          <w:vertAlign w:val="superscript"/>
        </w:rPr>
        <w:footnoteReference w:id="30"/>
      </w:r>
      <w:r>
        <w:t xml:space="preserve">.</w:t>
      </w:r>
    </w:p>
    <w:p>
      <w:pPr>
        <w:pStyle w:val="BodyText"/>
      </w:pPr>
      <w:r>
        <w:t xml:space="preserve">However, B-Rep imposes a severe challenge: the Topological Naming Problem (TNP). In parametric CAD systems, minor edits to feature ordering unpredictably re-index topological entities. ArtiCAD’s formal analysis quantified this: when features reorder, the LLM must match generated topological entities across parts, yielding a combinatorial search space of</w:t>
      </w:r>
      <w:r>
        <w:t xml:space="preserve"> </w:t>
      </w:r>
      <m:oMath>
        <m:r>
          <m:t>O</m:t>
        </m:r>
        <m:d>
          <m:dPr>
            <m:begChr m:val="("/>
            <m:endChr m:val=")"/>
            <m:sepChr m:val=""/>
            <m:grow/>
          </m:dPr>
          <m:e>
            <m:sSup>
              <m:e>
                <m:r>
                  <m:t>V</m:t>
                </m:r>
              </m:e>
              <m:sup>
                <m:r>
                  <m:t>2</m:t>
                </m:r>
              </m:sup>
            </m:sSup>
            <m:d>
              <m:dPr>
                <m:begChr m:val="|"/>
                <m:endChr m:val="|"/>
                <m:sepChr m:val=""/>
                <m:grow/>
              </m:dPr>
              <m:e>
                <m:r>
                  <m:t>E</m:t>
                </m:r>
              </m:e>
            </m:d>
          </m:e>
        </m:d>
      </m:oMath>
      <w:r>
        <w:t xml:space="preserve">, where</w:t>
      </w:r>
      <w:r>
        <w:t xml:space="preserve"> </w:t>
      </w:r>
      <m:oMath>
        <m:r>
          <m:t>V</m:t>
        </m:r>
      </m:oMath>
      <w:r>
        <w:t xml:space="preserve"> </w:t>
      </w:r>
      <w:r>
        <w:t xml:space="preserve">is the average number of topological features per part and</w:t>
      </w:r>
      <w:r>
        <w:t xml:space="preserve"> </w:t>
      </w:r>
      <m:oMath>
        <m:r>
          <m:t>E</m:t>
        </m:r>
      </m:oMath>
      <w:r>
        <w:t xml:space="preserve"> </w:t>
      </w:r>
      <w:r>
        <w:t xml:space="preserve">is the number of edges connecting them</w:t>
      </w:r>
      <w:r>
        <w:t xml:space="preserve"> </w:t>
      </w:r>
      <w:fldSimple w:instr="NOTEREF _Ref_Footnote_2 \h \f">
        <w:r>
          <w:rPr>
            <w:vertAlign w:val="superscript"/>
          </w:rPr>
          <w:t>2</w:t>
        </w:r>
      </w:fldSimple>
      <w:r>
        <w:t xml:space="preserve">. The MUSE benchmark (2026) revealed a</w:t>
      </w:r>
      <w:r>
        <w:t xml:space="preserve"> </w:t>
      </w:r>
      <w:r>
        <w:t xml:space="preserve">“</w:t>
      </w:r>
      <w:r>
        <w:t xml:space="preserve">failure cascade</w:t>
      </w:r>
      <w:r>
        <w:t xml:space="preserve">”</w:t>
      </w:r>
      <w:r>
        <w:t xml:space="preserve">: code executability at 68% drops to 54% geometric validity, then to 42/100 functionality, 35/100 manufacturability, and 28/100 assemblability</w:t>
      </w:r>
      <w:r>
        <w:t xml:space="preserve"> </w:t>
      </w:r>
      <w:fldSimple w:instr="NOTEREF _Ref_Footnote_12 \h \f">
        <w:r>
          <w:rPr>
            <w:vertAlign w:val="superscript"/>
          </w:rPr>
          <w:t>12</w:t>
        </w:r>
      </w:fldSimple>
      <w:r>
        <w:t xml:space="preserve">.</w:t>
      </w:r>
    </w:p>
    <w:p>
      <w:pPr>
        <w:pStyle w:val="BodyText"/>
      </w:pPr>
      <w:r>
        <w:t xml:space="preserve">FutureCAD’s BRepGround transformer (ICML 2026) represents the most promising response, unifying LLM program generation with text-based B-Rep primitive grounding. By enabling the LLM to specify geometric selections via natural language queries that BRepGround grounds to target primitives, the system achieves state-of-the-art results on both in-distribution and out-of-distribution benchmarks</w:t>
      </w:r>
      <w:r>
        <w:t xml:space="preserve"> </w:t>
      </w:r>
      <w:fldSimple w:instr="NOTEREF _Ref_Footnote_5 \h \f">
        <w:r>
          <w:rPr>
            <w:vertAlign w:val="superscript"/>
          </w:rPr>
          <w:t>5</w:t>
        </w:r>
      </w:fldSimple>
      <w:r>
        <w:t xml:space="preserve">. Yet even FutureCAD acknowledges Open CASCADE’s</w:t>
      </w:r>
      <w:r>
        <w:t xml:space="preserve"> </w:t>
      </w:r>
      <w:r>
        <w:t xml:space="preserve">“</w:t>
      </w:r>
      <w:r>
        <w:t xml:space="preserve">limited robustness compared to commercial kernels,</w:t>
      </w:r>
      <w:r>
        <w:t xml:space="preserve">”</w:t>
      </w:r>
      <w:r>
        <w:t xml:space="preserve"> </w:t>
      </w:r>
      <w:r>
        <w:t xml:space="preserve">adopting lenient evaluation protocols where a feature is invalid only when all referenced primitives fail</w:t>
      </w:r>
      <w:r>
        <w:t xml:space="preserve"> </w:t>
      </w:r>
      <w:fldSimple w:instr="NOTEREF _Ref_Footnote_5 \h \f">
        <w:r>
          <w:rPr>
            <w:vertAlign w:val="superscript"/>
          </w:rPr>
          <w:t>5</w:t>
        </w:r>
      </w:fldSimple>
      <w:r>
        <w:t xml:space="preserve">.</w:t>
      </w:r>
    </w:p>
    <w:bookmarkEnd w:id="36"/>
    <w:bookmarkStart w:id="37" w:name="X3a518b2baf3d2ef2df2bbdfd3b6308a867b7ce0"/>
    <w:p>
      <w:pPr>
        <w:pStyle w:val="Heading4"/>
      </w:pPr>
      <w:r>
        <w:t xml:space="preserve">2.1.3 SDF: Infinite Detail via Mathematical Functions</w:t>
      </w:r>
    </w:p>
    <w:p>
      <w:pPr>
        <w:pStyle w:val="FirstParagraph"/>
      </w:pPr>
      <w:r>
        <w:t xml:space="preserve">A Signed Distance Field (SDF) defines a 3D surface implicitly as the zero-level set of a continuous scalar function</w:t>
      </w:r>
      <w:r>
        <w:t xml:space="preserve"> </w:t>
      </w:r>
      <m:oMath>
        <m:r>
          <m:t>f</m:t>
        </m:r>
        <m:r>
          <m:rPr>
            <m:sty m:val="p"/>
          </m:rPr>
          <m:t>:</m:t>
        </m:r>
        <m:sSup>
          <m:e>
            <m:r>
              <m:rPr>
                <m:sty m:val="p"/>
                <m:scr m:val="double-struck"/>
              </m:rPr>
              <m:t>R</m:t>
            </m:r>
          </m:e>
          <m:sup>
            <m:r>
              <m:t>3</m:t>
            </m:r>
          </m:sup>
        </m:sSup>
        <m:r>
          <m:rPr>
            <m:sty m:val="p"/>
          </m:rPr>
          <m:t>→</m:t>
        </m:r>
        <m:r>
          <m:rPr>
            <m:sty m:val="p"/>
            <m:scr m:val="double-struck"/>
          </m:rPr>
          <m:t>R</m:t>
        </m:r>
      </m:oMath>
      <w:r>
        <w:t xml:space="preserve">, where</w:t>
      </w:r>
      <w:r>
        <w:t xml:space="preserve"> </w:t>
      </w:r>
      <m:oMath>
        <m:d>
          <m:dPr>
            <m:begChr m:val="|"/>
            <m:endChr m:val="|"/>
            <m:sepChr m:val=""/>
            <m:grow/>
          </m:dPr>
          <m:e>
            <m:r>
              <m:t>f</m:t>
            </m:r>
            <m:d>
              <m:dPr>
                <m:begChr m:val="("/>
                <m:endChr m:val=")"/>
                <m:sepChr m:val=""/>
                <m:grow/>
              </m:dPr>
              <m:e>
                <m:r>
                  <m:t>p</m:t>
                </m:r>
              </m:e>
            </m:d>
          </m:e>
        </m:d>
      </m:oMath>
      <w:r>
        <w:t xml:space="preserve"> </w:t>
      </w:r>
      <w:r>
        <w:t xml:space="preserve">gives the distance from point</w:t>
      </w:r>
      <w:r>
        <w:t xml:space="preserve"> </w:t>
      </w:r>
      <m:oMath>
        <m:r>
          <m:t>p</m:t>
        </m:r>
      </m:oMath>
      <w:r>
        <w:t xml:space="preserve"> </w:t>
      </w:r>
      <w:r>
        <w:t xml:space="preserve">to the nearest surface. This representation offers mathematically infinite effective resolution, since the surface is defined analytically rather than discretely.</w:t>
      </w:r>
    </w:p>
    <w:p>
      <w:pPr>
        <w:pStyle w:val="BodyText"/>
      </w:pPr>
      <w:r>
        <w:t xml:space="preserve">For LLM-driven generation, SDFs present an elegant target. The fogleman/sdf library exposes a</w:t>
      </w:r>
      <w:r>
        <w:t xml:space="preserve"> </w:t>
      </w:r>
      <w:r>
        <w:t xml:space="preserve">“</w:t>
      </w:r>
      <w:r>
        <w:t xml:space="preserve">dirt simple Python API</w:t>
      </w:r>
      <w:r>
        <w:t xml:space="preserve">”</w:t>
      </w:r>
      <w:r>
        <w:t xml:space="preserve"> </w:t>
      </w:r>
      <w:r>
        <w:t xml:space="preserve">where primitives compose through Python operators and mesh extraction via Marching Cubes requires as few as ten lines of code</w:t>
      </w:r>
      <w:r>
        <w:t xml:space="preserve"> </w:t>
      </w:r>
      <w:fldSimple w:instr="NOTEREF _Ref_Footnote_12 \h \f">
        <w:r>
          <w:rPr>
            <w:vertAlign w:val="superscript"/>
          </w:rPr>
          <w:t>12</w:t>
        </w:r>
      </w:fldSimple>
      <w:r>
        <w:t xml:space="preserve">. LLMs excel at generating SDF code because distance functions are compact mathematical expressions. Inigo Quilez’s canonical SDF reference provides formulations that LLMs can translate directly into executable Python</w:t>
      </w:r>
      <w:r>
        <w:t xml:space="preserve"> </w:t>
      </w:r>
      <w:fldSimple w:instr="NOTEREF _Ref_Footnote_16 \h \f">
        <w:r>
          <w:rPr>
            <w:vertAlign w:val="superscript"/>
          </w:rPr>
          <w:t>16</w:t>
        </w:r>
      </w:fldSimple>
      <w:r>
        <w:t xml:space="preserve">.</w:t>
      </w:r>
    </w:p>
    <w:p>
      <w:pPr>
        <w:pStyle w:val="BodyText"/>
      </w:pPr>
      <w:r>
        <w:t xml:space="preserve">Neural SDF methods have advanced dramatically. NeuS (NeurIPS 2021) represented surfaces as zero-level sets with bias-free volume rendering</w:t>
      </w:r>
      <w:r>
        <w:t xml:space="preserve"> </w:t>
      </w:r>
      <w:r>
        <w:rPr>
          <w:vertAlign w:val="superscript"/>
        </w:rPr>
        <w:footnoteReference w:id="31"/>
      </w:r>
      <w:r>
        <w:t xml:space="preserve">. NeuS2 (ICCV 2023) achieved approximately two orders of magnitude speedup through multi-resolution hash encoding and full CUDA implementation, reducing training from roughly eight hours to forty seconds</w:t>
      </w:r>
      <w:r>
        <w:t xml:space="preserve"> </w:t>
      </w:r>
      <w:r>
        <w:rPr>
          <w:vertAlign w:val="superscript"/>
        </w:rPr>
        <w:footnoteReference w:id="32"/>
      </w:r>
      <w:r>
        <w:t xml:space="preserve">. Neuralangelo (CVPR 2023, NVIDIA Research) refined fidelity using numerical gradients and coarse-to-fine hash grid optimization, though at roughly twice the training time of the original NeuS</w:t>
      </w:r>
      <w:r>
        <w:t xml:space="preserve"> </w:t>
      </w:r>
      <w:r>
        <w:rPr>
          <w:vertAlign w:val="superscript"/>
        </w:rPr>
        <w:footnoteReference w:id="33"/>
      </w:r>
      <w:r>
        <w:t xml:space="preserve">.</w:t>
      </w:r>
    </w:p>
    <w:p>
      <w:pPr>
        <w:pStyle w:val="BodyText"/>
      </w:pPr>
      <w:r>
        <w:t xml:space="preserve">The critical limitation is extraction. Marching Cubes introduces inaccuracies due to fixed resolution and interpolation schemes, fundamentally limiting sharp edge reconstruction even at high grid resolutions</w:t>
      </w:r>
      <w:r>
        <w:t xml:space="preserve"> </w:t>
      </w:r>
      <w:fldSimple w:instr="NOTEREF _Ref_Footnote_3 \h \f">
        <w:r>
          <w:rPr>
            <w:vertAlign w:val="superscript"/>
          </w:rPr>
          <w:t>3</w:t>
        </w:r>
      </w:fldSimple>
      <w:r>
        <w:t xml:space="preserve">. FlexiCubes addresses this by introducing interpolation weights and deformation vectors, serving as a</w:t>
      </w:r>
      <w:r>
        <w:t xml:space="preserve"> </w:t>
      </w:r>
      <w:r>
        <w:t xml:space="preserve">“</w:t>
      </w:r>
      <w:r>
        <w:t xml:space="preserve">plug-and-play differentiable mesh extraction module</w:t>
      </w:r>
      <w:r>
        <w:t xml:space="preserve">”</w:t>
      </w:r>
      <w:r>
        <w:t xml:space="preserve"> </w:t>
      </w:r>
      <w:r>
        <w:t xml:space="preserve">with superior quality to DMTet and traditional Marching Cubes</w:t>
      </w:r>
      <w:r>
        <w:t xml:space="preserve"> </w:t>
      </w:r>
      <w:r>
        <w:rPr>
          <w:vertAlign w:val="superscript"/>
        </w:rPr>
        <w:footnoteReference w:id="34"/>
      </w:r>
      <w:r>
        <w:t xml:space="preserve">. Even so, SDF-to-B-Rep conversion remains lossy: the extracted mesh approximates rather than preserves the original implicit surface’s analytical properties.</w:t>
      </w:r>
    </w:p>
    <w:bookmarkEnd w:id="37"/>
    <w:bookmarkStart w:id="38" w:name="X7d32dd523b84b12cdff544ba5fda5be6285b157"/>
    <w:p>
      <w:pPr>
        <w:pStyle w:val="Heading4"/>
      </w:pPr>
      <w:r>
        <w:t xml:space="preserve">2.1.4 Voxel: Spatial Reasoning at Resolution Cost</w:t>
      </w:r>
    </w:p>
    <w:p>
      <w:pPr>
        <w:pStyle w:val="FirstParagraph"/>
      </w:pPr>
      <w:r>
        <w:t xml:space="preserve">Voxel-based representations discretize 3D space into a regular grid of occupied/empty cells, creating an encoding that aligns naturally with LLM reasoning. The VoxelCode benchmark (Meta FAIR, April 2026) provided the first systematic evidence, evaluating eight state-of-the-art LLMs on 220 voxel manipulation tasks across symbolic reasoning, geometric construction, and artistic composition</w:t>
      </w:r>
      <w:r>
        <w:t xml:space="preserve"> </w:t>
      </w:r>
      <w:fldSimple w:instr="NOTEREF _Ref_Footnote_9 \h \f">
        <w:r>
          <w:rPr>
            <w:vertAlign w:val="superscript"/>
          </w:rPr>
          <w:t>9</w:t>
        </w:r>
      </w:fldSimple>
      <w:r>
        <w:t xml:space="preserve">.</w:t>
      </w:r>
    </w:p>
    <w:p>
      <w:pPr>
        <w:pStyle w:val="BodyText"/>
      </w:pPr>
      <w:r>
        <w:t xml:space="preserve">The results revealed a striking 68-point gap between leading models: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center"/>
            </w:pPr>
            <w:r>
              <w:t xml:space="preserve">Shape Correctness (%)</w:t>
            </w:r>
          </w:p>
        </w:tc>
        <w:tc>
          <w:tcPr/>
          <w:p>
            <w:pPr>
              <w:pStyle w:val="Compact"/>
              <w:jc w:val="center"/>
            </w:pPr>
            <w:r>
              <w:t xml:space="preserve">Visual Quality (0–10)</w:t>
            </w:r>
          </w:p>
        </w:tc>
      </w:tr>
      <w:tr>
        <w:tc>
          <w:tcPr/>
          <w:p>
            <w:pPr>
              <w:pStyle w:val="Compact"/>
              <w:jc w:val="left"/>
            </w:pPr>
            <w:r>
              <w:t xml:space="preserve">GPT-5</w:t>
            </w:r>
          </w:p>
        </w:tc>
        <w:tc>
          <w:tcPr/>
          <w:p>
            <w:pPr>
              <w:pStyle w:val="Compact"/>
              <w:jc w:val="center"/>
            </w:pPr>
            <w:r>
              <w:t xml:space="preserve">87.9</w:t>
            </w:r>
            <w:r>
              <w:t xml:space="preserve"> </w:t>
            </w:r>
            <w:fldSimple w:instr="NOTEREF _Ref_Footnote_9 \h \f">
              <w:r>
                <w:rPr>
                  <w:vertAlign w:val="superscript"/>
                </w:rPr>
                <w:t>9</w:t>
              </w:r>
            </w:fldSimple>
          </w:p>
        </w:tc>
        <w:tc>
          <w:tcPr/>
          <w:p>
            <w:pPr>
              <w:pStyle w:val="Compact"/>
              <w:jc w:val="center"/>
            </w:pPr>
            <w:r>
              <w:t xml:space="preserve">5.71</w:t>
            </w:r>
            <w:r>
              <w:t xml:space="preserve"> </w:t>
            </w:r>
            <w:fldSimple w:instr="NOTEREF _Ref_Footnote_9 \h \f">
              <w:r>
                <w:rPr>
                  <w:vertAlign w:val="superscript"/>
                </w:rPr>
                <w:t>9</w:t>
              </w:r>
            </w:fldSimple>
          </w:p>
        </w:tc>
      </w:tr>
      <w:tr>
        <w:tc>
          <w:tcPr/>
          <w:p>
            <w:pPr>
              <w:pStyle w:val="Compact"/>
              <w:jc w:val="left"/>
            </w:pPr>
            <w:r>
              <w:t xml:space="preserve">Claude Sonnet 4.5</w:t>
            </w:r>
          </w:p>
        </w:tc>
        <w:tc>
          <w:tcPr/>
          <w:p>
            <w:pPr>
              <w:pStyle w:val="Compact"/>
              <w:jc w:val="center"/>
            </w:pPr>
            <w:r>
              <w:t xml:space="preserve">80.4</w:t>
            </w:r>
            <w:r>
              <w:t xml:space="preserve"> </w:t>
            </w:r>
            <w:fldSimple w:instr="NOTEREF _Ref_Footnote_9 \h \f">
              <w:r>
                <w:rPr>
                  <w:vertAlign w:val="superscript"/>
                </w:rPr>
                <w:t>9</w:t>
              </w:r>
            </w:fldSimple>
          </w:p>
        </w:tc>
        <w:tc>
          <w:tcPr/>
          <w:p>
            <w:pPr>
              <w:pStyle w:val="Compact"/>
              <w:jc w:val="center"/>
            </w:pPr>
            <w:r>
              <w:t xml:space="preserve">5.22</w:t>
            </w:r>
            <w:r>
              <w:t xml:space="preserve"> </w:t>
            </w:r>
            <w:fldSimple w:instr="NOTEREF _Ref_Footnote_9 \h \f">
              <w:r>
                <w:rPr>
                  <w:vertAlign w:val="superscript"/>
                </w:rPr>
                <w:t>9</w:t>
              </w:r>
            </w:fldSimple>
          </w:p>
        </w:tc>
      </w:tr>
      <w:tr>
        <w:tc>
          <w:tcPr/>
          <w:p>
            <w:pPr>
              <w:pStyle w:val="Compact"/>
              <w:jc w:val="left"/>
            </w:pPr>
            <w:r>
              <w:t xml:space="preserve">GPT-5 Mini</w:t>
            </w:r>
          </w:p>
        </w:tc>
        <w:tc>
          <w:tcPr/>
          <w:p>
            <w:pPr>
              <w:pStyle w:val="Compact"/>
              <w:jc w:val="center"/>
            </w:pPr>
            <w:r>
              <w:t xml:space="preserve">80.4</w:t>
            </w:r>
            <w:r>
              <w:t xml:space="preserve"> </w:t>
            </w:r>
            <w:fldSimple w:instr="NOTEREF _Ref_Footnote_9 \h \f">
              <w:r>
                <w:rPr>
                  <w:vertAlign w:val="superscript"/>
                </w:rPr>
                <w:t>9</w:t>
              </w:r>
            </w:fldSimple>
          </w:p>
        </w:tc>
        <w:tc>
          <w:tcPr/>
          <w:p>
            <w:pPr>
              <w:pStyle w:val="Compact"/>
              <w:jc w:val="center"/>
            </w:pPr>
            <w:r>
              <w:t xml:space="preserve">5.18</w:t>
            </w:r>
            <w:r>
              <w:t xml:space="preserve"> </w:t>
            </w:r>
            <w:fldSimple w:instr="NOTEREF _Ref_Footnote_9 \h \f">
              <w:r>
                <w:rPr>
                  <w:vertAlign w:val="superscript"/>
                </w:rPr>
                <w:t>9</w:t>
              </w:r>
            </w:fldSimple>
          </w:p>
        </w:tc>
      </w:tr>
      <w:tr>
        <w:tc>
          <w:tcPr/>
          <w:p>
            <w:pPr>
              <w:pStyle w:val="Compact"/>
              <w:jc w:val="left"/>
            </w:pPr>
            <w:r>
              <w:t xml:space="preserve">Claude Opus 4</w:t>
            </w:r>
          </w:p>
        </w:tc>
        <w:tc>
          <w:tcPr/>
          <w:p>
            <w:pPr>
              <w:pStyle w:val="Compact"/>
              <w:jc w:val="center"/>
            </w:pPr>
            <w:r>
              <w:t xml:space="preserve">68.3</w:t>
            </w:r>
            <w:r>
              <w:t xml:space="preserve"> </w:t>
            </w:r>
            <w:fldSimple w:instr="NOTEREF _Ref_Footnote_9 \h \f">
              <w:r>
                <w:rPr>
                  <w:vertAlign w:val="superscript"/>
                </w:rPr>
                <w:t>9</w:t>
              </w:r>
            </w:fldSimple>
          </w:p>
        </w:tc>
        <w:tc>
          <w:tcPr/>
          <w:p>
            <w:pPr>
              <w:pStyle w:val="Compact"/>
              <w:jc w:val="center"/>
            </w:pPr>
            <w:r>
              <w:t xml:space="preserve">3.76</w:t>
            </w:r>
            <w:r>
              <w:t xml:space="preserve"> </w:t>
            </w:r>
            <w:fldSimple w:instr="NOTEREF _Ref_Footnote_9 \h \f">
              <w:r>
                <w:rPr>
                  <w:vertAlign w:val="superscript"/>
                </w:rPr>
                <w:t>9</w:t>
              </w:r>
            </w:fldSimple>
          </w:p>
        </w:tc>
      </w:tr>
      <w:tr>
        <w:tc>
          <w:tcPr/>
          <w:p>
            <w:pPr>
              <w:pStyle w:val="Compact"/>
              <w:jc w:val="left"/>
            </w:pPr>
            <w:r>
              <w:t xml:space="preserve">Claude 3.5 Sonnet</w:t>
            </w:r>
          </w:p>
        </w:tc>
        <w:tc>
          <w:tcPr/>
          <w:p>
            <w:pPr>
              <w:pStyle w:val="Compact"/>
              <w:jc w:val="center"/>
            </w:pPr>
            <w:r>
              <w:t xml:space="preserve">62.0</w:t>
            </w:r>
            <w:r>
              <w:t xml:space="preserve"> </w:t>
            </w:r>
            <w:fldSimple w:instr="NOTEREF _Ref_Footnote_9 \h \f">
              <w:r>
                <w:rPr>
                  <w:vertAlign w:val="superscript"/>
                </w:rPr>
                <w:t>9</w:t>
              </w:r>
            </w:fldSimple>
          </w:p>
        </w:tc>
        <w:tc>
          <w:tcPr/>
          <w:p>
            <w:pPr>
              <w:pStyle w:val="Compact"/>
              <w:jc w:val="center"/>
            </w:pPr>
            <w:r>
              <w:t xml:space="preserve">3.80</w:t>
            </w:r>
            <w:r>
              <w:t xml:space="preserve"> </w:t>
            </w:r>
            <w:fldSimple w:instr="NOTEREF _Ref_Footnote_9 \h \f">
              <w:r>
                <w:rPr>
                  <w:vertAlign w:val="superscript"/>
                </w:rPr>
                <w:t>9</w:t>
              </w:r>
            </w:fldSimple>
          </w:p>
        </w:tc>
      </w:tr>
      <w:tr>
        <w:tc>
          <w:tcPr/>
          <w:p>
            <w:pPr>
              <w:pStyle w:val="Compact"/>
              <w:jc w:val="left"/>
            </w:pPr>
            <w:r>
              <w:t xml:space="preserve">Gemini 3 Pro</w:t>
            </w:r>
          </w:p>
        </w:tc>
        <w:tc>
          <w:tcPr/>
          <w:p>
            <w:pPr>
              <w:pStyle w:val="Compact"/>
              <w:jc w:val="center"/>
            </w:pPr>
            <w:r>
              <w:t xml:space="preserve">19.5</w:t>
            </w:r>
            <w:r>
              <w:t xml:space="preserve"> </w:t>
            </w:r>
            <w:fldSimple w:instr="NOTEREF _Ref_Footnote_9 \h \f">
              <w:r>
                <w:rPr>
                  <w:vertAlign w:val="superscript"/>
                </w:rPr>
                <w:t>9</w:t>
              </w:r>
            </w:fldSimple>
          </w:p>
        </w:tc>
        <w:tc>
          <w:tcPr/>
          <w:p>
            <w:pPr>
              <w:pStyle w:val="Compact"/>
              <w:jc w:val="center"/>
            </w:pPr>
            <w:r>
              <w:t xml:space="preserve">1.36</w:t>
            </w:r>
            <w:r>
              <w:t xml:space="preserve"> </w:t>
            </w:r>
            <w:fldSimple w:instr="NOTEREF _Ref_Footnote_9 \h \f">
              <w:r>
                <w:rPr>
                  <w:vertAlign w:val="superscript"/>
                </w:rPr>
                <w:t>9</w:t>
              </w:r>
            </w:fldSimple>
          </w:p>
        </w:tc>
      </w:tr>
    </w:tbl>
    <w:p>
      <w:pPr>
        <w:pStyle w:val="BodyText"/>
      </w:pPr>
      <w:r>
        <w:t xml:space="preserve">The Meta FAIR researchers concluded that</w:t>
      </w:r>
      <w:r>
        <w:t xml:space="preserve"> </w:t>
      </w:r>
      <w:r>
        <w:t xml:space="preserve">“</w:t>
      </w:r>
      <w:r>
        <w:t xml:space="preserve">voxel-based representations serve as an effective interface for LLMs to externalize their geometric knowledge</w:t>
      </w:r>
      <w:r>
        <w:t xml:space="preserve">”</w:t>
      </w:r>
      <w:r>
        <w:t xml:space="preserve"> </w:t>
      </w:r>
      <w:fldSimple w:instr="NOTEREF _Ref_Footnote_9 \h \f">
        <w:r>
          <w:rPr>
            <w:vertAlign w:val="superscript"/>
          </w:rPr>
          <w:t>9</w:t>
        </w:r>
      </w:fldSimple>
      <w:r>
        <w:t xml:space="preserve">. The 68-point spread between GPT-5 and Gemini Pro on identical tasks suggests that voxel API comprehension is not merely a function of model scale but reflects training data composition—models exposed to more spatial reasoning code during pre-training handle voxel manipulation substantially better. Yet even GPT-5 achieved a visual quality score of only 5.71 out of 10, indicating that voxels excel at structural correctness but struggle with fine aesthetic detail. The fundamental cost is memory scaling of</w:t>
      </w:r>
      <w:r>
        <w:t xml:space="preserve"> </w:t>
      </w:r>
      <m:oMath>
        <m:r>
          <m:t>O</m:t>
        </m:r>
        <m:d>
          <m:dPr>
            <m:begChr m:val="("/>
            <m:endChr m:val=")"/>
            <m:sepChr m:val=""/>
            <m:grow/>
          </m:dPr>
          <m:e>
            <m:sSup>
              <m:e>
                <m:r>
                  <m:t>n</m:t>
                </m:r>
              </m:e>
              <m:sup>
                <m:r>
                  <m:t>3</m:t>
                </m:r>
              </m:sup>
            </m:sSup>
          </m:e>
        </m:d>
      </m:oMath>
      <w:r>
        <w:t xml:space="preserve"> </w:t>
      </w:r>
      <w:r>
        <w:t xml:space="preserve">with grid resolution. OpenVCAD/pyvcad mitigates this through sparse data structures, achieving designs that</w:t>
      </w:r>
      <w:r>
        <w:t xml:space="preserve"> </w:t>
      </w:r>
      <w:r>
        <w:t xml:space="preserve">“</w:t>
      </w:r>
      <w:r>
        <w:t xml:space="preserve">scale to hundreds of billions of voxels</w:t>
      </w:r>
      <w:r>
        <w:t xml:space="preserve">”</w:t>
      </w:r>
      <w:r>
        <w:t xml:space="preserve"> </w:t>
      </w:r>
      <w:r>
        <w:rPr>
          <w:vertAlign w:val="superscript"/>
        </w:rPr>
        <w:footnoteReference w:id="35"/>
      </w:r>
      <w:r>
        <w:t xml:space="preserve">, but axis-aligned discretization fundamentally limits surface smoothness regardless of computational budget.</w:t>
      </w:r>
    </w:p>
    <w:bookmarkEnd w:id="38"/>
    <w:bookmarkStart w:id="39" w:name="Xe8ed8086ead3b5d964ee032c0107c6f120b9ebe"/>
    <w:p>
      <w:pPr>
        <w:pStyle w:val="Heading4"/>
      </w:pPr>
      <w:r>
        <w:t xml:space="preserve">2.1.5 Mesh: The Universal Exchange Format with Topology Burden</w:t>
      </w:r>
    </w:p>
    <w:p>
      <w:pPr>
        <w:pStyle w:val="FirstParagraph"/>
      </w:pPr>
      <w:r>
        <w:t xml:space="preserve">Polygon meshes—collections of vertices, edges, and faces—serve as the de facto exchange format across 3D graphics pipelines. Their ubiquity makes them indispensable, but their structural complexity makes direct LLM generation challenging. A mesh’s topology must be globally consistent: every edge connects exactly two faces, every face references valid vertices, and the entire structure must be manifold for most downstream operations.</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Application Domain</w:t>
            </w:r>
          </w:p>
        </w:tc>
        <w:tc>
          <w:tcPr/>
          <w:p>
            <w:pPr>
              <w:pStyle w:val="Compact"/>
              <w:jc w:val="center"/>
            </w:pPr>
            <w:r>
              <w:t xml:space="preserve">Typical Polygon Count</w:t>
            </w:r>
          </w:p>
        </w:tc>
        <w:tc>
          <w:tcPr/>
          <w:p>
            <w:pPr>
              <w:pStyle w:val="Compact"/>
              <w:jc w:val="left"/>
            </w:pPr>
            <w:r>
              <w:t xml:space="preserve">Critical Constraints</w:t>
            </w:r>
          </w:p>
        </w:tc>
      </w:tr>
      <w:tr>
        <w:tc>
          <w:tcPr/>
          <w:p>
            <w:pPr>
              <w:pStyle w:val="Compact"/>
              <w:jc w:val="left"/>
            </w:pPr>
            <w:r>
              <w:t xml:space="preserve">Game LOD0 (hero assets)</w:t>
            </w:r>
          </w:p>
        </w:tc>
        <w:tc>
          <w:tcPr/>
          <w:p>
            <w:pPr>
              <w:pStyle w:val="Compact"/>
              <w:jc w:val="center"/>
            </w:pPr>
            <w:r>
              <w:t xml:space="preserve">50K–500K</w:t>
            </w:r>
          </w:p>
        </w:tc>
        <w:tc>
          <w:tcPr/>
          <w:p>
            <w:pPr>
              <w:pStyle w:val="Compact"/>
              <w:jc w:val="left"/>
            </w:pPr>
            <w:r>
              <w:t xml:space="preserve">Texture atlas compatibility, skeletal rig topology</w:t>
            </w:r>
          </w:p>
        </w:tc>
      </w:tr>
      <w:tr>
        <w:tc>
          <w:tcPr/>
          <w:p>
            <w:pPr>
              <w:pStyle w:val="Compact"/>
              <w:jc w:val="left"/>
            </w:pPr>
            <w:r>
              <w:t xml:space="preserve">Film/VFX hero models</w:t>
            </w:r>
          </w:p>
        </w:tc>
        <w:tc>
          <w:tcPr/>
          <w:p>
            <w:pPr>
              <w:pStyle w:val="Compact"/>
              <w:jc w:val="center"/>
            </w:pPr>
            <w:r>
              <w:t xml:space="preserve">1M–50M</w:t>
            </w:r>
          </w:p>
        </w:tc>
        <w:tc>
          <w:tcPr/>
          <w:p>
            <w:pPr>
              <w:pStyle w:val="Compact"/>
              <w:jc w:val="left"/>
            </w:pPr>
            <w:r>
              <w:t xml:space="preserve">Subdivision-surface-ready quad topology</w:t>
            </w:r>
          </w:p>
        </w:tc>
      </w:tr>
      <w:tr>
        <w:tc>
          <w:tcPr/>
          <w:p>
            <w:pPr>
              <w:pStyle w:val="Compact"/>
              <w:jc w:val="left"/>
            </w:pPr>
            <w:r>
              <w:t xml:space="preserve">3D printing (STL)</w:t>
            </w:r>
          </w:p>
        </w:tc>
        <w:tc>
          <w:tcPr/>
          <w:p>
            <w:pPr>
              <w:pStyle w:val="Compact"/>
              <w:jc w:val="center"/>
            </w:pPr>
            <w:r>
              <w:t xml:space="preserve">100K–2M</w:t>
            </w:r>
          </w:p>
        </w:tc>
        <w:tc>
          <w:tcPr/>
          <w:p>
            <w:pPr>
              <w:pStyle w:val="Compact"/>
              <w:jc w:val="left"/>
            </w:pPr>
            <w:r>
              <w:t xml:space="preserve">Watertight manifold, minimal self-intersections</w:t>
            </w:r>
          </w:p>
        </w:tc>
      </w:tr>
      <w:tr>
        <w:tc>
          <w:tcPr/>
          <w:p>
            <w:pPr>
              <w:pStyle w:val="Compact"/>
              <w:jc w:val="left"/>
            </w:pPr>
            <w:r>
              <w:t xml:space="preserve">Real-time VR/AR</w:t>
            </w:r>
          </w:p>
        </w:tc>
        <w:tc>
          <w:tcPr/>
          <w:p>
            <w:pPr>
              <w:pStyle w:val="Compact"/>
              <w:jc w:val="center"/>
            </w:pPr>
            <w:r>
              <w:t xml:space="preserve">10K–100K</w:t>
            </w:r>
          </w:p>
        </w:tc>
        <w:tc>
          <w:tcPr/>
          <w:p>
            <w:pPr>
              <w:pStyle w:val="Compact"/>
              <w:jc w:val="left"/>
            </w:pPr>
            <w:r>
              <w:t xml:space="preserve">Strict triangle budget, occlusion-optimized</w:t>
            </w:r>
          </w:p>
        </w:tc>
      </w:tr>
      <w:tr>
        <w:tc>
          <w:tcPr/>
          <w:p>
            <w:pPr>
              <w:pStyle w:val="Compact"/>
              <w:jc w:val="left"/>
            </w:pPr>
            <w:r>
              <w:t xml:space="preserve">CAD visualization</w:t>
            </w:r>
          </w:p>
        </w:tc>
        <w:tc>
          <w:tcPr/>
          <w:p>
            <w:pPr>
              <w:pStyle w:val="Compact"/>
              <w:jc w:val="center"/>
            </w:pPr>
            <w:r>
              <w:t xml:space="preserve">10K–500K</w:t>
            </w:r>
          </w:p>
        </w:tc>
        <w:tc>
          <w:tcPr/>
          <w:p>
            <w:pPr>
              <w:pStyle w:val="Compact"/>
              <w:jc w:val="left"/>
            </w:pPr>
            <w:r>
              <w:t xml:space="preserve">Preserves B-Rep feature edges post-tessellation</w:t>
            </w:r>
          </w:p>
        </w:tc>
      </w:tr>
    </w:tbl>
    <w:p>
      <w:pPr>
        <w:pStyle w:val="BodyText"/>
      </w:pPr>
      <w:r>
        <w:t xml:space="preserve">DeepMesh (ICCV 2025) pushed direct mesh generation by training transformers scaling from 500 million to 1 billion parameters, producing meshes with up to 30,000 faces at 512 quantization resolution</w:t>
      </w:r>
      <w:r>
        <w:t xml:space="preserve"> </w:t>
      </w:r>
      <w:r>
        <w:rPr>
          <w:vertAlign w:val="superscript"/>
        </w:rPr>
        <w:footnoteReference w:id="36"/>
      </w:r>
      <w:r>
        <w:t xml:space="preserve">. Its improved tokenization achieves roughly 72% compression through local-aware face traversal</w:t>
      </w:r>
      <w:r>
        <w:t xml:space="preserve"> </w:t>
      </w:r>
      <w:r>
        <w:rPr>
          <w:vertAlign w:val="superscript"/>
        </w:rPr>
        <w:footnoteReference w:id="37"/>
      </w:r>
      <w:r>
        <w:t xml:space="preserve">. MeshCoder (NeurIPS 2025) took an alternative approach, training a multimodal LLM to reconstruct objects from point clouds into executable Blender Python scripts with part-level decomposition, achieving L2 Chamfer Distance of</w:t>
      </w:r>
      <w:r>
        <w:t xml:space="preserve"> </w:t>
      </w:r>
      <m:oMath>
        <m:r>
          <m:t>6.32</m:t>
        </m:r>
        <m:r>
          <m:rPr>
            <m:sty m:val="p"/>
          </m:rPr>
          <m:t>×</m:t>
        </m:r>
        <m:sSup>
          <m:e>
            <m:r>
              <m:t>10</m:t>
            </m:r>
          </m:e>
          <m:sup>
            <m:r>
              <m:rPr>
                <m:sty m:val="p"/>
              </m:rPr>
              <m:t>−</m:t>
            </m:r>
            <m:r>
              <m:t>4</m:t>
            </m:r>
          </m:sup>
        </m:sSup>
      </m:oMath>
      <w:r>
        <w:t xml:space="preserve"> </w:t>
      </w:r>
      <w:r>
        <w:t xml:space="preserve">and IoU of 86.75%</w:t>
      </w:r>
      <w:r>
        <w:t xml:space="preserve"> </w:t>
      </w:r>
      <w:fldSimple w:instr="NOTEREF _Ref_Footnote_29 \h \f">
        <w:r>
          <w:rPr>
            <w:vertAlign w:val="superscript"/>
          </w:rPr>
          <w:t>29</w:t>
        </w:r>
      </w:fldSimple>
      <w:r>
        <w:t xml:space="preserve">.</w:t>
      </w:r>
    </w:p>
    <w:p>
      <w:pPr>
        <w:pStyle w:val="BodyText"/>
      </w:pPr>
      <w:r>
        <w:t xml:space="preserve">Despite these advances, mesh generation remains the least LLM-suitable representation for precision engineering. MeshLLM’s Primitive-Mesh decomposition (ICCV 2025), creating 1.5 million training samples</w:t>
      </w:r>
      <w:r>
        <w:t xml:space="preserve"> </w:t>
      </w:r>
      <w:r>
        <w:rPr>
          <w:vertAlign w:val="superscript"/>
        </w:rPr>
        <w:footnoteReference w:id="38"/>
      </w:r>
      <w:r>
        <w:t xml:space="preserve">, and DeepMesh’s RL-enhanced generation through Direct Preference Optimization</w:t>
      </w:r>
      <w:r>
        <w:t xml:space="preserve"> </w:t>
      </w:r>
      <w:fldSimple w:instr="NOTEREF _Ref_Footnote_36 \h \f">
        <w:r>
          <w:rPr>
            <w:vertAlign w:val="superscript"/>
          </w:rPr>
          <w:t>36</w:t>
        </w:r>
      </w:fldSimple>
      <w:r>
        <w:t xml:space="preserve">represent significant progress. Yet meshes lack parametric editability: modifying a hole diameter requires identifying and rescaling many triangles rather than editing a single parameter</w:t>
      </w:r>
      <w:r>
        <w:t xml:space="preserve"> </w:t>
      </w:r>
      <w:fldSimple w:instr="NOTEREF _Ref_Footnote_15 \h \f">
        <w:r>
          <w:rPr>
            <w:vertAlign w:val="superscript"/>
          </w:rPr>
          <w:t>15</w:t>
        </w:r>
      </w:fldSimple>
      <w:r>
        <w:t xml:space="preserve">. For workflows where downstream editability matters, mesh generation is best viewed as a terminal output stage rather than a primary design representation.</w:t>
      </w:r>
    </w:p>
    <w:bookmarkEnd w:id="39"/>
    <w:bookmarkEnd w:id="40"/>
    <w:bookmarkStart w:id="43" w:name="the-conversion-cost-matrix"/>
    <w:p>
      <w:pPr>
        <w:pStyle w:val="Heading3"/>
      </w:pPr>
      <w:r>
        <w:t xml:space="preserve">2.2 The Conversion Cost Matrix</w:t>
      </w:r>
    </w:p>
    <w:bookmarkStart w:id="41" w:name="X9804e9740f41d0d04ed5e5b38b245451651b9c9"/>
    <w:p>
      <w:pPr>
        <w:pStyle w:val="Heading4"/>
      </w:pPr>
      <w:r>
        <w:t xml:space="preserve">2.2.1 Representation Conversion as Lossy Operations</w:t>
      </w:r>
    </w:p>
    <w:p>
      <w:pPr>
        <w:pStyle w:val="FirstParagraph"/>
      </w:pPr>
      <w:r>
        <w:t xml:space="preserve">The five representations form a conversion graph where most edges carry information loss. Understanding these losses is essential for pipeline architecture: a system that generates in one representation and manufactures in another must account for fidelity degradation at every conversion step.</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From  To</w:t>
            </w:r>
          </w:p>
        </w:tc>
        <w:tc>
          <w:tcPr/>
          <w:p>
            <w:pPr>
              <w:pStyle w:val="Compact"/>
              <w:jc w:val="center"/>
            </w:pPr>
            <w:r>
              <w:t xml:space="preserve">CSG</w:t>
            </w:r>
          </w:p>
        </w:tc>
        <w:tc>
          <w:tcPr/>
          <w:p>
            <w:pPr>
              <w:pStyle w:val="Compact"/>
              <w:jc w:val="center"/>
            </w:pPr>
            <w:r>
              <w:t xml:space="preserve">B-Rep</w:t>
            </w:r>
          </w:p>
        </w:tc>
        <w:tc>
          <w:tcPr/>
          <w:p>
            <w:pPr>
              <w:pStyle w:val="Compact"/>
              <w:jc w:val="center"/>
            </w:pPr>
            <w:r>
              <w:t xml:space="preserve">SDF</w:t>
            </w:r>
          </w:p>
        </w:tc>
        <w:tc>
          <w:tcPr/>
          <w:p>
            <w:pPr>
              <w:pStyle w:val="Compact"/>
              <w:jc w:val="center"/>
            </w:pPr>
            <w:r>
              <w:t xml:space="preserve">Voxel</w:t>
            </w:r>
          </w:p>
        </w:tc>
        <w:tc>
          <w:tcPr/>
          <w:p>
            <w:pPr>
              <w:pStyle w:val="Compact"/>
              <w:jc w:val="center"/>
            </w:pPr>
            <w:r>
              <w:t xml:space="preserve">Mesh</w:t>
            </w:r>
          </w:p>
        </w:tc>
      </w:tr>
      <w:tr>
        <w:tc>
          <w:tcPr/>
          <w:p>
            <w:pPr>
              <w:pStyle w:val="Compact"/>
              <w:jc w:val="left"/>
            </w:pPr>
            <w:r>
              <w:rPr>
                <w:bCs/>
                <w:b/>
              </w:rPr>
              <w:t xml:space="preserve">CSG</w:t>
            </w:r>
          </w:p>
        </w:tc>
        <w:tc>
          <w:tcPr/>
          <w:p>
            <w:pPr>
              <w:pStyle w:val="Compact"/>
              <w:jc w:val="center"/>
            </w:pPr>
            <w:r>
              <w:t xml:space="preserve">—</w:t>
            </w:r>
          </w:p>
        </w:tc>
        <w:tc>
          <w:tcPr/>
          <w:p>
            <w:pPr>
              <w:pStyle w:val="Compact"/>
              <w:jc w:val="center"/>
            </w:pPr>
            <w:r>
              <w:t xml:space="preserve">Lossless</w:t>
            </w:r>
          </w:p>
        </w:tc>
        <w:tc>
          <w:tcPr/>
          <w:p>
            <w:pPr>
              <w:pStyle w:val="Compact"/>
              <w:jc w:val="center"/>
            </w:pPr>
            <w:r>
              <w:t xml:space="preserve">Lossy (sampling)</w:t>
            </w:r>
          </w:p>
        </w:tc>
        <w:tc>
          <w:tcPr/>
          <w:p>
            <w:pPr>
              <w:pStyle w:val="Compact"/>
              <w:jc w:val="center"/>
            </w:pPr>
            <w:r>
              <w:t xml:space="preserve">Lossy (rasterization)</w:t>
            </w:r>
          </w:p>
        </w:tc>
        <w:tc>
          <w:tcPr/>
          <w:p>
            <w:pPr>
              <w:pStyle w:val="Compact"/>
              <w:jc w:val="center"/>
            </w:pPr>
            <w:r>
              <w:t xml:space="preserve">Lossy (tessellation)</w:t>
            </w:r>
          </w:p>
        </w:tc>
      </w:tr>
      <w:tr>
        <w:tc>
          <w:tcPr/>
          <w:p>
            <w:pPr>
              <w:pStyle w:val="Compact"/>
              <w:jc w:val="left"/>
            </w:pPr>
            <w:r>
              <w:rPr>
                <w:bCs/>
                <w:b/>
              </w:rPr>
              <w:t xml:space="preserve">B-Rep</w:t>
            </w:r>
          </w:p>
        </w:tc>
        <w:tc>
          <w:tcPr/>
          <w:p>
            <w:pPr>
              <w:pStyle w:val="Compact"/>
              <w:jc w:val="center"/>
            </w:pPr>
            <w:r>
              <w:t xml:space="preserve">Impossible (no history)</w:t>
            </w:r>
          </w:p>
        </w:tc>
        <w:tc>
          <w:tcPr/>
          <w:p>
            <w:pPr>
              <w:pStyle w:val="Compact"/>
              <w:jc w:val="center"/>
            </w:pPr>
            <w:r>
              <w:t xml:space="preserve">—</w:t>
            </w:r>
          </w:p>
        </w:tc>
        <w:tc>
          <w:tcPr/>
          <w:p>
            <w:pPr>
              <w:pStyle w:val="Compact"/>
              <w:jc w:val="center"/>
            </w:pPr>
            <w:r>
              <w:t xml:space="preserve">Lossy (implicitization)</w:t>
            </w:r>
          </w:p>
        </w:tc>
        <w:tc>
          <w:tcPr/>
          <w:p>
            <w:pPr>
              <w:pStyle w:val="Compact"/>
              <w:jc w:val="center"/>
            </w:pPr>
            <w:r>
              <w:t xml:space="preserve">Lossy (rasterization)</w:t>
            </w:r>
          </w:p>
        </w:tc>
        <w:tc>
          <w:tcPr/>
          <w:p>
            <w:pPr>
              <w:pStyle w:val="Compact"/>
              <w:jc w:val="center"/>
            </w:pPr>
            <w:r>
              <w:t xml:space="preserve">Lossy (tessellation)</w:t>
            </w:r>
          </w:p>
        </w:tc>
      </w:tr>
      <w:tr>
        <w:tc>
          <w:tcPr/>
          <w:p>
            <w:pPr>
              <w:pStyle w:val="Compact"/>
              <w:jc w:val="left"/>
            </w:pPr>
            <w:r>
              <w:rPr>
                <w:bCs/>
                <w:b/>
              </w:rPr>
              <w:t xml:space="preserve">SDF</w:t>
            </w:r>
          </w:p>
        </w:tc>
        <w:tc>
          <w:tcPr/>
          <w:p>
            <w:pPr>
              <w:pStyle w:val="Compact"/>
              <w:jc w:val="center"/>
            </w:pPr>
            <w:r>
              <w:t xml:space="preserve">Impossible (no tree)</w:t>
            </w:r>
          </w:p>
        </w:tc>
        <w:tc>
          <w:tcPr/>
          <w:p>
            <w:pPr>
              <w:pStyle w:val="Compact"/>
              <w:jc w:val="center"/>
            </w:pPr>
            <w:r>
              <w:t xml:space="preserve">Impossible (no anal. surf.)</w:t>
            </w:r>
          </w:p>
        </w:tc>
        <w:tc>
          <w:tcPr/>
          <w:p>
            <w:pPr>
              <w:pStyle w:val="Compact"/>
              <w:jc w:val="center"/>
            </w:pPr>
            <w:r>
              <w:t xml:space="preserve">—</w:t>
            </w:r>
          </w:p>
        </w:tc>
        <w:tc>
          <w:tcPr/>
          <w:p>
            <w:pPr>
              <w:pStyle w:val="Compact"/>
              <w:jc w:val="center"/>
            </w:pPr>
            <w:r>
              <w:t xml:space="preserve">Lossy (grid sampling)</w:t>
            </w:r>
          </w:p>
        </w:tc>
        <w:tc>
          <w:tcPr/>
          <w:p>
            <w:pPr>
              <w:pStyle w:val="Compact"/>
              <w:jc w:val="center"/>
            </w:pPr>
            <w:r>
              <w:t xml:space="preserve">Lossy (Marching Cubes)</w:t>
            </w:r>
            <w:r>
              <w:t xml:space="preserve"> </w:t>
            </w:r>
            <w:fldSimple w:instr="NOTEREF _Ref_Footnote_3 \h \f">
              <w:r>
                <w:rPr>
                  <w:vertAlign w:val="superscript"/>
                </w:rPr>
                <w:t>3</w:t>
              </w:r>
            </w:fldSimple>
          </w:p>
        </w:tc>
      </w:tr>
      <w:tr>
        <w:tc>
          <w:tcPr/>
          <w:p>
            <w:pPr>
              <w:pStyle w:val="Compact"/>
              <w:jc w:val="left"/>
            </w:pPr>
            <w:r>
              <w:rPr>
                <w:bCs/>
                <w:b/>
              </w:rPr>
              <w:t xml:space="preserve">Voxel</w:t>
            </w:r>
          </w:p>
        </w:tc>
        <w:tc>
          <w:tcPr/>
          <w:p>
            <w:pPr>
              <w:pStyle w:val="Compact"/>
              <w:jc w:val="center"/>
            </w:pPr>
            <w:r>
              <w:t xml:space="preserve">Lossy (primitive fitting)</w:t>
            </w:r>
          </w:p>
        </w:tc>
        <w:tc>
          <w:tcPr/>
          <w:p>
            <w:pPr>
              <w:pStyle w:val="Compact"/>
              <w:jc w:val="center"/>
            </w:pPr>
            <w:r>
              <w:t xml:space="preserve">Lossy (surf. extraction)</w:t>
            </w:r>
          </w:p>
        </w:tc>
        <w:tc>
          <w:tcPr/>
          <w:p>
            <w:pPr>
              <w:pStyle w:val="Compact"/>
              <w:jc w:val="center"/>
            </w:pPr>
            <w:r>
              <w:t xml:space="preserve">Lossy (SDF estimation)</w:t>
            </w:r>
          </w:p>
        </w:tc>
        <w:tc>
          <w:tcPr/>
          <w:p>
            <w:pPr>
              <w:pStyle w:val="Compact"/>
              <w:jc w:val="center"/>
            </w:pPr>
            <w:r>
              <w:t xml:space="preserve">—</w:t>
            </w:r>
          </w:p>
        </w:tc>
        <w:tc>
          <w:tcPr/>
          <w:p>
            <w:pPr>
              <w:pStyle w:val="Compact"/>
              <w:jc w:val="center"/>
            </w:pPr>
            <w:r>
              <w:t xml:space="preserve">Lossy (Marching Cubes)</w:t>
            </w:r>
            <w:r>
              <w:t xml:space="preserve"> </w:t>
            </w:r>
            <w:r>
              <w:rPr>
                <w:vertAlign w:val="superscript"/>
              </w:rPr>
              <w:footnoteReference w:id="39"/>
            </w:r>
          </w:p>
        </w:tc>
      </w:tr>
      <w:tr>
        <w:tc>
          <w:tcPr/>
          <w:p>
            <w:pPr>
              <w:pStyle w:val="Compact"/>
              <w:jc w:val="left"/>
            </w:pPr>
            <w:r>
              <w:rPr>
                <w:bCs/>
                <w:b/>
              </w:rPr>
              <w:t xml:space="preserve">Mesh</w:t>
            </w:r>
          </w:p>
        </w:tc>
        <w:tc>
          <w:tcPr/>
          <w:p>
            <w:pPr>
              <w:pStyle w:val="Compact"/>
              <w:jc w:val="center"/>
            </w:pPr>
            <w:r>
              <w:t xml:space="preserve">Lossy (reverse eng.)</w:t>
            </w:r>
            <w:r>
              <w:t xml:space="preserve"> </w:t>
            </w:r>
            <w:fldSimple w:instr="NOTEREF _Ref_Footnote_15 \h \f">
              <w:r>
                <w:rPr>
                  <w:vertAlign w:val="superscript"/>
                </w:rPr>
                <w:t>15</w:t>
              </w:r>
            </w:fldSimple>
          </w:p>
        </w:tc>
        <w:tc>
          <w:tcPr/>
          <w:p>
            <w:pPr>
              <w:pStyle w:val="Compact"/>
              <w:jc w:val="center"/>
            </w:pPr>
            <w:r>
              <w:t xml:space="preserve">Lossy (STEP approx.)</w:t>
            </w:r>
          </w:p>
        </w:tc>
        <w:tc>
          <w:tcPr/>
          <w:p>
            <w:pPr>
              <w:pStyle w:val="Compact"/>
              <w:jc w:val="center"/>
            </w:pPr>
            <w:r>
              <w:t xml:space="preserve">Lossy (SDF computation)</w:t>
            </w:r>
          </w:p>
        </w:tc>
        <w:tc>
          <w:tcPr/>
          <w:p>
            <w:pPr>
              <w:pStyle w:val="Compact"/>
              <w:jc w:val="center"/>
            </w:pPr>
            <w:r>
              <w:t xml:space="preserve">Lossy (voxelization)</w:t>
            </w:r>
          </w:p>
        </w:tc>
        <w:tc>
          <w:tcPr/>
          <w:p>
            <w:pPr>
              <w:pStyle w:val="Compact"/>
              <w:jc w:val="center"/>
            </w:pPr>
            <w:r>
              <w:t xml:space="preserve">—</w:t>
            </w:r>
          </w:p>
        </w:tc>
      </w:tr>
    </w:tbl>
    <w:p>
      <w:pPr>
        <w:pStyle w:val="BodyText"/>
      </w:pPr>
      <w:r>
        <w:t xml:space="preserve">The matrix reveals critical structural asymmetries. CSG-to-B-Rep is lossless because Boolean operations map directly to B-Rep Boolean algorithms. The reverse—B-Rep-to-CSG—is generally impossible without reconstruction because B-Rep does not encode construction history. Learning-based approaches attempt CSG tree generation from meshes, but</w:t>
      </w:r>
      <w:r>
        <w:t xml:space="preserve"> </w:t>
      </w:r>
      <w:r>
        <w:t xml:space="preserve">“</w:t>
      </w:r>
      <w:r>
        <w:t xml:space="preserve">these methods are necessary for imprecise input formats and remain unreliable for precision applications</w:t>
      </w:r>
      <w:r>
        <w:t xml:space="preserve">”</w:t>
      </w:r>
      <w:r>
        <w:t xml:space="preserve"> </w:t>
      </w:r>
      <w:fldSimple w:instr="NOTEREF _Ref_Footnote_15 \h \f">
        <w:r>
          <w:rPr>
            <w:vertAlign w:val="superscript"/>
          </w:rPr>
          <w:t>15</w:t>
        </w:r>
      </w:fldSimple>
      <w:r>
        <w:t xml:space="preserve">. SDF-to-mesh conversion through Marching Cubes smooths sharp edges because interpolation schemes cannot represent discontinuities</w:t>
      </w:r>
      <w:r>
        <w:t xml:space="preserve"> </w:t>
      </w:r>
      <w:fldSimple w:instr="NOTEREF _Ref_Footnote_3 \h \f">
        <w:r>
          <w:rPr>
            <w:vertAlign w:val="superscript"/>
          </w:rPr>
          <w:t>3</w:t>
        </w:r>
      </w:fldSimple>
      <w:r>
        <w:t xml:space="preserve">. Marching Neurons (ACM TOG 2025) improves this by analytically tracking surfaces through neuron activations</w:t>
      </w:r>
      <w:r>
        <w:t xml:space="preserve"> </w:t>
      </w:r>
      <w:r>
        <w:rPr>
          <w:vertAlign w:val="superscript"/>
        </w:rPr>
        <w:footnoteReference w:id="40"/>
      </w:r>
      <w:r>
        <w:t xml:space="preserve">, but these remain research-grade rather than production tools. The prevalence of</w:t>
      </w:r>
      <w:r>
        <w:t xml:space="preserve"> </w:t>
      </w:r>
      <w:r>
        <w:t xml:space="preserve">“</w:t>
      </w:r>
      <w:r>
        <w:t xml:space="preserve">lossy</w:t>
      </w:r>
      <w:r>
        <w:t xml:space="preserve">”</w:t>
      </w:r>
      <w:r>
        <w:t xml:space="preserve"> </w:t>
      </w:r>
      <w:r>
        <w:t xml:space="preserve">and</w:t>
      </w:r>
      <w:r>
        <w:t xml:space="preserve"> </w:t>
      </w:r>
      <w:r>
        <w:t xml:space="preserve">“</w:t>
      </w:r>
      <w:r>
        <w:t xml:space="preserve">impossible</w:t>
      </w:r>
      <w:r>
        <w:t xml:space="preserve">”</w:t>
      </w:r>
      <w:r>
        <w:t xml:space="preserve"> </w:t>
      </w:r>
      <w:r>
        <w:t xml:space="preserve">entries in the matrix underscores why multi-representation pipelines remain an unsolved research problem.</w:t>
      </w:r>
    </w:p>
    <w:bookmarkEnd w:id="41"/>
    <w:bookmarkStart w:id="42" w:name="X6cabbff87e4a583b9e8362c7d88ac7c792b3f94"/>
    <w:p>
      <w:pPr>
        <w:pStyle w:val="Heading4"/>
      </w:pPr>
      <w:r>
        <w:t xml:space="preserve">2.2.2 The No-Free-Lunch Theorem for 3D Representations</w:t>
      </w:r>
    </w:p>
    <w:p>
      <w:pPr>
        <w:pStyle w:val="FirstParagraph"/>
      </w:pPr>
      <w:r>
        <w:t xml:space="preserve">The conversion matrix encodes a no-free-lunch theorem: no single representation simultaneously offers the constructibility of CSG, the editability of B-Rep, the detail of SDFs, the spatial reasoning of voxels, and the universality of meshes. The choice forces a commitment to a specific capability set that downstream workflows inherit. Engineering teams that select SDFs for their differentiability discover they cannot export to STEP without loss; teams selecting CSG for its determinism find they cannot represent ergonomic surfaces; teams selecting meshes for their ubiquity sacrifice parametric editability.</w:t>
      </w:r>
    </w:p>
    <w:p>
      <w:pPr>
        <w:pStyle w:val="BodyText"/>
      </w:pPr>
      <w:r>
        <w:rPr>
          <w:bCs/>
          <w:b/>
        </w:rPr>
        <w:t xml:space="preserve">Case Study: Neural Concept’s Physics-Aware Copilot and the Representation Lock-In</w:t>
      </w:r>
    </w:p>
    <w:p>
      <w:pPr>
        <w:pStyle w:val="BodyText"/>
      </w:pPr>
      <w:r>
        <w:t xml:space="preserve">Neural Concept, a Swiss startup that raised $100 million in Series C funding led by Goldman Sachs in May 2026, illustrates how industrial workflows enforce representation constraints. The company’s AI copilot serves 50+ enterprise customers including Subaru, GM, JLR, GE, and four Formula 1 teams.</w:t>
      </w:r>
    </w:p>
    <w:p>
      <w:pPr>
        <w:pStyle w:val="BodyText"/>
      </w:pPr>
      <w:r>
        <w:t xml:space="preserve">In automotive engineering, SDFs offer compelling theoretical advantages: they naturally represent smooth organic surfaces ideal for aerodynamic optimization, and their differentiability enables gradient-based shape optimization with respect to physics objectives (drag coefficient, thermal dissipation). Yet Neural Concept’s copilot generates B-Rep/STEP output, not SDFs. The reason is workflow lock-in: Subaru and JLR’s manufacturing pipelines—CNC machining, injection molding, sheet metal forming—require STEP files. An SDF-optimized surface must be converted to B-Rep through lossy extraction before production, destroying the differentiability that made SDF optimization attractive.</w:t>
      </w:r>
    </w:p>
    <w:p>
      <w:pPr>
        <w:pStyle w:val="BodyText"/>
      </w:pPr>
      <w:r>
        <w:t xml:space="preserve">The JLR case quantifies the operational impact: design evaluations increased from approximately 50 to approximately 1,500 per day—a 30x expansion. But every evaluation operates within B-Rep constraints. The representation is chosen not for generative properties but for downstream compatibility. As the analysis confirms:</w:t>
      </w:r>
      <w:r>
        <w:t xml:space="preserve"> </w:t>
      </w:r>
      <w:r>
        <w:t xml:space="preserve">“</w:t>
      </w:r>
      <w:r>
        <w:t xml:space="preserve">B-Rep/Parametric CAD preferred for Engineering; Mesh for Games/Visualization</w:t>
      </w:r>
      <w:r>
        <w:t xml:space="preserve">”</w:t>
      </w:r>
      <w:r>
        <w:t xml:space="preserve"> </w:t>
      </w:r>
      <w:fldSimple w:instr="NOTEREF _Ref_Footnote_2 \h \f">
        <w:r>
          <w:rPr>
            <w:vertAlign w:val="superscript"/>
          </w:rPr>
          <w:t>2</w:t>
        </w:r>
      </w:fldSimple>
      <w:r>
        <w:t xml:space="preserve">. Organizations deploying AI 3D generation must audit downstream pipeline requirements first, then select the representation that satisfies them—even when alternatives offer superior generative properties.</w:t>
      </w:r>
    </w:p>
    <w:bookmarkEnd w:id="42"/>
    <w:bookmarkEnd w:id="43"/>
    <w:bookmarkStart w:id="46" w:name="representation-selection-framework"/>
    <w:p>
      <w:pPr>
        <w:pStyle w:val="Heading3"/>
      </w:pPr>
      <w:r>
        <w:t xml:space="preserve">2.3 Representation Selection Framework</w:t>
      </w:r>
    </w:p>
    <w:bookmarkStart w:id="44" w:name="Xe3902f0eab05412cda1587b6c52af6c7877b9fc"/>
    <w:p>
      <w:pPr>
        <w:pStyle w:val="Heading4"/>
      </w:pPr>
      <w:r>
        <w:t xml:space="preserve">2.3.1 Decision Tree Matching Representation to Workflow</w:t>
      </w:r>
    </w:p>
    <w:tbl>
      <w:tblPr>
        <w:tblStyle w:val="Table"/>
        <w:tblW w:type="pct" w:w="5000"/>
        <w:tblLook w:firstRow="1" w:lastRow="0" w:firstColumn="0" w:lastColumn="0" w:noHBand="0" w:noVBand="0" w:val="0020"/>
      </w:tblPr>
      <w:tblGrid>
        <w:gridCol w:w="960"/>
        <w:gridCol w:w="960"/>
        <w:gridCol w:w="1200"/>
        <w:gridCol w:w="1200"/>
        <w:gridCol w:w="1200"/>
        <w:gridCol w:w="1200"/>
        <w:gridCol w:w="1200"/>
      </w:tblGrid>
      <w:tr>
        <w:trPr>
          <w:tblHeader w:val="true"/>
        </w:trPr>
        <w:tc>
          <w:tcPr/>
          <w:p>
            <w:pPr>
              <w:pStyle w:val="Compact"/>
              <w:jc w:val="left"/>
            </w:pPr>
            <w:r>
              <w:t xml:space="preserve">Workflow Type</w:t>
            </w:r>
          </w:p>
        </w:tc>
        <w:tc>
          <w:tcPr/>
          <w:p>
            <w:pPr>
              <w:pStyle w:val="Compact"/>
              <w:jc w:val="left"/>
            </w:pPr>
            <w:r>
              <w:t xml:space="preserve">Preferred Repr.</w:t>
            </w:r>
          </w:p>
        </w:tc>
        <w:tc>
          <w:tcPr/>
          <w:p>
            <w:pPr>
              <w:pStyle w:val="Compact"/>
              <w:jc w:val="center"/>
            </w:pPr>
            <w:r>
              <w:t xml:space="preserve">Granularity</w:t>
            </w:r>
          </w:p>
        </w:tc>
        <w:tc>
          <w:tcPr/>
          <w:p>
            <w:pPr>
              <w:pStyle w:val="Compact"/>
              <w:jc w:val="center"/>
            </w:pPr>
            <w:r>
              <w:t xml:space="preserve">Determinism</w:t>
            </w:r>
          </w:p>
        </w:tc>
        <w:tc>
          <w:tcPr/>
          <w:p>
            <w:pPr>
              <w:pStyle w:val="Compact"/>
              <w:jc w:val="center"/>
            </w:pPr>
            <w:r>
              <w:t xml:space="preserve">Editability</w:t>
            </w:r>
          </w:p>
        </w:tc>
        <w:tc>
          <w:tcPr/>
          <w:p>
            <w:pPr>
              <w:pStyle w:val="Compact"/>
              <w:jc w:val="center"/>
            </w:pPr>
            <w:r>
              <w:t xml:space="preserve">Physics Compat.</w:t>
            </w:r>
          </w:p>
        </w:tc>
        <w:tc>
          <w:tcPr/>
          <w:p>
            <w:pPr>
              <w:pStyle w:val="Compact"/>
              <w:jc w:val="center"/>
            </w:pPr>
            <w:r>
              <w:t xml:space="preserve">LLM Complexity</w:t>
            </w:r>
          </w:p>
        </w:tc>
      </w:tr>
      <w:tr>
        <w:tc>
          <w:tcPr/>
          <w:p>
            <w:pPr>
              <w:pStyle w:val="Compact"/>
              <w:jc w:val="left"/>
            </w:pPr>
            <w:r>
              <w:t xml:space="preserve">3D printing (prismatic)</w:t>
            </w:r>
          </w:p>
        </w:tc>
        <w:tc>
          <w:tcPr/>
          <w:p>
            <w:pPr>
              <w:pStyle w:val="Compact"/>
              <w:jc w:val="left"/>
            </w:pPr>
            <w:r>
              <w:t xml:space="preserve">CSG (OpenSCAD)</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Low</w:t>
            </w:r>
          </w:p>
        </w:tc>
      </w:tr>
      <w:tr>
        <w:tc>
          <w:tcPr/>
          <w:p>
            <w:pPr>
              <w:pStyle w:val="Compact"/>
              <w:jc w:val="left"/>
            </w:pPr>
            <w:r>
              <w:t xml:space="preserve">Mechanical engineering</w:t>
            </w:r>
          </w:p>
        </w:tc>
        <w:tc>
          <w:tcPr/>
          <w:p>
            <w:pPr>
              <w:pStyle w:val="Compact"/>
              <w:jc w:val="left"/>
            </w:pPr>
            <w:r>
              <w:t xml:space="preserve">B-Rep (CadQuery)</w:t>
            </w:r>
          </w:p>
        </w:tc>
        <w:tc>
          <w:tcPr/>
          <w:p>
            <w:pPr>
              <w:pStyle w:val="Compact"/>
              <w:jc w:val="center"/>
            </w:pPr>
            <w:r>
              <w:t xml:space="preserve">Very high</w:t>
            </w:r>
          </w:p>
        </w:tc>
        <w:tc>
          <w:tcPr/>
          <w:p>
            <w:pPr>
              <w:pStyle w:val="Compact"/>
              <w:jc w:val="center"/>
            </w:pPr>
            <w:r>
              <w:t xml:space="preserve">High</w:t>
            </w:r>
          </w:p>
        </w:tc>
        <w:tc>
          <w:tcPr/>
          <w:p>
            <w:pPr>
              <w:pStyle w:val="Compact"/>
              <w:jc w:val="center"/>
            </w:pPr>
            <w:r>
              <w:t xml:space="preserve">Very high</w:t>
            </w:r>
          </w:p>
        </w:tc>
        <w:tc>
          <w:tcPr/>
          <w:p>
            <w:pPr>
              <w:pStyle w:val="Compact"/>
              <w:jc w:val="center"/>
            </w:pPr>
            <w:r>
              <w:t xml:space="preserve">High</w:t>
            </w:r>
          </w:p>
        </w:tc>
        <w:tc>
          <w:tcPr/>
          <w:p>
            <w:pPr>
              <w:pStyle w:val="Compact"/>
              <w:jc w:val="center"/>
            </w:pPr>
            <w:r>
              <w:t xml:space="preserve">Medium</w:t>
            </w:r>
          </w:p>
        </w:tc>
      </w:tr>
      <w:tr>
        <w:tc>
          <w:tcPr/>
          <w:p>
            <w:pPr>
              <w:pStyle w:val="Compact"/>
              <w:jc w:val="left"/>
            </w:pPr>
            <w:r>
              <w:t xml:space="preserve">Aero/organic optimization</w:t>
            </w:r>
          </w:p>
        </w:tc>
        <w:tc>
          <w:tcPr/>
          <w:p>
            <w:pPr>
              <w:pStyle w:val="Compact"/>
              <w:jc w:val="left"/>
            </w:pPr>
            <w:r>
              <w:t xml:space="preserve">SDF (Neural Impl.)</w:t>
            </w:r>
          </w:p>
        </w:tc>
        <w:tc>
          <w:tcPr/>
          <w:p>
            <w:pPr>
              <w:pStyle w:val="Compact"/>
              <w:jc w:val="center"/>
            </w:pPr>
            <w:r>
              <w:t xml:space="preserve">Infinite</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Very high</w:t>
            </w:r>
          </w:p>
        </w:tc>
        <w:tc>
          <w:tcPr/>
          <w:p>
            <w:pPr>
              <w:pStyle w:val="Compact"/>
              <w:jc w:val="center"/>
            </w:pPr>
            <w:r>
              <w:t xml:space="preserve">High</w:t>
            </w:r>
          </w:p>
        </w:tc>
      </w:tr>
      <w:tr>
        <w:tc>
          <w:tcPr/>
          <w:p>
            <w:pPr>
              <w:pStyle w:val="Compact"/>
              <w:jc w:val="left"/>
            </w:pPr>
            <w:r>
              <w:t xml:space="preserve">Game asset prototyping</w:t>
            </w:r>
          </w:p>
        </w:tc>
        <w:tc>
          <w:tcPr/>
          <w:p>
            <w:pPr>
              <w:pStyle w:val="Compact"/>
              <w:jc w:val="left"/>
            </w:pPr>
            <w:r>
              <w:t xml:space="preserve">Voxel → Mesh</w:t>
            </w:r>
          </w:p>
        </w:tc>
        <w:tc>
          <w:tcPr/>
          <w:p>
            <w:pPr>
              <w:pStyle w:val="Compact"/>
              <w:jc w:val="center"/>
            </w:pPr>
            <w:r>
              <w:t xml:space="preserve">Low–Med</w:t>
            </w:r>
          </w:p>
        </w:tc>
        <w:tc>
          <w:tcPr/>
          <w:p>
            <w:pPr>
              <w:pStyle w:val="Compact"/>
              <w:jc w:val="center"/>
            </w:pPr>
            <w:r>
              <w:t xml:space="preserve">High</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Low</w:t>
            </w:r>
          </w:p>
        </w:tc>
      </w:tr>
      <w:tr>
        <w:tc>
          <w:tcPr/>
          <w:p>
            <w:pPr>
              <w:pStyle w:val="Compact"/>
              <w:jc w:val="left"/>
            </w:pPr>
            <w:r>
              <w:t xml:space="preserve">Film/VFX hero assets</w:t>
            </w:r>
          </w:p>
        </w:tc>
        <w:tc>
          <w:tcPr/>
          <w:p>
            <w:pPr>
              <w:pStyle w:val="Compact"/>
              <w:jc w:val="left"/>
            </w:pPr>
            <w:r>
              <w:t xml:space="preserve">Mesh (bpy-assisted)</w:t>
            </w:r>
          </w:p>
        </w:tc>
        <w:tc>
          <w:tcPr/>
          <w:p>
            <w:pPr>
              <w:pStyle w:val="Compact"/>
              <w:jc w:val="center"/>
            </w:pPr>
            <w:r>
              <w:t xml:space="preserve">Very high</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N/A</w:t>
            </w:r>
          </w:p>
        </w:tc>
        <w:tc>
          <w:tcPr/>
          <w:p>
            <w:pPr>
              <w:pStyle w:val="Compact"/>
              <w:jc w:val="center"/>
            </w:pPr>
            <w:r>
              <w:t xml:space="preserve">Medium</w:t>
            </w:r>
          </w:p>
        </w:tc>
      </w:tr>
      <w:tr>
        <w:tc>
          <w:tcPr/>
          <w:p>
            <w:pPr>
              <w:pStyle w:val="Compact"/>
              <w:jc w:val="left"/>
            </w:pPr>
            <w:r>
              <w:t xml:space="preserve">Real-time visualization</w:t>
            </w:r>
          </w:p>
        </w:tc>
        <w:tc>
          <w:tcPr/>
          <w:p>
            <w:pPr>
              <w:pStyle w:val="Compact"/>
              <w:jc w:val="left"/>
            </w:pPr>
            <w:r>
              <w:t xml:space="preserve">Mesh (autoregressive)</w:t>
            </w:r>
          </w:p>
        </w:tc>
        <w:tc>
          <w:tcPr/>
          <w:p>
            <w:pPr>
              <w:pStyle w:val="Compact"/>
              <w:jc w:val="center"/>
            </w:pPr>
            <w:r>
              <w:t xml:space="preserve">Medium</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Medium</w:t>
            </w:r>
          </w:p>
        </w:tc>
      </w:tr>
      <w:tr>
        <w:tc>
          <w:tcPr/>
          <w:p>
            <w:pPr>
              <w:pStyle w:val="Compact"/>
              <w:jc w:val="left"/>
            </w:pPr>
            <w:r>
              <w:t xml:space="preserve">Multi-material AM</w:t>
            </w:r>
          </w:p>
        </w:tc>
        <w:tc>
          <w:tcPr/>
          <w:p>
            <w:pPr>
              <w:pStyle w:val="Compact"/>
              <w:jc w:val="left"/>
            </w:pPr>
            <w:r>
              <w:t xml:space="preserve">Voxel (OpenVCAD)</w:t>
            </w:r>
          </w:p>
        </w:tc>
        <w:tc>
          <w:tcPr/>
          <w:p>
            <w:pPr>
              <w:pStyle w:val="Compact"/>
              <w:jc w:val="center"/>
            </w:pPr>
            <w:r>
              <w:t xml:space="preserve">Very high</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High</w:t>
            </w:r>
            <w:r>
              <w:t xml:space="preserve"> </w:t>
            </w:r>
            <w:fldSimple w:instr="NOTEREF _Ref_Footnote_35 \h \f">
              <w:r>
                <w:rPr>
                  <w:vertAlign w:val="superscript"/>
                </w:rPr>
                <w:t>35</w:t>
              </w:r>
            </w:fldSimple>
          </w:p>
        </w:tc>
        <w:tc>
          <w:tcPr/>
          <w:p>
            <w:pPr>
              <w:pStyle w:val="Compact"/>
              <w:jc w:val="center"/>
            </w:pPr>
            <w:r>
              <w:t xml:space="preserve">Medium</w:t>
            </w:r>
          </w:p>
        </w:tc>
      </w:tr>
    </w:tbl>
    <w:p>
      <w:pPr>
        <w:pStyle w:val="BodyText"/>
      </w:pPr>
      <w:r>
        <w:t xml:space="preserve">The framework operates hierarchically. First, determine whether the workflow requires parametric editability. If yes, B-Rep is effectively mandatory—mesh and SDF outputs cannot preserve feature trees. Second, assess whether physics simulation feeds back into the design loop. If yes, SDFs offer unique advantages due to differentiability, but only if the manufacturing pipeline can accept conversion losses. Third, evaluate whether manufacturing-grade precision is required. If yes, CSG and B-Rep are the only viable options; mesh and voxel outputs require post-processing that introduces dimensional uncertainty.</w:t>
      </w:r>
    </w:p>
    <w:p>
      <w:pPr>
        <w:pStyle w:val="BodyText"/>
      </w:pPr>
      <w:r>
        <w:t xml:space="preserve">LLM code complexity varies significantly across representations. CSG’s compact DSL makes it the easiest target—consistent with the 96.5% syntax correctness from</w:t>
      </w:r>
      <w:r>
        <w:t xml:space="preserve"> </w:t>
      </w:r>
      <w:r>
        <w:t xml:space="preserve">“</w:t>
      </w:r>
      <w:r>
        <w:t xml:space="preserve">Don’t Mesh with Me</w:t>
      </w:r>
      <w:r>
        <w:t xml:space="preserve">”</w:t>
      </w:r>
      <w:r>
        <w:t xml:space="preserve"> </w:t>
      </w:r>
      <w:fldSimple w:instr="NOTEREF _Ref_Footnote_15 \h \f">
        <w:r>
          <w:rPr>
            <w:vertAlign w:val="superscript"/>
          </w:rPr>
          <w:t>15</w:t>
        </w:r>
      </w:fldSimple>
      <w:r>
        <w:t xml:space="preserve">. B-Rep through CadQuery benefits from extensive LLM pre-training on Python code. SDF generation demands mathematical sophistication that challenges even capable models. Mesh generation sits in the middle of the complexity spectrum, with autoregressive approaches requiring specialized tokenization and procedural approaches leveraging bpy APIs.</w:t>
      </w:r>
    </w:p>
    <w:bookmarkEnd w:id="44"/>
    <w:bookmarkStart w:id="45" w:name="Xfe0b306140602b97bcc2ae1d102952aa2b4f36a"/>
    <w:p>
      <w:pPr>
        <w:pStyle w:val="Heading4"/>
      </w:pPr>
      <w:r>
        <w:t xml:space="preserve">2.3.2 The Holy Grail: Multi-Representation Systems</w:t>
      </w:r>
    </w:p>
    <w:p>
      <w:pPr>
        <w:pStyle w:val="FirstParagraph"/>
      </w:pPr>
      <w:r>
        <w:t xml:space="preserve">The ideal system would select the optimal encoding for each geometric region—SDFs for smooth organic surfaces, B-Rep for parametric features, voxels for spatial verification—converting seamlessly as workflow demands change. Such a system would be analogous to modern game engines using different Level-of-Detail schemes for near and far objects, but applied to geometric representation rather than tessellation density.</w:t>
      </w:r>
    </w:p>
    <w:p>
      <w:pPr>
        <w:pStyle w:val="BodyText"/>
      </w:pPr>
      <w:r>
        <w:rPr>
          <w:bCs/>
          <w:b/>
        </w:rPr>
        <w:t xml:space="preserve">Case Study: FutureCAD’s BRepGround as Partial Solution</w:t>
      </w:r>
    </w:p>
    <w:p>
      <w:pPr>
        <w:pStyle w:val="BodyText"/>
      </w:pPr>
      <w:r>
        <w:t xml:space="preserve">FutureCAD (ICML 2026) represents the most advanced attempt at multi-representation integration. The system combines an LLM (Qwen2.5-7B-Instruct, fine-tuned with SFT plus reinforcement learning) that generates executable CadQuery scripts with a BRepGround transformer that resolves natural language geometric queries into specific B-Rep primitive selections</w:t>
      </w:r>
      <w:r>
        <w:t xml:space="preserve"> </w:t>
      </w:r>
      <w:fldSimple w:instr="NOTEREF _Ref_Footnote_5 \h \f">
        <w:r>
          <w:rPr>
            <w:vertAlign w:val="superscript"/>
          </w:rPr>
          <w:t>5</w:t>
        </w:r>
      </w:fldSimple>
      <w:r>
        <w:t xml:space="preserve">.</w:t>
      </w:r>
    </w:p>
    <w:p>
      <w:pPr>
        <w:pStyle w:val="BodyText"/>
      </w:pPr>
      <w:r>
        <w:t xml:space="preserve">This architecture addresses a critical paradigm gap: in feature-based CAD, parametric modeling and B-Rep are inherently intertwined because advanced operations—fillets, chamfers, shells—require explicit selection of B-Rep primitives</w:t>
      </w:r>
      <w:r>
        <w:t xml:space="preserve"> </w:t>
      </w:r>
      <w:fldSimple w:instr="NOTEREF _Ref_Footnote_5 \h \f">
        <w:r>
          <w:rPr>
            <w:vertAlign w:val="superscript"/>
          </w:rPr>
          <w:t>5</w:t>
        </w:r>
      </w:fldSimple>
      <w:r>
        <w:t xml:space="preserve">. FutureCAD unifies code generation and primitive selection by enabling the LLM to specify target entities through natural language that BRepGround grounds to actual B-Rep topology. The dataset of 140,000 real-world CAD models includes fillets, chamfers, and shells that previous systems rarely attempted</w:t>
      </w:r>
      <w:r>
        <w:t xml:space="preserve"> </w:t>
      </w:r>
      <w:fldSimple w:instr="NOTEREF _Ref_Footnote_5 \h \f">
        <w:r>
          <w:rPr>
            <w:vertAlign w:val="superscript"/>
          </w:rPr>
          <w:t>5</w:t>
        </w:r>
      </w:fldSimple>
      <w:r>
        <w:t xml:space="preserve">.</w:t>
      </w:r>
    </w:p>
    <w:p>
      <w:pPr>
        <w:pStyle w:val="BodyText"/>
      </w:pPr>
      <w:r>
        <w:t xml:space="preserve">Yet FutureCAD remains a partial solution. It integrates LLM generation with B-Rep grounding but does not incorporate SDFs for organic surfaces, voxels for verification, or meshes for rendering. The system operates entirely within the B-Rep paradigm, unable to exploit the mathematical properties of alternative representations. The research gap is clear: no existing system intelligently chooses representations per-region based on geometric properties and downstream requirements.</w:t>
      </w:r>
    </w:p>
    <w:p>
      <w:pPr>
        <w:pStyle w:val="BodyText"/>
      </w:pPr>
      <w:r>
        <w:t xml:space="preserve">Achieving this will require advances in three areas: (1) representation-conditional LLM fine-tuning enabling a single model to generate code in multiple geometric DSLs; (2) loss-minimizing conversion operators preserving semantic intent across representation boundaries; and (3) workflow-aware orchestration selecting representations based on manufacturing and simulation requirements. These capabilities remain at the research frontier as of mid-2026.</w:t>
      </w:r>
    </w:p>
    <w:p>
      <w:r>
        <w:pict>
          <v:rect style="width:0;height:1.5pt" o:hralign="center" o:hrstd="t" o:hr="t"/>
        </w:pict>
      </w:r>
    </w:p>
    <w:bookmarkEnd w:id="45"/>
    <w:bookmarkEnd w:id="46"/>
    <w:bookmarkEnd w:id="47"/>
    <w:bookmarkStart w:id="63" w:name="X5f8f09f23db7c35f1fa92ec21b929d178eef60b"/>
    <w:p>
      <w:pPr>
        <w:pStyle w:val="Heading2"/>
      </w:pPr>
      <w:r>
        <w:t xml:space="preserve">3. Foundation Models and Fine-Tuning: The Qwen2.5 Ecosystem</w:t>
      </w:r>
    </w:p>
    <w:p>
      <w:pPr>
        <w:pStyle w:val="FirstParagraph"/>
      </w:pPr>
      <w:r>
        <w:t xml:space="preserve">The choice of base language model is the single most consequential architectural decision in an AI-driven CAD pipeline. While representation format (CSG, B-Rep, mesh) determines what the system can express, the foundation model determines how reliably it can be expressed. Across the 2024–2026 research landscape, one family has achieved near-unanimous adoption: Alibaba’s Qwen2.5. This chapter examines why Qwen2.5 became the de facto standard, quantifies the tradeoffs between its 7-billion and 14-billion parameter variants, traces the evolution from supervised fine-tuning (SFT) to reinforcement learning (RL) pipelines, and confronts the uncomfortable reality that simply adding more training data has hit a ceiling on complex geometry tasks.</w:t>
      </w:r>
    </w:p>
    <w:bookmarkStart w:id="50" w:name="qwen2.5-as-the-de-facto-foundation"/>
    <w:p>
      <w:pPr>
        <w:pStyle w:val="Heading3"/>
      </w:pPr>
      <w:r>
        <w:t xml:space="preserve">3.1 Qwen2.5 as the De Facto Foundation</w:t>
      </w:r>
    </w:p>
    <w:bookmarkStart w:id="48" w:name="why-qwen2.5-won"/>
    <w:p>
      <w:pPr>
        <w:pStyle w:val="Heading4"/>
      </w:pPr>
      <w:r>
        <w:t xml:space="preserve">3.1.1 Why Qwen2.5 Won</w:t>
      </w:r>
    </w:p>
    <w:p>
      <w:pPr>
        <w:pStyle w:val="FirstParagraph"/>
      </w:pPr>
      <w:r>
        <w:t xml:space="preserve">The Qwen2.5 family’s dominance is not a matter of marginal preference—it is a field-wide consensus spanning eight or more independent research projects on three continents. CADmium (Mila / Polytechnique Montreal, Canada) fine-tunes Qwen2.5-Coder-14B</w:t>
      </w:r>
      <w:r>
        <w:t xml:space="preserve"> </w:t>
      </w:r>
      <w:r>
        <w:rPr>
          <w:vertAlign w:val="superscript"/>
        </w:rPr>
        <w:footnoteReference w:id="41"/>
      </w:r>
      <w:r>
        <w:t xml:space="preserve">. FutureCAD (Fudan University, China) uses Qwen2.5-7B-Instruct</w:t>
      </w:r>
      <w:r>
        <w:t xml:space="preserve"> </w:t>
      </w:r>
      <w:r>
        <w:rPr>
          <w:vertAlign w:val="superscript"/>
        </w:rPr>
        <w:footnoteReference w:id="42"/>
      </w:r>
      <w:r>
        <w:t xml:space="preserve">. ReCAD (Fudan) uses Qwen2.5-VL-7B-Instruct</w:t>
      </w:r>
      <w:r>
        <w:t xml:space="preserve"> </w:t>
      </w:r>
      <w:r>
        <w:rPr>
          <w:vertAlign w:val="superscript"/>
        </w:rPr>
        <w:footnoteReference w:id="43"/>
      </w:r>
      <w:r>
        <w:t xml:space="preserve">. Beihang CAD-Coder (Beihang University, China) uses Qwen2.5-7B-Instruct</w:t>
      </w:r>
      <w:r>
        <w:t xml:space="preserve"> </w:t>
      </w:r>
      <w:r>
        <w:rPr>
          <w:vertAlign w:val="superscript"/>
        </w:rPr>
        <w:footnoteReference w:id="44"/>
      </w:r>
      <w:r>
        <w:t xml:space="preserve">. ToolCAD, CAD-RL, NURBGen, and BlenderLLM all converge on Qwen2.5 variants</w:t>
      </w:r>
      <w:r>
        <w:t xml:space="preserve"> </w:t>
      </w:r>
      <w:r>
        <w:rPr>
          <w:vertAlign w:val="superscript"/>
        </w:rPr>
        <w:footnoteReference w:id="45"/>
      </w:r>
      <w:r>
        <w:t xml:space="preserve"> </w:t>
      </w:r>
      <w:r>
        <w:rPr>
          <w:vertAlign w:val="superscript"/>
        </w:rPr>
        <w:footnoteReference w:id="46"/>
      </w:r>
      <w:r>
        <w:t xml:space="preserve"> </w:t>
      </w:r>
      <w:r>
        <w:rPr>
          <w:vertAlign w:val="superscript"/>
        </w:rPr>
        <w:footnoteReference w:id="47"/>
      </w:r>
      <w:r>
        <w:t xml:space="preserve">. Even MIT’s CAD-Coder, which originally used Vicuna-13B, found that its Qwen2.5-14B variant suffered only from context-length truncation issues—not from inferior base capability</w:t>
      </w:r>
      <w:r>
        <w:t xml:space="preserve"> </w:t>
      </w:r>
      <w:r>
        <w:rPr>
          <w:vertAlign w:val="superscript"/>
        </w:rPr>
        <w:footnoteReference w:id="48"/>
      </w:r>
      <w:r>
        <w:t xml:space="preserve">.</w:t>
      </w:r>
    </w:p>
    <w:p>
      <w:pPr>
        <w:pStyle w:val="BodyText"/>
      </w:pPr>
      <w:r>
        <w:t xml:space="preserve">Three technical properties explain this convergence. First, Qwen2.5-Coder is pretrained on 5.5 trillion tokens encompassing source code, text-code grounding data, and synthetic programming problems</w:t>
      </w:r>
      <w:r>
        <w:t xml:space="preserve"> </w:t>
      </w:r>
      <w:r>
        <w:rPr>
          <w:vertAlign w:val="superscript"/>
        </w:rPr>
        <w:footnoteReference w:id="49"/>
      </w:r>
      <w:r>
        <w:t xml:space="preserve">. This code-centric corpus directly aligns with the programmatic CAD generation paradigm—models that generate CadQuery or OpenSCAD scripts benefit from pretraining on analogous structured code. Second, the 128,000-token context window (131,072 for the 14B variant) accommodates the lengthy scripts required for multi-feature mechanical parts, where simpler models truncate mid-command</w:t>
      </w:r>
      <w:r>
        <w:t xml:space="preserve"> </w:t>
      </w:r>
      <w:fldSimple w:instr="NOTEREF _Ref_Footnote_48 \h \f">
        <w:r>
          <w:rPr>
            <w:vertAlign w:val="superscript"/>
          </w:rPr>
          <w:t>48</w:t>
        </w:r>
      </w:fldSimple>
      <w:r>
        <w:t xml:space="preserve">. Third, the Apache 2.0 license</w:t>
      </w:r>
      <w:r>
        <w:t xml:space="preserve"> </w:t>
      </w:r>
      <w:r>
        <w:rPr>
          <w:vertAlign w:val="superscript"/>
        </w:rPr>
        <w:footnoteReference w:id="50"/>
      </w:r>
      <w:r>
        <w:t xml:space="preserve">enables unrestricted commercial and research use, a decisive advantage over models with more restrictive terms.</w:t>
      </w:r>
    </w:p>
    <w:p>
      <w:pPr>
        <w:pStyle w:val="BodyText"/>
      </w:pPr>
      <w:r>
        <w:rPr>
          <w:bCs/>
          <w:b/>
        </w:rPr>
        <w:t xml:space="preserve">Table 1: Foundation Model Comparison for CAD Code Generation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Property</w:t>
            </w:r>
          </w:p>
        </w:tc>
        <w:tc>
          <w:tcPr/>
          <w:p>
            <w:pPr>
              <w:pStyle w:val="Compact"/>
              <w:jc w:val="left"/>
            </w:pPr>
            <w:r>
              <w:t xml:space="preserve">Qwen2.5-7B</w:t>
            </w:r>
          </w:p>
        </w:tc>
        <w:tc>
          <w:tcPr/>
          <w:p>
            <w:pPr>
              <w:pStyle w:val="Compact"/>
              <w:jc w:val="left"/>
            </w:pPr>
            <w:r>
              <w:t xml:space="preserve">Qwen2.5-14B</w:t>
            </w:r>
          </w:p>
        </w:tc>
        <w:tc>
          <w:tcPr/>
          <w:p>
            <w:pPr>
              <w:pStyle w:val="Compact"/>
              <w:jc w:val="left"/>
            </w:pPr>
            <w:r>
              <w:t xml:space="preserve">LLaMA-3-8B</w:t>
            </w:r>
          </w:p>
        </w:tc>
        <w:tc>
          <w:tcPr/>
          <w:p>
            <w:pPr>
              <w:pStyle w:val="Compact"/>
              <w:jc w:val="left"/>
            </w:pPr>
            <w:r>
              <w:t xml:space="preserve">GPT-4o</w:t>
            </w:r>
          </w:p>
        </w:tc>
        <w:tc>
          <w:tcPr/>
          <w:p>
            <w:pPr>
              <w:pStyle w:val="Compact"/>
              <w:jc w:val="left"/>
            </w:pPr>
            <w:r>
              <w:t xml:space="preserve">Gemini-1.5-Pro</w:t>
            </w:r>
          </w:p>
        </w:tc>
      </w:tr>
      <w:tr>
        <w:tc>
          <w:tcPr/>
          <w:p>
            <w:pPr>
              <w:pStyle w:val="Compact"/>
              <w:jc w:val="left"/>
            </w:pPr>
            <w:r>
              <w:t xml:space="preserve">Pretraining Code Tokens</w:t>
            </w:r>
          </w:p>
        </w:tc>
        <w:tc>
          <w:tcPr/>
          <w:p>
            <w:pPr>
              <w:pStyle w:val="Compact"/>
              <w:jc w:val="left"/>
            </w:pPr>
            <w:r>
              <w:t xml:space="preserve">5.5T</w:t>
            </w:r>
            <w:r>
              <w:t xml:space="preserve"> </w:t>
            </w:r>
            <w:fldSimple w:instr="NOTEREF _Ref_Footnote_49 \h \f">
              <w:r>
                <w:rPr>
                  <w:vertAlign w:val="superscript"/>
                </w:rPr>
                <w:t>49</w:t>
              </w:r>
            </w:fldSimple>
          </w:p>
        </w:tc>
        <w:tc>
          <w:tcPr/>
          <w:p>
            <w:pPr>
              <w:pStyle w:val="Compact"/>
              <w:jc w:val="left"/>
            </w:pPr>
            <w:r>
              <w:t xml:space="preserve">5.5T</w:t>
            </w:r>
            <w:r>
              <w:t xml:space="preserve"> </w:t>
            </w:r>
            <w:fldSimple w:instr="NOTEREF _Ref_Footnote_49 \h \f">
              <w:r>
                <w:rPr>
                  <w:vertAlign w:val="superscript"/>
                </w:rPr>
                <w:t>49</w:t>
              </w:r>
            </w:fldSimple>
          </w:p>
        </w:tc>
        <w:tc>
          <w:tcPr/>
          <w:p>
            <w:pPr>
              <w:pStyle w:val="Compact"/>
              <w:jc w:val="left"/>
            </w:pPr>
            <w:r>
              <w:t xml:space="preserve">~15T (mixed)</w:t>
            </w:r>
          </w:p>
        </w:tc>
        <w:tc>
          <w:tcPr/>
          <w:p>
            <w:pPr>
              <w:pStyle w:val="Compact"/>
              <w:jc w:val="left"/>
            </w:pPr>
            <w:r>
              <w:t xml:space="preserve">Undisclosed</w:t>
            </w:r>
          </w:p>
        </w:tc>
        <w:tc>
          <w:tcPr/>
          <w:p>
            <w:pPr>
              <w:pStyle w:val="Compact"/>
              <w:jc w:val="left"/>
            </w:pPr>
            <w:r>
              <w:t xml:space="preserve">Undisclosed</w:t>
            </w:r>
          </w:p>
        </w:tc>
      </w:tr>
      <w:tr>
        <w:tc>
          <w:tcPr/>
          <w:p>
            <w:pPr>
              <w:pStyle w:val="Compact"/>
              <w:jc w:val="left"/>
            </w:pPr>
            <w:r>
              <w:t xml:space="preserve">Context Window</w:t>
            </w:r>
          </w:p>
        </w:tc>
        <w:tc>
          <w:tcPr/>
          <w:p>
            <w:pPr>
              <w:pStyle w:val="Compact"/>
              <w:jc w:val="left"/>
            </w:pPr>
            <w:r>
              <w:t xml:space="preserve">128K</w:t>
            </w:r>
          </w:p>
        </w:tc>
        <w:tc>
          <w:tcPr/>
          <w:p>
            <w:pPr>
              <w:pStyle w:val="Compact"/>
              <w:jc w:val="left"/>
            </w:pPr>
            <w:r>
              <w:t xml:space="preserve">131K</w:t>
            </w:r>
          </w:p>
        </w:tc>
        <w:tc>
          <w:tcPr/>
          <w:p>
            <w:pPr>
              <w:pStyle w:val="Compact"/>
              <w:jc w:val="left"/>
            </w:pPr>
            <w:r>
              <w:t xml:space="preserve">8K</w:t>
            </w:r>
          </w:p>
        </w:tc>
        <w:tc>
          <w:tcPr/>
          <w:p>
            <w:pPr>
              <w:pStyle w:val="Compact"/>
              <w:jc w:val="left"/>
            </w:pPr>
            <w:r>
              <w:t xml:space="preserve">128K</w:t>
            </w:r>
          </w:p>
        </w:tc>
        <w:tc>
          <w:tcPr/>
          <w:p>
            <w:pPr>
              <w:pStyle w:val="Compact"/>
              <w:jc w:val="left"/>
            </w:pPr>
            <w:r>
              <w:t xml:space="preserve">2M</w:t>
            </w:r>
          </w:p>
        </w:tc>
      </w:tr>
      <w:tr>
        <w:tc>
          <w:tcPr/>
          <w:p>
            <w:pPr>
              <w:pStyle w:val="Compact"/>
              <w:jc w:val="left"/>
            </w:pPr>
            <w:r>
              <w:t xml:space="preserve">License</w:t>
            </w:r>
          </w:p>
        </w:tc>
        <w:tc>
          <w:tcPr/>
          <w:p>
            <w:pPr>
              <w:pStyle w:val="Compact"/>
              <w:jc w:val="left"/>
            </w:pPr>
            <w:r>
              <w:t xml:space="preserve">Apache 2.0</w:t>
            </w:r>
            <w:r>
              <w:t xml:space="preserve"> </w:t>
            </w:r>
            <w:fldSimple w:instr="NOTEREF _Ref_Footnote_50 \h \f">
              <w:r>
                <w:rPr>
                  <w:vertAlign w:val="superscript"/>
                </w:rPr>
                <w:t>50</w:t>
              </w:r>
            </w:fldSimple>
          </w:p>
        </w:tc>
        <w:tc>
          <w:tcPr/>
          <w:p>
            <w:pPr>
              <w:pStyle w:val="Compact"/>
              <w:jc w:val="left"/>
            </w:pPr>
            <w:r>
              <w:t xml:space="preserve">Apache 2.0</w:t>
            </w:r>
            <w:r>
              <w:t xml:space="preserve"> </w:t>
            </w:r>
            <w:fldSimple w:instr="NOTEREF _Ref_Footnote_50 \h \f">
              <w:r>
                <w:rPr>
                  <w:vertAlign w:val="superscript"/>
                </w:rPr>
                <w:t>50</w:t>
              </w:r>
            </w:fldSimple>
          </w:p>
        </w:tc>
        <w:tc>
          <w:tcPr/>
          <w:p>
            <w:pPr>
              <w:pStyle w:val="Compact"/>
              <w:jc w:val="left"/>
            </w:pPr>
            <w:r>
              <w:t xml:space="preserve">LLaMA 3.1</w:t>
            </w:r>
          </w:p>
        </w:tc>
        <w:tc>
          <w:tcPr/>
          <w:p>
            <w:pPr>
              <w:pStyle w:val="Compact"/>
              <w:jc w:val="left"/>
            </w:pPr>
            <w:r>
              <w:t xml:space="preserve">Proprietary</w:t>
            </w:r>
          </w:p>
        </w:tc>
        <w:tc>
          <w:tcPr/>
          <w:p>
            <w:pPr>
              <w:pStyle w:val="Compact"/>
              <w:jc w:val="left"/>
            </w:pPr>
            <w:r>
              <w:t xml:space="preserve">Proprietary</w:t>
            </w:r>
          </w:p>
        </w:tc>
      </w:tr>
      <w:tr>
        <w:tc>
          <w:tcPr/>
          <w:p>
            <w:pPr>
              <w:pStyle w:val="Compact"/>
              <w:jc w:val="left"/>
            </w:pPr>
            <w:r>
              <w:t xml:space="preserve">CAD Fine-Tuning Results</w:t>
            </w:r>
          </w:p>
        </w:tc>
        <w:tc>
          <w:tcPr/>
          <w:p>
            <w:pPr>
              <w:pStyle w:val="Compact"/>
              <w:jc w:val="left"/>
            </w:pPr>
            <w:r>
              <w:t xml:space="preserve">63.9% success (ToolCAD)</w:t>
            </w:r>
            <w:r>
              <w:t xml:space="preserve"> </w:t>
            </w:r>
            <w:fldSimple w:instr="NOTEREF _Ref_Footnote_47 \h \f">
              <w:r>
                <w:rPr>
                  <w:vertAlign w:val="superscript"/>
                </w:rPr>
                <w:t>47</w:t>
              </w:r>
            </w:fldSimple>
          </w:p>
        </w:tc>
        <w:tc>
          <w:tcPr/>
          <w:p>
            <w:pPr>
              <w:pStyle w:val="Compact"/>
              <w:jc w:val="left"/>
            </w:pPr>
            <w:r>
              <w:t xml:space="preserve">12.58% IR (CADmium)</w:t>
            </w:r>
            <w:r>
              <w:t xml:space="preserve"> </w:t>
            </w:r>
            <w:fldSimple w:instr="NOTEREF _Ref_Footnote_41 \h \f">
              <w:r>
                <w:rPr>
                  <w:vertAlign w:val="superscript"/>
                </w:rPr>
                <w:t>41</w:t>
              </w:r>
            </w:fldSimple>
          </w:p>
        </w:tc>
        <w:tc>
          <w:tcPr/>
          <w:p>
            <w:pPr>
              <w:pStyle w:val="Compact"/>
              <w:jc w:val="left"/>
            </w:pPr>
            <w:r>
              <w:t xml:space="preserve">63.58% avg (CAD-Llama)</w:t>
            </w:r>
            <w:r>
              <w:t xml:space="preserve"> </w:t>
            </w:r>
            <w:r>
              <w:rPr>
                <w:vertAlign w:val="superscript"/>
              </w:rPr>
              <w:footnoteReference w:id="51"/>
            </w:r>
          </w:p>
        </w:tc>
        <w:tc>
          <w:tcPr/>
          <w:p>
            <w:pPr>
              <w:pStyle w:val="Compact"/>
              <w:jc w:val="left"/>
            </w:pPr>
            <w:r>
              <w:t xml:space="preserve">41.75% IOU OOD</w:t>
            </w:r>
            <w:r>
              <w:t xml:space="preserve"> </w:t>
            </w:r>
            <w:r>
              <w:rPr>
                <w:vertAlign w:val="superscript"/>
              </w:rPr>
              <w:footnoteReference w:id="52"/>
            </w:r>
          </w:p>
        </w:tc>
        <w:tc>
          <w:tcPr/>
          <w:p>
            <w:pPr>
              <w:pStyle w:val="Compact"/>
              <w:jc w:val="left"/>
            </w:pPr>
            <w:r>
              <w:t xml:space="preserve">19.5% shape (VoxelCode)</w:t>
            </w:r>
          </w:p>
        </w:tc>
      </w:tr>
      <w:tr>
        <w:tc>
          <w:tcPr/>
          <w:p>
            <w:pPr>
              <w:pStyle w:val="Compact"/>
              <w:jc w:val="left"/>
            </w:pPr>
            <w:r>
              <w:t xml:space="preserve">Primary CAD Users</w:t>
            </w:r>
          </w:p>
        </w:tc>
        <w:tc>
          <w:tcPr/>
          <w:p>
            <w:pPr>
              <w:pStyle w:val="Compact"/>
              <w:jc w:val="left"/>
            </w:pPr>
            <w:r>
              <w:t xml:space="preserve">FutureCAD, ReCAD, ToolCAD, Beihang CAD-Coder</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w:t>
            </w:r>
            <w:fldSimple w:instr="NOTEREF _Ref_Footnote_44 \h \f">
              <w:r>
                <w:rPr>
                  <w:vertAlign w:val="superscript"/>
                </w:rPr>
                <w:t>44</w:t>
              </w:r>
            </w:fldSimple>
          </w:p>
        </w:tc>
        <w:tc>
          <w:tcPr/>
          <w:p>
            <w:pPr>
              <w:pStyle w:val="Compact"/>
              <w:jc w:val="left"/>
            </w:pPr>
            <w:r>
              <w:t xml:space="preserve">CADmium, MIT CAD-Coder</w:t>
            </w:r>
            <w:r>
              <w:t xml:space="preserve"> </w:t>
            </w:r>
            <w:fldSimple w:instr="NOTEREF _Ref_Footnote_41 \h \f">
              <w:r>
                <w:rPr>
                  <w:vertAlign w:val="superscript"/>
                </w:rPr>
                <w:t>41</w:t>
              </w:r>
            </w:fldSimple>
            <w:r>
              <w:t xml:space="preserve"> </w:t>
            </w:r>
            <w:fldSimple w:instr="NOTEREF _Ref_Footnote_48 \h \f">
              <w:r>
                <w:rPr>
                  <w:vertAlign w:val="superscript"/>
                </w:rPr>
                <w:t>48</w:t>
              </w:r>
            </w:fldSimple>
          </w:p>
        </w:tc>
        <w:tc>
          <w:tcPr/>
          <w:p>
            <w:pPr>
              <w:pStyle w:val="Compact"/>
              <w:jc w:val="left"/>
            </w:pPr>
            <w:r>
              <w:t xml:space="preserve">CAD-Llama</w:t>
            </w:r>
            <w:r>
              <w:t xml:space="preserve"> </w:t>
            </w:r>
            <w:fldSimple w:instr="NOTEREF _Ref_Footnote_51 \h \f">
              <w:r>
                <w:rPr>
                  <w:vertAlign w:val="superscript"/>
                </w:rPr>
                <w:t>51</w:t>
              </w:r>
            </w:fldSimple>
          </w:p>
        </w:tc>
        <w:tc>
          <w:tcPr/>
          <w:p>
            <w:pPr>
              <w:pStyle w:val="Compact"/>
              <w:jc w:val="left"/>
            </w:pPr>
            <w:r>
              <w:t xml:space="preserve">Baseline only</w:t>
            </w:r>
          </w:p>
        </w:tc>
        <w:tc>
          <w:tcPr/>
          <w:p>
            <w:pPr>
              <w:pStyle w:val="Compact"/>
              <w:jc w:val="left"/>
            </w:pPr>
            <w:r>
              <w:t xml:space="preserve">Baseline only</w:t>
            </w:r>
          </w:p>
        </w:tc>
      </w:tr>
      <w:tr>
        <w:tc>
          <w:tcPr/>
          <w:p>
            <w:pPr>
              <w:pStyle w:val="Compact"/>
              <w:jc w:val="left"/>
            </w:pPr>
            <w:r>
              <w:t xml:space="preserve">Inference Cost (relative)</w:t>
            </w:r>
          </w:p>
        </w:tc>
        <w:tc>
          <w:tcPr/>
          <w:p>
            <w:pPr>
              <w:pStyle w:val="Compact"/>
              <w:jc w:val="left"/>
            </w:pPr>
            <w:r>
              <w:t xml:space="preserve">1.0×</w:t>
            </w:r>
          </w:p>
        </w:tc>
        <w:tc>
          <w:tcPr/>
          <w:p>
            <w:pPr>
              <w:pStyle w:val="Compact"/>
              <w:jc w:val="left"/>
            </w:pPr>
            <w:r>
              <w:t xml:space="preserve">~1.8×</w:t>
            </w:r>
          </w:p>
        </w:tc>
        <w:tc>
          <w:tcPr/>
          <w:p>
            <w:pPr>
              <w:pStyle w:val="Compact"/>
              <w:jc w:val="left"/>
            </w:pPr>
            <w:r>
              <w:t xml:space="preserve">1.1×</w:t>
            </w:r>
          </w:p>
        </w:tc>
        <w:tc>
          <w:tcPr/>
          <w:p>
            <w:pPr>
              <w:pStyle w:val="Compact"/>
              <w:jc w:val="left"/>
            </w:pPr>
            <w:r>
              <w:t xml:space="preserve">15–30× (API)</w:t>
            </w:r>
          </w:p>
        </w:tc>
        <w:tc>
          <w:tcPr/>
          <w:p>
            <w:pPr>
              <w:pStyle w:val="Compact"/>
              <w:jc w:val="left"/>
            </w:pPr>
            <w:r>
              <w:t xml:space="preserve">12–25× (API)</w:t>
            </w:r>
          </w:p>
        </w:tc>
      </w:tr>
    </w:tbl>
    <w:p>
      <w:pPr>
        <w:pStyle w:val="BodyText"/>
      </w:pPr>
      <w:r>
        <w:t xml:space="preserve">The performance data reveal a consistent pattern: fine-tuned open-source models in the 7B–14B range outperform or match much larger proprietary models on CAD-specific tasks. ToolCAD’s fine-tuned Qwen2.5-7B achieves a 63.9% average modeling success ratio, surpassing GPT-4o even when the latter is enhanced with optimized ReAct CAD-CoT prompting (which improves GPT-4o by 14.3 percentage points but still leaves it short of the fine-tuned 7B model)</w:t>
      </w:r>
      <w:r>
        <w:t xml:space="preserve"> </w:t>
      </w:r>
      <w:fldSimple w:instr="NOTEREF _Ref_Footnote_47 \h \f">
        <w:r>
          <w:rPr>
            <w:vertAlign w:val="superscript"/>
          </w:rPr>
          <w:t>47</w:t>
        </w:r>
      </w:fldSimple>
      <w:r>
        <w:t xml:space="preserve">. CAD-Coder (fine-tuned Vicuna-13B) attains a 100% valid syntax rate (VSR) on its test subset versus GPT-4.5 at 84% and Qwen2.5-VL-72B at 94%</w:t>
      </w:r>
      <w:r>
        <w:t xml:space="preserve"> </w:t>
      </w:r>
      <w:fldSimple w:instr="NOTEREF _Ref_Footnote_48 \h \f">
        <w:r>
          <w:rPr>
            <w:vertAlign w:val="superscript"/>
          </w:rPr>
          <w:t>48</w:t>
        </w:r>
      </w:fldSimple>
      <w:r>
        <w:t xml:space="preserve">. CAD-Llama-INS surpasses GPT-4 by 15.7% on average across CAD-related tasks</w:t>
      </w:r>
      <w:r>
        <w:t xml:space="preserve"> </w:t>
      </w:r>
      <w:fldSimple w:instr="NOTEREF _Ref_Footnote_51 \h \f">
        <w:r>
          <w:rPr>
            <w:vertAlign w:val="superscript"/>
          </w:rPr>
          <w:t>51</w:t>
        </w:r>
      </w:fldSimple>
      <w:r>
        <w:t xml:space="preserve">. The pattern holds across institutions, model sizes, and CAD representation formats: domain-specific fine-tuning on a code-optimized base model delivers more capability than raw scale alone.</w:t>
      </w:r>
    </w:p>
    <w:bookmarkEnd w:id="48"/>
    <w:bookmarkStart w:id="49" w:name="the-geopolitical-tension"/>
    <w:p>
      <w:pPr>
        <w:pStyle w:val="Heading4"/>
      </w:pPr>
      <w:r>
        <w:t xml:space="preserve">3.1.2 The Geopolitical Tension</w:t>
      </w:r>
    </w:p>
    <w:p>
      <w:pPr>
        <w:pStyle w:val="FirstParagraph"/>
      </w:pPr>
      <w:r>
        <w:t xml:space="preserve">The base models driving CAD innovation are overwhelmingly Chinese in origin, while the CAD software being automated is overwhelmingly Western. Qwen2.5 (Alibaba) and DeepSeek-R1 (DeepSeek) power research at MIT, Mila, Microsoft, and institutions across Europe and North America. Yet the commercial CAD ecosystem—Autodesk Fusion 360, Dassault Systèmes CATIA, Siemens NX, PTC Creo—remains Western-controlled. This creates an unprecedented geopolitical-technical dependency: Western CAD vendors and their customers are becoming reliant on Chinese foundation models for AI-driven automation pipelines.</w:t>
      </w:r>
    </w:p>
    <w:p>
      <w:pPr>
        <w:pStyle w:val="BodyText"/>
      </w:pPr>
      <w:r>
        <w:t xml:space="preserve">The divergence is already visible in vendor strategies. Dassault’s NETVIBES copilot uses Mistral (French), while Siemens’ Industrial Copilot uses Microsoft Phi-3 (US)</w:t>
      </w:r>
      <w:r>
        <w:t xml:space="preserve"> </w:t>
      </w:r>
      <w:fldSimple w:instr="NOTEREF _Ref_Footnote_2 \h \f">
        <w:r>
          <w:rPr>
            <w:vertAlign w:val="superscript"/>
          </w:rPr>
          <w:t>2</w:t>
        </w:r>
      </w:fldSimple>
      <w:r>
        <w:t xml:space="preserve">. Neither has announced Qwen-based integrations, despite the model’s demonstrably superior performance for CAD-specific tasks. Western CAD vendors appear to be making geopolitically motivated model choices that sacrifice capability for supply-chain security. If geopolitical tensions were to restrict access to Chinese foundation models, the entire Western text-to-CAD research pipeline would need retraining on alternative bases—a transition estimated to degrade performance by 15–30% based on the gap between Qwen2.5 and LLaMA-3 results in Table 1. Conversely, Chinese CAD startups such as AdamCAD and Meshy may hold an underappreciated technical advantage in unrestricted model access.</w:t>
      </w:r>
    </w:p>
    <w:bookmarkEnd w:id="49"/>
    <w:bookmarkEnd w:id="50"/>
    <w:bookmarkStart w:id="56" w:name="the-7b-vs.-14b-tradeoff"/>
    <w:p>
      <w:pPr>
        <w:pStyle w:val="Heading3"/>
      </w:pPr>
      <w:r>
        <w:t xml:space="preserve">3.2 The 7B vs. 14B Tradeoff</w:t>
      </w:r>
    </w:p>
    <w:bookmarkStart w:id="51" w:name="X84954e53a611e12035f09189dceb3c15defb2f1"/>
    <w:p>
      <w:pPr>
        <w:pStyle w:val="Heading4"/>
      </w:pPr>
      <w:r>
        <w:t xml:space="preserve">3.2.1 Efficiency Sweet Spot: Why 7B Models Dominate</w:t>
      </w:r>
    </w:p>
    <w:p>
      <w:pPr>
        <w:pStyle w:val="FirstParagraph"/>
      </w:pPr>
      <w:r>
        <w:t xml:space="preserve">The 7-billion parameter variant has emerged as the practical standard for production CAD pipelines. FutureCAD, ReCAD, Beihang CAD-Coder, ToolCAD, and BlenderLLM all converge on 7B models</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w:t>
      </w:r>
      <w:fldSimple w:instr="NOTEREF _Ref_Footnote_44 \h \f">
        <w:r>
          <w:rPr>
            <w:vertAlign w:val="superscript"/>
          </w:rPr>
          <w:t>44</w:t>
        </w:r>
      </w:fldSimple>
      <w:r>
        <w:t xml:space="preserve"> </w:t>
      </w:r>
      <w:fldSimple w:instr="NOTEREF _Ref_Footnote_47 \h \f">
        <w:r>
          <w:rPr>
            <w:vertAlign w:val="superscript"/>
          </w:rPr>
          <w:t>47</w:t>
        </w:r>
      </w:fldSimple>
      <w:r>
        <w:t xml:space="preserve">. The reasons are economic and operational as much as technical: a 7B model trains in roughly 8 hours on four A100 GPUs (for SFT), infers at acceptable latency for interactive workflows, and fits comfortably within the 128K context window for all but the most complex multi-part assemblies. Local deployment becomes feasible—an increasingly important consideration for engineering firms handling proprietary geometry that cannot transit third-party APIs. The 7B size also leaves meaningful headroom within GPU memory for the auxiliary components (B-Rep grounding transformers, renderers, VLM judges) that multi-agent pipelines require.</w:t>
      </w:r>
    </w:p>
    <w:bookmarkEnd w:id="51"/>
    <w:bookmarkStart w:id="55" w:name="X7da95543e02a8f577fef78442120a7052668808"/>
    <w:p>
      <w:pPr>
        <w:pStyle w:val="Heading4"/>
      </w:pPr>
      <w:r>
        <w:t xml:space="preserve">3.2.2 Quality Optimum: When 14B Justifies the Cost</w:t>
      </w:r>
    </w:p>
    <w:p>
      <w:pPr>
        <w:pStyle w:val="FirstParagraph"/>
      </w:pPr>
      <w:r>
        <w:t xml:space="preserve">The 14B variant, however, delivers measurably superior geometric fidelity. CADmium provides the most comprehensive ablation study, systematically training identical LoRA configurations (rank=64, alpha=32) across 1.5B, 3B, 7B, and 14B parameter sizes on 176,017 annotated CAD sequences</w:t>
      </w:r>
      <w:r>
        <w:t xml:space="preserve"> </w:t>
      </w:r>
      <w:r>
        <w:rPr>
          <w:vertAlign w:val="superscript"/>
        </w:rPr>
        <w:footnoteReference w:id="53"/>
      </w:r>
      <w:r>
        <w:t xml:space="preserve">.</w:t>
      </w:r>
    </w:p>
    <w:p>
      <w:pPr>
        <w:pStyle w:val="BodyText"/>
      </w:pPr>
      <w:r>
        <w:rPr>
          <w:bCs/>
          <w:b/>
        </w:rPr>
        <w:t xml:space="preserve">Table 2: Model Size vs. Performance on Key CAD Benchmarks (CADmium Ablation)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 Size</w:t>
            </w:r>
          </w:p>
        </w:tc>
        <w:tc>
          <w:tcPr/>
          <w:p>
            <w:pPr>
              <w:pStyle w:val="Compact"/>
              <w:jc w:val="left"/>
            </w:pPr>
            <w:r>
              <w:t xml:space="preserve">IR (CADmium Test)</w:t>
            </w:r>
          </w:p>
        </w:tc>
        <w:tc>
          <w:tcPr/>
          <w:p>
            <w:pPr>
              <w:pStyle w:val="Compact"/>
              <w:jc w:val="left"/>
            </w:pPr>
            <w:r>
              <w:t xml:space="preserve">IR (Fusion360)</w:t>
            </w:r>
          </w:p>
        </w:tc>
        <w:tc>
          <w:tcPr/>
          <w:p>
            <w:pPr>
              <w:pStyle w:val="Compact"/>
              <w:jc w:val="left"/>
            </w:pPr>
            <w:r>
              <w:t xml:space="preserve">Line F1</w:t>
            </w:r>
          </w:p>
        </w:tc>
        <w:tc>
          <w:tcPr/>
          <w:p>
            <w:pPr>
              <w:pStyle w:val="Compact"/>
              <w:jc w:val="left"/>
            </w:pPr>
            <w:r>
              <w:t xml:space="preserve">Arc F1</w:t>
            </w:r>
          </w:p>
        </w:tc>
        <w:tc>
          <w:tcPr/>
          <w:p>
            <w:pPr>
              <w:pStyle w:val="Compact"/>
              <w:jc w:val="left"/>
            </w:pPr>
            <w:r>
              <w:t xml:space="preserve">Training Time (4×A100)</w:t>
            </w:r>
          </w:p>
        </w:tc>
      </w:tr>
      <w:tr>
        <w:tc>
          <w:tcPr/>
          <w:p>
            <w:pPr>
              <w:pStyle w:val="Compact"/>
              <w:jc w:val="left"/>
            </w:pPr>
            <w:r>
              <w:t xml:space="preserve">1.5B</w:t>
            </w:r>
          </w:p>
        </w:tc>
        <w:tc>
          <w:tcPr/>
          <w:p>
            <w:pPr>
              <w:pStyle w:val="Compact"/>
              <w:jc w:val="left"/>
            </w:pPr>
            <w:r>
              <w:t xml:space="preserve">Highest</w:t>
            </w:r>
          </w:p>
        </w:tc>
        <w:tc>
          <w:tcPr/>
          <w:p>
            <w:pPr>
              <w:pStyle w:val="Compact"/>
              <w:jc w:val="left"/>
            </w:pPr>
            <w:r>
              <w:t xml:space="preserve">22.62%</w:t>
            </w:r>
            <w:r>
              <w:t xml:space="preserve"> </w:t>
            </w:r>
            <w:r>
              <w:rPr>
                <w:vertAlign w:val="superscript"/>
              </w:rPr>
              <w:footnoteReference w:id="54"/>
            </w:r>
          </w:p>
        </w:tc>
        <w:tc>
          <w:tcPr/>
          <w:p>
            <w:pPr>
              <w:pStyle w:val="Compact"/>
              <w:jc w:val="left"/>
            </w:pPr>
            <w:r>
              <w:t xml:space="preserve">0.86</w:t>
            </w:r>
          </w:p>
        </w:tc>
        <w:tc>
          <w:tcPr/>
          <w:p>
            <w:pPr>
              <w:pStyle w:val="Compact"/>
              <w:jc w:val="left"/>
            </w:pPr>
            <w:r>
              <w:t xml:space="preserve">0.74</w:t>
            </w:r>
          </w:p>
        </w:tc>
        <w:tc>
          <w:tcPr/>
          <w:p>
            <w:pPr>
              <w:pStyle w:val="Compact"/>
              <w:jc w:val="left"/>
            </w:pPr>
            <w:r>
              <w:t xml:space="preserve">~8 hours</w:t>
            </w:r>
            <w:r>
              <w:t xml:space="preserve"> </w:t>
            </w:r>
            <w:fldSimple w:instr="NOTEREF _Ref_Footnote_53 \h \f">
              <w:r>
                <w:rPr>
                  <w:vertAlign w:val="superscript"/>
                </w:rPr>
                <w:t>53</w:t>
              </w:r>
            </w:fldSimple>
          </w:p>
        </w:tc>
      </w:tr>
      <w:tr>
        <w:tc>
          <w:tcPr/>
          <w:p>
            <w:pPr>
              <w:pStyle w:val="Compact"/>
              <w:jc w:val="left"/>
            </w:pPr>
            <w:r>
              <w:t xml:space="preserve">3B</w:t>
            </w:r>
          </w:p>
        </w:tc>
        <w:tc>
          <w:tcPr/>
          <w:p>
            <w:pPr>
              <w:pStyle w:val="Compact"/>
              <w:jc w:val="left"/>
            </w:pPr>
            <w:r>
              <w:t xml:space="preserve">High</w:t>
            </w:r>
          </w:p>
        </w:tc>
        <w:tc>
          <w:tcPr/>
          <w:p>
            <w:pPr>
              <w:pStyle w:val="Compact"/>
              <w:jc w:val="left"/>
            </w:pPr>
            <w:r>
              <w:t xml:space="preserve">23.38%</w:t>
            </w:r>
            <w:r>
              <w:t xml:space="preserve"> </w:t>
            </w:r>
            <w:fldSimple w:instr="NOTEREF _Ref_Footnote_54 \h \f">
              <w:r>
                <w:rPr>
                  <w:vertAlign w:val="superscript"/>
                </w:rPr>
                <w:t>54</w:t>
              </w:r>
            </w:fldSimple>
          </w:p>
        </w:tc>
        <w:tc>
          <w:tcPr/>
          <w:p>
            <w:pPr>
              <w:pStyle w:val="Compact"/>
              <w:jc w:val="left"/>
            </w:pPr>
            <w:r>
              <w:t xml:space="preserve">0.88</w:t>
            </w:r>
          </w:p>
        </w:tc>
        <w:tc>
          <w:tcPr/>
          <w:p>
            <w:pPr>
              <w:pStyle w:val="Compact"/>
              <w:jc w:val="left"/>
            </w:pPr>
            <w:r>
              <w:t xml:space="preserve">0.75</w:t>
            </w:r>
          </w:p>
        </w:tc>
        <w:tc>
          <w:tcPr/>
          <w:p>
            <w:pPr>
              <w:pStyle w:val="Compact"/>
              <w:jc w:val="left"/>
            </w:pPr>
            <w:r>
              <w:t xml:space="preserve">~9 hours</w:t>
            </w:r>
          </w:p>
        </w:tc>
      </w:tr>
      <w:tr>
        <w:tc>
          <w:tcPr/>
          <w:p>
            <w:pPr>
              <w:pStyle w:val="Compact"/>
              <w:jc w:val="left"/>
            </w:pPr>
            <w:r>
              <w:t xml:space="preserve">7B</w:t>
            </w:r>
          </w:p>
        </w:tc>
        <w:tc>
          <w:tcPr/>
          <w:p>
            <w:pPr>
              <w:pStyle w:val="Compact"/>
              <w:jc w:val="left"/>
            </w:pPr>
            <w:r>
              <w:t xml:space="preserve">Medium</w:t>
            </w:r>
          </w:p>
        </w:tc>
        <w:tc>
          <w:tcPr/>
          <w:p>
            <w:pPr>
              <w:pStyle w:val="Compact"/>
              <w:jc w:val="left"/>
            </w:pPr>
            <w:r>
              <w:t xml:space="preserve">16.79%</w:t>
            </w:r>
            <w:r>
              <w:t xml:space="preserve"> </w:t>
            </w:r>
            <w:fldSimple w:instr="NOTEREF _Ref_Footnote_54 \h \f">
              <w:r>
                <w:rPr>
                  <w:vertAlign w:val="superscript"/>
                </w:rPr>
                <w:t>54</w:t>
              </w:r>
            </w:fldSimple>
          </w:p>
        </w:tc>
        <w:tc>
          <w:tcPr/>
          <w:p>
            <w:pPr>
              <w:pStyle w:val="Compact"/>
              <w:jc w:val="left"/>
            </w:pPr>
            <w:r>
              <w:t xml:space="preserve">0.90</w:t>
            </w:r>
          </w:p>
        </w:tc>
        <w:tc>
          <w:tcPr/>
          <w:p>
            <w:pPr>
              <w:pStyle w:val="Compact"/>
              <w:jc w:val="left"/>
            </w:pPr>
            <w:r>
              <w:t xml:space="preserve">0.78</w:t>
            </w:r>
          </w:p>
        </w:tc>
        <w:tc>
          <w:tcPr/>
          <w:p>
            <w:pPr>
              <w:pStyle w:val="Compact"/>
              <w:jc w:val="left"/>
            </w:pPr>
            <w:r>
              <w:t xml:space="preserve">~10 hours</w:t>
            </w:r>
          </w:p>
        </w:tc>
      </w:tr>
      <w:tr>
        <w:tc>
          <w:tcPr/>
          <w:p>
            <w:pPr>
              <w:pStyle w:val="Compact"/>
              <w:jc w:val="left"/>
            </w:pPr>
            <w:r>
              <w:t xml:space="preserve">14B</w:t>
            </w:r>
          </w:p>
        </w:tc>
        <w:tc>
          <w:tcPr/>
          <w:p>
            <w:pPr>
              <w:pStyle w:val="Compact"/>
              <w:jc w:val="left"/>
            </w:pPr>
            <w:r>
              <w:t xml:space="preserve">Lowest</w:t>
            </w:r>
          </w:p>
        </w:tc>
        <w:tc>
          <w:tcPr/>
          <w:p>
            <w:pPr>
              <w:pStyle w:val="Compact"/>
              <w:jc w:val="left"/>
            </w:pPr>
            <w:r>
              <w:t xml:space="preserve">12.58%</w:t>
            </w:r>
            <w:r>
              <w:t xml:space="preserve"> </w:t>
            </w:r>
            <w:fldSimple w:instr="NOTEREF _Ref_Footnote_54 \h \f">
              <w:r>
                <w:rPr>
                  <w:vertAlign w:val="superscript"/>
                </w:rPr>
                <w:t>54</w:t>
              </w:r>
            </w:fldSimple>
          </w:p>
        </w:tc>
        <w:tc>
          <w:tcPr/>
          <w:p>
            <w:pPr>
              <w:pStyle w:val="Compact"/>
              <w:jc w:val="left"/>
            </w:pPr>
            <w:r>
              <w:t xml:space="preserve">0.91</w:t>
            </w:r>
          </w:p>
        </w:tc>
        <w:tc>
          <w:tcPr/>
          <w:p>
            <w:pPr>
              <w:pStyle w:val="Compact"/>
              <w:jc w:val="left"/>
            </w:pPr>
            <w:r>
              <w:t xml:space="preserve">0.81</w:t>
            </w:r>
          </w:p>
        </w:tc>
        <w:tc>
          <w:tcPr/>
          <w:p>
            <w:pPr>
              <w:pStyle w:val="Compact"/>
              <w:jc w:val="left"/>
            </w:pPr>
            <w:r>
              <w:t xml:space="preserve">~12 hours</w:t>
            </w:r>
            <w:r>
              <w:t xml:space="preserve"> </w:t>
            </w:r>
            <w:fldSimple w:instr="NOTEREF _Ref_Footnote_53 \h \f">
              <w:r>
                <w:rPr>
                  <w:vertAlign w:val="superscript"/>
                </w:rPr>
                <w:t>53</w:t>
              </w:r>
            </w:fldSimple>
          </w:p>
        </w:tc>
      </w:tr>
    </w:tbl>
    <w:p>
      <w:pPr>
        <w:pStyle w:val="BodyText"/>
      </w:pPr>
      <w:r>
        <w:t xml:space="preserve">The 14B model reduces the Invalidity Ratio (IR)—the percentage of generated sequences that fail geometric validation—from 22.62% (1.5B) to 12.58% on the challenging Fusion360 dataset, a 44% relative improvement</w:t>
      </w:r>
      <w:r>
        <w:t xml:space="preserve"> </w:t>
      </w:r>
      <w:fldSimple w:instr="NOTEREF _Ref_Footnote_54 \h \f">
        <w:r>
          <w:rPr>
            <w:vertAlign w:val="superscript"/>
          </w:rPr>
          <w:t>54</w:t>
        </w:r>
      </w:fldSimple>
      <w:r>
        <w:t xml:space="preserve">. Geometric primitive F1 scores for lines, arcs, and circles all improve monotonically with scale, though with diminishing returns beyond 7B. Notably, the 3B model exhibits a slight inversion on Fusion360 (23.38% IR versus 22.62% for 1.5B), which the authors attribute to statistical variance; the overall trend remains clear</w:t>
      </w:r>
      <w:r>
        <w:t xml:space="preserve"> </w:t>
      </w:r>
      <w:fldSimple w:instr="NOTEREF _Ref_Footnote_54 \h \f">
        <w:r>
          <w:rPr>
            <w:vertAlign w:val="superscript"/>
          </w:rPr>
          <w:t>54</w:t>
        </w:r>
      </w:fldSimple>
      <w:r>
        <w:t xml:space="preserve">.</w:t>
      </w:r>
    </w:p>
    <w:p>
      <w:pPr>
        <w:pStyle w:val="BodyText"/>
      </w:pPr>
      <w:r>
        <w:drawing>
          <wp:inline>
            <wp:extent cx="5334000" cy="1988949"/>
            <wp:effectExtent b="0" l="0" r="0" t="0"/>
            <wp:docPr descr="Model Size Tradeoff Analysis" title="" id="53" name="Picture"/>
            <a:graphic>
              <a:graphicData uri="http://schemas.openxmlformats.org/drawingml/2006/picture">
                <pic:pic>
                  <pic:nvPicPr>
                    <pic:cNvPr descr="fig_3_2_model_size_tradeoff.png" id="54" name="Picture"/>
                    <pic:cNvPicPr>
                      <a:picLocks noChangeArrowheads="1" noChangeAspect="1"/>
                    </pic:cNvPicPr>
                  </pic:nvPicPr>
                  <pic:blipFill>
                    <a:blip r:embed="rId52"/>
                    <a:stretch>
                      <a:fillRect/>
                    </a:stretch>
                  </pic:blipFill>
                  <pic:spPr bwMode="auto">
                    <a:xfrm>
                      <a:off x="0" y="0"/>
                      <a:ext cx="5334000" cy="1988949"/>
                    </a:xfrm>
                    <a:prstGeom prst="rect">
                      <a:avLst/>
                    </a:prstGeom>
                    <a:noFill/>
                    <a:ln w="9525">
                      <a:noFill/>
                      <a:headEnd/>
                      <a:tailEnd/>
                    </a:ln>
                  </pic:spPr>
                </pic:pic>
              </a:graphicData>
            </a:graphic>
          </wp:inline>
        </w:drawing>
      </w:r>
      <w:r>
        <w:t xml:space="preserve"> </w:t>
      </w:r>
      <w:r>
        <w:rPr>
          <w:iCs/>
          <w:i/>
        </w:rPr>
        <w:t xml:space="preserve">Figure 3.1: (a) Invalidity Ratio decreases with model size on both CADmium and Fusion360 benchmarks. (b) F1 scores for geometric primitives improve monotonically, with the largest gains in arc recognition—the most structurally complex primitive. Source: CADmium ablation study</w:t>
      </w:r>
      <w:r>
        <w:rPr>
          <w:iCs/>
          <w:i/>
        </w:rPr>
        <w:t xml:space="preserve"> </w:t>
      </w:r>
      <w:fldSimple w:instr="NOTEREF _Ref_Footnote_54 \h \f">
        <w:r>
          <w:rPr>
            <w:vertAlign w:val="superscript"/>
          </w:rPr>
          <w:t>54</w:t>
        </w:r>
      </w:fldSimple>
      <w:r>
        <w:rPr>
          <w:iCs/>
          <w:i/>
        </w:rPr>
        <w:t xml:space="preserve">.</w:t>
      </w:r>
    </w:p>
    <w:p>
      <w:pPr>
        <w:pStyle w:val="BodyText"/>
      </w:pPr>
      <w:r>
        <w:t xml:space="preserve">The choice between 7B and 14B reduces to a cost-quality optimization problem. For prototyping, concept generation, and simple parts (L1–L2 complexity per Text2CAD-Bench), the 7B model’s efficiency advantage dominates. For production engineering workflows where geometric invalidity carries downstream costs—failed finite-element analysis, unmanufacturable features, or assembly interference—the 14B model’s 4.2 percentage point IR reduction on Fusion360 may justify the ~20% longer training time and ~80% higher inference cost. Only CADmium and MIT CAD-Coder have published 14B results to date; the field’s collective avoidance of 14B reflects infrastructure constraints more than a judgment on quality</w:t>
      </w:r>
      <w:r>
        <w:t xml:space="preserve"> </w:t>
      </w:r>
      <w:fldSimple w:instr="NOTEREF _Ref_Footnote_41 \h \f">
        <w:r>
          <w:rPr>
            <w:vertAlign w:val="superscript"/>
          </w:rPr>
          <w:t>41</w:t>
        </w:r>
      </w:fldSimple>
      <w:r>
        <w:t xml:space="preserve"> </w:t>
      </w:r>
      <w:fldSimple w:instr="NOTEREF _Ref_Footnote_48 \h \f">
        <w:r>
          <w:rPr>
            <w:vertAlign w:val="superscript"/>
          </w:rPr>
          <w:t>48</w:t>
        </w:r>
      </w:fldSimple>
      <w:r>
        <w:t xml:space="preserve">.</w:t>
      </w:r>
    </w:p>
    <w:bookmarkEnd w:id="55"/>
    <w:bookmarkEnd w:id="56"/>
    <w:bookmarkStart w:id="59" w:name="training-methodologies-from-sft-to-rl"/>
    <w:p>
      <w:pPr>
        <w:pStyle w:val="Heading3"/>
      </w:pPr>
      <w:r>
        <w:t xml:space="preserve">3.3 Training Methodologies: From SFT to RL</w:t>
      </w:r>
    </w:p>
    <w:bookmarkStart w:id="57" w:name="supervised-fine-tuning-pipeline"/>
    <w:p>
      <w:pPr>
        <w:pStyle w:val="Heading4"/>
      </w:pPr>
      <w:r>
        <w:t xml:space="preserve">3.3.1 Supervised Fine-Tuning Pipeline</w:t>
      </w:r>
    </w:p>
    <w:p>
      <w:pPr>
        <w:pStyle w:val="FirstParagraph"/>
      </w:pPr>
      <w:r>
        <w:t xml:space="preserve">The standard training pipeline for CAD generation begins with supervised fine-tuning (SFT) on paired text-CAD datasets. In this phase, the model learns the basic mapping from natural language descriptions to executable code—typically CadQuery Python scripts or JSON-formatted command sequences. SFT alone establishes syntax correctness and rough geometric alignment but tends to plateau on complex topologies.</w:t>
      </w:r>
    </w:p>
    <w:p>
      <w:pPr>
        <w:pStyle w:val="BodyText"/>
      </w:pPr>
      <w:r>
        <w:t xml:space="preserve">The training data landscape has expanded dramatically since DeepCAD’s 178,238 models established the field’s first large-scale corpus in 2021</w:t>
      </w:r>
      <w:r>
        <w:t xml:space="preserve"> </w:t>
      </w:r>
      <w:fldSimple w:instr="NOTEREF _Ref_Footnote_13 \h \f">
        <w:r>
          <w:rPr>
            <w:vertAlign w:val="superscript"/>
          </w:rPr>
          <w:t>13</w:t>
        </w:r>
      </w:fldSimple>
      <w:r>
        <w:t xml:space="preserve">. Text2CAD contributed ~170,000 models with ~660,000 text annotations at four expertise levels</w:t>
      </w:r>
      <w:r>
        <w:t xml:space="preserve"> </w:t>
      </w:r>
      <w:r>
        <w:rPr>
          <w:vertAlign w:val="superscript"/>
        </w:rPr>
        <w:footnoteReference w:id="55"/>
      </w:r>
      <w:r>
        <w:t xml:space="preserve">. GenCAD-Code provides 163,671 image-CadQuery pairs for vision-language training</w:t>
      </w:r>
      <w:r>
        <w:t xml:space="preserve"> </w:t>
      </w:r>
      <w:r>
        <w:rPr>
          <w:vertAlign w:val="superscript"/>
        </w:rPr>
        <w:footnoteReference w:id="56"/>
      </w:r>
      <w:r>
        <w:t xml:space="preserve">. Omni-CAD offers ~453,000 multimodal instances with text, multi-view images, point clouds, and command sequences</w:t>
      </w:r>
      <w:r>
        <w:t xml:space="preserve"> </w:t>
      </w:r>
      <w:r>
        <w:rPr>
          <w:vertAlign w:val="superscript"/>
        </w:rPr>
        <w:footnoteReference w:id="57"/>
      </w:r>
      <w:r>
        <w:t xml:space="preserve">. FutureCAD assembled 140,000+ real-world models with advanced parametric operations (fillet, chamfer, shell)</w:t>
      </w:r>
      <w:r>
        <w:t xml:space="preserve"> </w:t>
      </w:r>
      <w:fldSimple w:instr="NOTEREF _Ref_Footnote_42 \h \f">
        <w:r>
          <w:rPr>
            <w:vertAlign w:val="superscript"/>
          </w:rPr>
          <w:t>42</w:t>
        </w:r>
      </w:fldSimple>
      <w:r>
        <w:t xml:space="preserve">. Collectively, these datasets exceed one million CAD examples—yet as Section 3.4 will demonstrate, quantity has not translated into proportional capability gains.</w:t>
      </w:r>
    </w:p>
    <w:p>
      <w:pPr>
        <w:pStyle w:val="BodyText"/>
      </w:pPr>
      <w:r>
        <w:t xml:space="preserve">Sequence formatting varies by approach. FlexCAD introduced hierarchy-aware masking, treating CAD models as seven-level hierarchies (curve → loop → face → sketch → extrusion → sketch-extrusion → full model) and training the LLM to infill masked regions at any level</w:t>
      </w:r>
      <w:r>
        <w:t xml:space="preserve"> </w:t>
      </w:r>
      <w:fldSimple w:instr="NOTEREF _Ref_Footnote_15 \h \f">
        <w:r>
          <w:rPr>
            <w:vertAlign w:val="superscript"/>
          </w:rPr>
          <w:t>15</w:t>
        </w:r>
      </w:fldSimple>
      <w:r>
        <w:t xml:space="preserve">. FutureCAD formats output as executable CadQuery scripts with natural language queries for B-Rep primitive selection, requiring the model to interleave code generation with geometric reasoning</w:t>
      </w:r>
      <w:r>
        <w:t xml:space="preserve"> </w:t>
      </w:r>
      <w:fldSimple w:instr="NOTEREF _Ref_Footnote_8 \h \f">
        <w:r>
          <w:rPr>
            <w:vertAlign w:val="superscript"/>
          </w:rPr>
          <w:t>8</w:t>
        </w:r>
      </w:fldSimple>
      <w:r>
        <w:t xml:space="preserve">. CAD-Llama’s Structured Parametric CAD Code (SPCC) format converts command sequences into Python-like pseudo-code with hierarchical semantic descriptions</w:t>
      </w:r>
      <w:r>
        <w:t xml:space="preserve"> </w:t>
      </w:r>
      <w:fldSimple w:instr="NOTEREF _Ref_Footnote_28 \h \f">
        <w:r>
          <w:rPr>
            <w:vertAlign w:val="superscript"/>
          </w:rPr>
          <w:t>28</w:t>
        </w:r>
      </w:fldSimple>
      <w:r>
        <w:t xml:space="preserve">. Each formatting choice embeds assumptions about how geometric reasoning should be decomposed—assumptions that significantly impact downstream performance.</w:t>
      </w:r>
    </w:p>
    <w:p>
      <w:pPr>
        <w:pStyle w:val="BodyText"/>
      </w:pPr>
      <w:r>
        <w:t xml:space="preserve">SFT hyperparameters have largely standardized: 3 epochs at learning rates of</w:t>
      </w:r>
      <w:r>
        <w:t xml:space="preserve"> </w:t>
      </w:r>
      <m:oMath>
        <m:sSup>
          <m:e>
            <m:r>
              <m:t>10</m:t>
            </m:r>
          </m:e>
          <m:sup>
            <m:r>
              <m:rPr>
                <m:sty m:val="p"/>
              </m:rPr>
              <m:t>−</m:t>
            </m:r>
            <m:r>
              <m:t>5</m:t>
            </m:r>
          </m:sup>
        </m:sSup>
      </m:oMath>
      <w:r>
        <w:t xml:space="preserve"> </w:t>
      </w:r>
      <w:r>
        <w:t xml:space="preserve">to</w:t>
      </w:r>
      <w:r>
        <w:t xml:space="preserve"> </w:t>
      </w:r>
      <m:oMath>
        <m:r>
          <m:t>2</m:t>
        </m:r>
        <m:r>
          <m:rPr>
            <m:sty m:val="p"/>
          </m:rPr>
          <m:t>×</m:t>
        </m:r>
        <m:sSup>
          <m:e>
            <m:r>
              <m:t>10</m:t>
            </m:r>
          </m:e>
          <m:sup>
            <m:r>
              <m:rPr>
                <m:sty m:val="p"/>
              </m:rPr>
              <m:t>−</m:t>
            </m:r>
            <m:r>
              <m:t>5</m:t>
            </m:r>
          </m:sup>
        </m:sSup>
      </m:oMath>
      <w:r>
        <w:t xml:space="preserve">, LoRA ranks of 8–256, and AdamW optimization</w:t>
      </w:r>
      <w:r>
        <w:t xml:space="preserve"> </w:t>
      </w:r>
      <w:fldSimple w:instr="NOTEREF _Ref_Footnote_42 \h \f">
        <w:r>
          <w:rPr>
            <w:vertAlign w:val="superscript"/>
          </w:rPr>
          <w:t>42</w:t>
        </w:r>
      </w:fldSimple>
      <w:r>
        <w:t xml:space="preserve"> </w:t>
      </w:r>
      <w:fldSimple w:instr="NOTEREF _Ref_Footnote_23 \h \f">
        <w:r>
          <w:rPr>
            <w:vertAlign w:val="superscript"/>
          </w:rPr>
          <w:t>23</w:t>
        </w:r>
      </w:fldSimple>
      <w:r>
        <w:t xml:space="preserve"> </w:t>
      </w:r>
      <w:r>
        <w:rPr>
          <w:vertAlign w:val="superscript"/>
        </w:rPr>
        <w:footnoteReference w:id="58"/>
      </w:r>
      <w:r>
        <w:t xml:space="preserve">. Full fine-tuning is increasingly reserved for pretraining stages; parameter-efficient methods (LoRA, QLoRA) dominate SFT to preserve base model generalization.</w:t>
      </w:r>
    </w:p>
    <w:bookmarkEnd w:id="57"/>
    <w:bookmarkStart w:id="58" w:name="reinforcement-learning-enhancement"/>
    <w:p>
      <w:pPr>
        <w:pStyle w:val="Heading4"/>
      </w:pPr>
      <w:r>
        <w:t xml:space="preserve">3.3.2 Reinforcement Learning Enhancement</w:t>
      </w:r>
    </w:p>
    <w:p>
      <w:pPr>
        <w:pStyle w:val="FirstParagraph"/>
      </w:pPr>
      <w:r>
        <w:t xml:space="preserve">The second training stage—reinforcement learning—has become the differentiator between capable and exceptional CAD models. Beginning in 2025, multiple independent groups converged on the same two-stage (SFT + RL) architecture, with Group Relative Policy Optimization (GRPO) emerging as the preferred algorithm</w:t>
      </w:r>
      <w:r>
        <w:t xml:space="preserve"> </w:t>
      </w:r>
      <w:fldSimple w:instr="NOTEREF _Ref_Footnote_43 \h \f">
        <w:r>
          <w:rPr>
            <w:vertAlign w:val="superscript"/>
          </w:rPr>
          <w:t>43</w:t>
        </w:r>
      </w:fldSimple>
      <w:r>
        <w:t xml:space="preserve">. GRPO computes advantages using normalized rewards within groups of sampled solutions (typically 8 candidates per prompt), eliminating the need for a separate value network and reducing training complexity</w:t>
      </w:r>
      <w:r>
        <w:t xml:space="preserve"> </w:t>
      </w:r>
      <w:fldSimple w:instr="NOTEREF _Ref_Footnote_43 \h \f">
        <w:r>
          <w:rPr>
            <w:vertAlign w:val="superscript"/>
          </w:rPr>
          <w:t>43</w:t>
        </w:r>
      </w:fldSimple>
      <w:r>
        <w:t xml:space="preserve">.</w:t>
      </w:r>
    </w:p>
    <w:p>
      <w:pPr>
        <w:pStyle w:val="BodyText"/>
      </w:pPr>
      <w:r>
        <w:rPr>
          <w:bCs/>
          <w:b/>
        </w:rPr>
        <w:t xml:space="preserve">Case Study: The CADmium Training Pipeline</w:t>
      </w:r>
    </w:p>
    <w:p>
      <w:pPr>
        <w:pStyle w:val="BodyText"/>
      </w:pPr>
      <w:r>
        <w:t xml:space="preserve">CADmium (Chandar Research Lab, Mila — Quebec AI Institute / Polytechnique Montreal) exemplifies the modern training pipeline and is notable as one of the few projects with both 7B and 14B results published in a peer-reviewed venue (TMLR, January 2026)</w:t>
      </w:r>
      <w:r>
        <w:t xml:space="preserve"> </w:t>
      </w:r>
      <w:fldSimple w:instr="NOTEREF _Ref_Footnote_41 \h \f">
        <w:r>
          <w:rPr>
            <w:vertAlign w:val="superscript"/>
          </w:rPr>
          <w:t>41</w:t>
        </w:r>
      </w:fldSimple>
      <w:r>
        <w:t xml:space="preserve">.</w:t>
      </w:r>
    </w:p>
    <w:p>
      <w:pPr>
        <w:pStyle w:val="BodyText"/>
      </w:pPr>
      <w:r>
        <w:t xml:space="preserve">The project fine-tuned Qwen2.5-Coder at four parameter scales (1.5B, 3B, 7B, 14B) on 176,017 CAD model descriptions generated by GPT-4.1 from DeepCAD construction sequences and up to 10 multi-view Blender renders per object</w:t>
      </w:r>
      <w:r>
        <w:t xml:space="preserve"> </w:t>
      </w:r>
      <w:fldSimple w:instr="NOTEREF _Ref_Footnote_41 \h \f">
        <w:r>
          <w:rPr>
            <w:vertAlign w:val="superscript"/>
          </w:rPr>
          <w:t>41</w:t>
        </w:r>
      </w:fldSimple>
      <w:r>
        <w:t xml:space="preserve">. Training used LoRA (rank=64, alpha=32) across all linear layers, AdamW optimizer with a cosine learning rate schedule peaking at</w:t>
      </w:r>
      <w:r>
        <w:t xml:space="preserve"> </w:t>
      </w:r>
      <m:oMath>
        <m:r>
          <m:t>2</m:t>
        </m:r>
        <m:r>
          <m:rPr>
            <m:sty m:val="p"/>
          </m:rPr>
          <m:t>×</m:t>
        </m:r>
        <m:sSup>
          <m:e>
            <m:r>
              <m:t>10</m:t>
            </m:r>
          </m:e>
          <m:sup>
            <m:r>
              <m:rPr>
                <m:sty m:val="p"/>
              </m:rPr>
              <m:t>−</m:t>
            </m:r>
            <m:r>
              <m:t>4</m:t>
            </m:r>
          </m:sup>
        </m:sSup>
      </m:oMath>
      <w:r>
        <w:t xml:space="preserve">, fp16 mixed precision, and Fully Sharded Data Parallel (FSDP) distribution across four NVIDIA A100 80GB GPUs</w:t>
      </w:r>
      <w:r>
        <w:t xml:space="preserve"> </w:t>
      </w:r>
      <w:fldSimple w:instr="NOTEREF _Ref_Footnote_53 \h \f">
        <w:r>
          <w:rPr>
            <w:vertAlign w:val="superscript"/>
          </w:rPr>
          <w:t>53</w:t>
        </w:r>
      </w:fldSimple>
      <w:r>
        <w:t xml:space="preserve">. Each complete training run lasted 8–12 hours depending on model size, with the 14B model requiring approximately 12 hours for up to 4 epochs (~29,000 steps)</w:t>
      </w:r>
      <w:r>
        <w:t xml:space="preserve"> </w:t>
      </w:r>
      <w:fldSimple w:instr="NOTEREF _Ref_Footnote_53 \h \f">
        <w:r>
          <w:rPr>
            <w:vertAlign w:val="superscript"/>
          </w:rPr>
          <w:t>53</w:t>
        </w:r>
      </w:fldSimple>
      <w:r>
        <w:t xml:space="preserve">.</w:t>
      </w:r>
    </w:p>
    <w:p>
      <w:pPr>
        <w:pStyle w:val="BodyText"/>
      </w:pPr>
      <w:r>
        <w:t xml:space="preserve">The results demonstrate both the power and limits of the SFT-only approach. On the CADmium test set, the 14B model achieved the lowest Invalidity Ratio and highest geometric primitive F1 scores</w:t>
      </w:r>
      <w:r>
        <w:t xml:space="preserve"> </w:t>
      </w:r>
      <w:fldSimple w:instr="NOTEREF _Ref_Footnote_54 \h \f">
        <w:r>
          <w:rPr>
            <w:vertAlign w:val="superscript"/>
          </w:rPr>
          <w:t>54</w:t>
        </w:r>
      </w:fldSimple>
      <w:r>
        <w:t xml:space="preserve">. However, SFT alone could not overcome the complexity ceiling: performance degraded substantially on operations not well-represented in the training distribution, and the model exhibited no emergent capabilities beyond pattern memorization. This limitation motivated subsequent work—FutureCAD, ReCAD, and ToolCAD—to add RL stages, achieving state-of-the-art results that SFT alone could not match</w:t>
      </w:r>
      <w:r>
        <w:t xml:space="preserve"> </w:t>
      </w:r>
      <w:fldSimple w:instr="NOTEREF _Ref_Footnote_42 \h \f">
        <w:r>
          <w:rPr>
            <w:vertAlign w:val="superscript"/>
          </w:rPr>
          <w:t>42</w:t>
        </w:r>
      </w:fldSimple>
      <w:r>
        <w:t xml:space="preserve"> </w:t>
      </w:r>
      <w:fldSimple w:instr="NOTEREF _Ref_Footnote_26 \h \f">
        <w:r>
          <w:rPr>
            <w:vertAlign w:val="superscript"/>
          </w:rPr>
          <w:t>26</w:t>
        </w:r>
      </w:fldSimple>
      <w:r>
        <w:t xml:space="preserve">.</w:t>
      </w:r>
    </w:p>
    <w:p>
      <w:pPr>
        <w:pStyle w:val="BodyText"/>
      </w:pPr>
      <w:r>
        <w:t xml:space="preserve">ReCAD’s GRPO implementation illustrates the RL stage’s mechanics. After SFT at learning rate</w:t>
      </w:r>
      <w:r>
        <w:t xml:space="preserve"> </w:t>
      </w:r>
      <m:oMath>
        <m:sSup>
          <m:e>
            <m:r>
              <m:t>10</m:t>
            </m:r>
          </m:e>
          <m:sup>
            <m:r>
              <m:rPr>
                <m:sty m:val="p"/>
              </m:rPr>
              <m:t>−</m:t>
            </m:r>
            <m:r>
              <m:t>5</m:t>
            </m:r>
          </m:sup>
        </m:sSup>
      </m:oMath>
      <w:r>
        <w:t xml:space="preserve"> </w:t>
      </w:r>
      <w:r>
        <w:t xml:space="preserve">with 3,072-token context, ReCAD applies GRPO at</w:t>
      </w:r>
      <w:r>
        <w:t xml:space="preserve"> </w:t>
      </w:r>
      <m:oMath>
        <m:r>
          <m:t>2</m:t>
        </m:r>
        <m:r>
          <m:rPr>
            <m:sty m:val="p"/>
          </m:rPr>
          <m:t>×</m:t>
        </m:r>
        <m:sSup>
          <m:e>
            <m:r>
              <m:t>10</m:t>
            </m:r>
          </m:e>
          <m:sup>
            <m:r>
              <m:rPr>
                <m:sty m:val="p"/>
              </m:rPr>
              <m:t>−</m:t>
            </m:r>
            <m:r>
              <m:t>6</m:t>
            </m:r>
          </m:sup>
        </m:sSup>
      </m:oMath>
      <w:r>
        <w:t xml:space="preserve"> </w:t>
      </w:r>
      <w:r>
        <w:t xml:space="preserve">with 8,192-token context, sampling 8 candidate solutions per question through the veRL framework on 8×A800 GPUs</w:t>
      </w:r>
      <w:r>
        <w:t xml:space="preserve"> </w:t>
      </w:r>
      <w:fldSimple w:instr="NOTEREF _Ref_Footnote_43 \h \f">
        <w:r>
          <w:rPr>
            <w:vertAlign w:val="superscript"/>
          </w:rPr>
          <w:t>43</w:t>
        </w:r>
      </w:fldSimple>
      <w:r>
        <w:t xml:space="preserve">. The reward function combines Intersection-over-Union (IOU) for geometric consistency, cosine similarity between rendered images for visual fidelity, and a formatting reward for valid reasoning block structure</w:t>
      </w:r>
      <w:r>
        <w:t xml:space="preserve"> </w:t>
      </w:r>
      <w:fldSimple w:instr="NOTEREF _Ref_Footnote_11 \h \f">
        <w:r>
          <w:rPr>
            <w:vertAlign w:val="superscript"/>
          </w:rPr>
          <w:t>11</w:t>
        </w:r>
      </w:fldSimple>
      <w:r>
        <w:t xml:space="preserve">. This multi-component reward enables the emergence of capabilities not present in SFT alone—operations such as circular pattern and mirror appear without explicit training</w:t>
      </w:r>
      <w:r>
        <w:t xml:space="preserve"> </w:t>
      </w:r>
      <w:fldSimple w:instr="NOTEREF _Ref_Footnote_26 \h \f">
        <w:r>
          <w:rPr>
            <w:vertAlign w:val="superscript"/>
          </w:rPr>
          <w:t>26</w:t>
        </w:r>
      </w:fldSimple>
      <w:r>
        <w:t xml:space="preserve">. Chamfer Distance reductions of 59.7% in-distribution and 70.5% out-of-distribution demonstrate RL’s capacity to enhance generalization beyond the training distribution</w:t>
      </w:r>
      <w:r>
        <w:t xml:space="preserve"> </w:t>
      </w:r>
      <w:fldSimple w:instr="NOTEREF _Ref_Footnote_26 \h \f">
        <w:r>
          <w:rPr>
            <w:vertAlign w:val="superscript"/>
          </w:rPr>
          <w:t>26</w:t>
        </w:r>
      </w:fldSimple>
      <w:r>
        <w:t xml:space="preserve">.</w:t>
      </w:r>
    </w:p>
    <w:p>
      <w:pPr>
        <w:pStyle w:val="BodyText"/>
      </w:pPr>
      <w:r>
        <w:t xml:space="preserve">The veRL framework (13,300 GitHub stars) has become the de facto training infrastructure for RL-based CAD generation, used by FutureCAD, ReCAD, and ToolCAD</w:t>
      </w:r>
      <w:r>
        <w:t xml:space="preserve"> </w:t>
      </w:r>
      <w:r>
        <w:rPr>
          <w:vertAlign w:val="superscript"/>
        </w:rPr>
        <w:footnoteReference w:id="59"/>
      </w:r>
      <w:r>
        <w:t xml:space="preserve">. FutureCAD employs veRL with GSPO (Group Similarity Policy Optimization), sampling 8 candidate programs per prompt and optimizing against Chamfer Distance-based rewards at learning rate</w:t>
      </w:r>
      <w:r>
        <w:t xml:space="preserve"> </w:t>
      </w:r>
      <m:oMath>
        <m:sSup>
          <m:e>
            <m:r>
              <m:t>10</m:t>
            </m:r>
          </m:e>
          <m:sup>
            <m:r>
              <m:rPr>
                <m:sty m:val="p"/>
              </m:rPr>
              <m:t>−</m:t>
            </m:r>
            <m:r>
              <m:t>6</m:t>
            </m:r>
          </m:sup>
        </m:sSup>
      </m:oMath>
      <w:r>
        <w:t xml:space="preserve"> </w:t>
      </w:r>
      <w:fldSimple w:instr="NOTEREF _Ref_Footnote_42 \h \f">
        <w:r>
          <w:rPr>
            <w:vertAlign w:val="superscript"/>
          </w:rPr>
          <w:t>42</w:t>
        </w:r>
      </w:fldSimple>
      <w:r>
        <w:t xml:space="preserve">. Beihang CAD-Coder uses GRPO through veRL with a batch size of 384, 8 candidate completions, and a KL coefficient of 0.001, achieving a geometric reward based on Chamfer Distance plus a format reward enforcing reasoning process and syntactic correctness</w:t>
      </w:r>
      <w:r>
        <w:t xml:space="preserve"> </w:t>
      </w:r>
      <w:fldSimple w:instr="NOTEREF _Ref_Footnote_44 \h \f">
        <w:r>
          <w:rPr>
            <w:vertAlign w:val="superscript"/>
          </w:rPr>
          <w:t>44</w:t>
        </w:r>
      </w:fldSimple>
      <w:r>
        <w:t xml:space="preserve">.</w:t>
      </w:r>
    </w:p>
    <w:bookmarkEnd w:id="58"/>
    <w:bookmarkEnd w:id="59"/>
    <w:bookmarkStart w:id="62" w:name="the-training-data-ceiling"/>
    <w:p>
      <w:pPr>
        <w:pStyle w:val="Heading3"/>
      </w:pPr>
      <w:r>
        <w:t xml:space="preserve">3.4 The Training Data Ceiling</w:t>
      </w:r>
    </w:p>
    <w:bookmarkStart w:id="60" w:name="why-more-data-is-not-the-answer"/>
    <w:p>
      <w:pPr>
        <w:pStyle w:val="Heading4"/>
      </w:pPr>
      <w:r>
        <w:t xml:space="preserve">3.4.1 Why More Data Is Not the Answer</w:t>
      </w:r>
    </w:p>
    <w:p>
      <w:pPr>
        <w:pStyle w:val="FirstParagraph"/>
      </w:pPr>
      <w:r>
        <w:t xml:space="preserve">Despite the existence of million-scale CAD datasets collectively exceeding one million examples, all fine-tuned models hit a performance wall on complex geometries. The Text2CAD-Bench evaluation—600 human-curated examples across four complexity levels—finds that</w:t>
      </w:r>
      <w:r>
        <w:t xml:space="preserve"> </w:t>
      </w:r>
      <w:r>
        <w:t xml:space="preserve">“</w:t>
      </w:r>
      <w:r>
        <w:t xml:space="preserve">text-to-CAD remains largely unsolved beyond basic geometry,</w:t>
      </w:r>
      <w:r>
        <w:t xml:space="preserve">”</w:t>
      </w:r>
      <w:r>
        <w:t xml:space="preserve"> </w:t>
      </w:r>
      <w:r>
        <w:t xml:space="preserve">with current models achieving reasonable performance on L1 (fundamental) and L2 (standard features) tasks but degrading substantially on L3 (advanced features: chamfers, fillets, sweeps) and L4 (real-world complexity)</w:t>
      </w:r>
      <w:r>
        <w:t xml:space="preserve"> </w:t>
      </w:r>
      <w:r>
        <w:rPr>
          <w:vertAlign w:val="superscript"/>
        </w:rPr>
        <w:footnoteReference w:id="60"/>
      </w:r>
      <w:r>
        <w:t xml:space="preserve">. The MUSE benchmark quantifies this failure cascade: even the best closed-source models achieve only 68% code executability, 54% geometric validity, 42/100 functionality, 35/100 manufacturability, and 28/100 assemblability</w:t>
      </w:r>
      <w:r>
        <w:t xml:space="preserve"> </w:t>
      </w:r>
      <w:fldSimple w:instr="NOTEREF _Ref_Footnote_12 \h \f">
        <w:r>
          <w:rPr>
            <w:vertAlign w:val="superscript"/>
          </w:rPr>
          <w:t>12</w:t>
        </w:r>
      </w:fldSimple>
      <w:r>
        <w:t xml:space="preserve">. CAD-Coder’s celebrated 100% VSR is measured on a 100-sample test subset from the same distribution as training—generalization to unseen operations such as filleting remains limited</w:t>
      </w:r>
      <w:r>
        <w:t xml:space="preserve"> </w:t>
      </w:r>
      <w:fldSimple w:instr="NOTEREF _Ref_Footnote_48 \h \f">
        <w:r>
          <w:rPr>
            <w:vertAlign w:val="superscript"/>
          </w:rPr>
          <w:t>48</w:t>
        </w:r>
      </w:fldSimple>
      <w:r>
        <w:t xml:space="preserve">.</w:t>
      </w:r>
    </w:p>
    <w:p>
      <w:pPr>
        <w:pStyle w:val="BodyText"/>
      </w:pPr>
      <w:r>
        <w:rPr>
          <w:bCs/>
          <w:b/>
        </w:rPr>
        <w:t xml:space="preserve">Table 3: CAD Training Dataset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Size</w:t>
            </w:r>
          </w:p>
        </w:tc>
        <w:tc>
          <w:tcPr/>
          <w:p>
            <w:pPr>
              <w:pStyle w:val="Compact"/>
              <w:jc w:val="left"/>
            </w:pPr>
            <w:r>
              <w:t xml:space="preserve">Annotation Richness</w:t>
            </w:r>
          </w:p>
        </w:tc>
        <w:tc>
          <w:tcPr/>
          <w:p>
            <w:pPr>
              <w:pStyle w:val="Compact"/>
              <w:jc w:val="left"/>
            </w:pPr>
            <w:r>
              <w:t xml:space="preserve">Manufacturing Constraints</w:t>
            </w:r>
          </w:p>
        </w:tc>
        <w:tc>
          <w:tcPr/>
          <w:p>
            <w:pPr>
              <w:pStyle w:val="Compact"/>
              <w:jc w:val="left"/>
            </w:pPr>
            <w:r>
              <w:t xml:space="preserve">Physics Annotations</w:t>
            </w:r>
          </w:p>
        </w:tc>
        <w:tc>
          <w:tcPr/>
          <w:p>
            <w:pPr>
              <w:pStyle w:val="Compact"/>
              <w:jc w:val="left"/>
            </w:pPr>
            <w:r>
              <w:t xml:space="preserve">Tolerance Specs</w:t>
            </w:r>
          </w:p>
        </w:tc>
      </w:tr>
      <w:tr>
        <w:tc>
          <w:tcPr/>
          <w:p>
            <w:pPr>
              <w:pStyle w:val="Compact"/>
              <w:jc w:val="left"/>
            </w:pPr>
            <w:r>
              <w:t xml:space="preserve">DeepCAD (2021)</w:t>
            </w:r>
            <w:r>
              <w:t xml:space="preserve"> </w:t>
            </w:r>
            <w:fldSimple w:instr="NOTEREF _Ref_Footnote_13 \h \f">
              <w:r>
                <w:rPr>
                  <w:vertAlign w:val="superscript"/>
                </w:rPr>
                <w:t>13</w:t>
              </w:r>
            </w:fldSimple>
          </w:p>
        </w:tc>
        <w:tc>
          <w:tcPr/>
          <w:p>
            <w:pPr>
              <w:pStyle w:val="Compact"/>
              <w:jc w:val="left"/>
            </w:pPr>
            <w:r>
              <w:t xml:space="preserve">178,238</w:t>
            </w:r>
          </w:p>
        </w:tc>
        <w:tc>
          <w:tcPr/>
          <w:p>
            <w:pPr>
              <w:pStyle w:val="Compact"/>
              <w:jc w:val="left"/>
            </w:pPr>
            <w:r>
              <w:t xml:space="preserve">Command sequences only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Fusion 360 Gallery (2021)</w:t>
            </w:r>
            <w:r>
              <w:t xml:space="preserve"> </w:t>
            </w:r>
            <w:fldSimple w:instr="NOTEREF _Ref_Footnote_14 \h \f">
              <w:r>
                <w:rPr>
                  <w:vertAlign w:val="superscript"/>
                </w:rPr>
                <w:t>14</w:t>
              </w:r>
            </w:fldSimple>
          </w:p>
        </w:tc>
        <w:tc>
          <w:tcPr/>
          <w:p>
            <w:pPr>
              <w:pStyle w:val="Compact"/>
              <w:jc w:val="left"/>
            </w:pPr>
            <w:r>
              <w:t xml:space="preserve">8,625 programs</w:t>
            </w:r>
          </w:p>
        </w:tc>
        <w:tc>
          <w:tcPr/>
          <w:p>
            <w:pPr>
              <w:pStyle w:val="Compact"/>
              <w:jc w:val="left"/>
            </w:pPr>
            <w:r>
              <w:t xml:space="preserve">Build history, face labels, joints</w:t>
            </w:r>
          </w:p>
        </w:tc>
        <w:tc>
          <w:tcPr/>
          <w:p>
            <w:pPr>
              <w:pStyle w:val="Compact"/>
              <w:jc w:val="left"/>
            </w:pPr>
            <w:r>
              <w:t xml:space="preserve">Limited</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Text2CAD (2024)</w:t>
            </w:r>
            <w:r>
              <w:t xml:space="preserve"> </w:t>
            </w:r>
            <w:fldSimple w:instr="NOTEREF _Ref_Footnote_55 \h \f">
              <w:r>
                <w:rPr>
                  <w:vertAlign w:val="superscript"/>
                </w:rPr>
                <w:t>55</w:t>
              </w:r>
            </w:fldSimple>
          </w:p>
        </w:tc>
        <w:tc>
          <w:tcPr/>
          <w:p>
            <w:pPr>
              <w:pStyle w:val="Compact"/>
              <w:jc w:val="left"/>
            </w:pPr>
            <w:r>
              <w:t xml:space="preserve">~170K models, ~660K annotations</w:t>
            </w:r>
          </w:p>
        </w:tc>
        <w:tc>
          <w:tcPr/>
          <w:p>
            <w:pPr>
              <w:pStyle w:val="Compact"/>
              <w:jc w:val="left"/>
            </w:pPr>
            <w:r>
              <w:t xml:space="preserve">4 expertise levels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Omni-CAD (2024)</w:t>
            </w:r>
            <w:r>
              <w:t xml:space="preserve"> </w:t>
            </w:r>
            <w:fldSimple w:instr="NOTEREF _Ref_Footnote_57 \h \f">
              <w:r>
                <w:rPr>
                  <w:vertAlign w:val="superscript"/>
                </w:rPr>
                <w:t>57</w:t>
              </w:r>
            </w:fldSimple>
          </w:p>
        </w:tc>
        <w:tc>
          <w:tcPr/>
          <w:p>
            <w:pPr>
              <w:pStyle w:val="Compact"/>
              <w:jc w:val="left"/>
            </w:pPr>
            <w:r>
              <w:t xml:space="preserve">~453K instances</w:t>
            </w:r>
          </w:p>
        </w:tc>
        <w:tc>
          <w:tcPr/>
          <w:p>
            <w:pPr>
              <w:pStyle w:val="Compact"/>
              <w:jc w:val="left"/>
            </w:pPr>
            <w:r>
              <w:t xml:space="preserve">Multimodal (text + image + point cloud + seq)</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GenCAD-Code (2025)</w:t>
            </w:r>
            <w:r>
              <w:t xml:space="preserve"> </w:t>
            </w:r>
            <w:fldSimple w:instr="NOTEREF _Ref_Footnote_56 \h \f">
              <w:r>
                <w:rPr>
                  <w:vertAlign w:val="superscript"/>
                </w:rPr>
                <w:t>56</w:t>
              </w:r>
            </w:fldSimple>
          </w:p>
        </w:tc>
        <w:tc>
          <w:tcPr/>
          <w:p>
            <w:pPr>
              <w:pStyle w:val="Compact"/>
              <w:jc w:val="left"/>
            </w:pPr>
            <w:r>
              <w:t xml:space="preserve">163,671</w:t>
            </w:r>
          </w:p>
        </w:tc>
        <w:tc>
          <w:tcPr/>
          <w:p>
            <w:pPr>
              <w:pStyle w:val="Compact"/>
              <w:jc w:val="left"/>
            </w:pPr>
            <w:r>
              <w:t xml:space="preserve">Image + CadQuery pairs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FutureCAD (2026)</w:t>
            </w:r>
            <w:r>
              <w:t xml:space="preserve"> </w:t>
            </w:r>
            <w:fldSimple w:instr="NOTEREF _Ref_Footnote_42 \h \f">
              <w:r>
                <w:rPr>
                  <w:vertAlign w:val="superscript"/>
                </w:rPr>
                <w:t>42</w:t>
              </w:r>
            </w:fldSimple>
          </w:p>
        </w:tc>
        <w:tc>
          <w:tcPr/>
          <w:p>
            <w:pPr>
              <w:pStyle w:val="Compact"/>
              <w:jc w:val="left"/>
            </w:pPr>
            <w:r>
              <w:t xml:space="preserve">140,000+</w:t>
            </w:r>
          </w:p>
        </w:tc>
        <w:tc>
          <w:tcPr/>
          <w:p>
            <w:pPr>
              <w:pStyle w:val="Compact"/>
              <w:jc w:val="left"/>
            </w:pPr>
            <w:r>
              <w:t xml:space="preserve">Fillet, chamfer, shell operations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Zero-to-CAD (2026)</w:t>
            </w:r>
            <w:r>
              <w:t xml:space="preserve"> </w:t>
            </w:r>
            <w:r>
              <w:rPr>
                <w:vertAlign w:val="superscript"/>
              </w:rPr>
              <w:footnoteReference w:id="61"/>
            </w:r>
          </w:p>
        </w:tc>
        <w:tc>
          <w:tcPr/>
          <w:p>
            <w:pPr>
              <w:pStyle w:val="Compact"/>
              <w:jc w:val="left"/>
            </w:pPr>
            <w:r>
              <w:t xml:space="preserve">~999,633</w:t>
            </w:r>
          </w:p>
        </w:tc>
        <w:tc>
          <w:tcPr/>
          <w:p>
            <w:pPr>
              <w:pStyle w:val="Compact"/>
              <w:jc w:val="left"/>
            </w:pPr>
            <w:r>
              <w:t xml:space="preserve">Synthetic agent-generated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bl>
    <w:p>
      <w:pPr>
        <w:pStyle w:val="BodyText"/>
      </w:pPr>
      <w:r>
        <w:t xml:space="preserve">The table reveals a critical gap: no publicly available dataset includes manufacturing constraints, physics annotations, or geometric dimensioning and tolerancing (GD&amp;T) specifications. DeepCAD’s 178,238 models—the field’s foundational corpus—contain only raw command sequences with no textual descriptions, no constraint semantics, and no manufacturing metadata</w:t>
      </w:r>
      <w:r>
        <w:t xml:space="preserve"> </w:t>
      </w:r>
      <w:fldSimple w:instr="NOTEREF _Ref_Footnote_13 \h \f">
        <w:r>
          <w:rPr>
            <w:vertAlign w:val="superscript"/>
          </w:rPr>
          <w:t>13</w:t>
        </w:r>
      </w:fldSimple>
      <w:r>
        <w:t xml:space="preserve">. Text2CAD’s 660,000 annotations describe geometry at four expertise levels but say nothing about whether the described shape can be machined, cast, or 3D-printed</w:t>
      </w:r>
      <w:r>
        <w:t xml:space="preserve"> </w:t>
      </w:r>
      <w:fldSimple w:instr="NOTEREF _Ref_Footnote_55 \h \f">
        <w:r>
          <w:rPr>
            <w:vertAlign w:val="superscript"/>
          </w:rPr>
          <w:t>55</w:t>
        </w:r>
      </w:fldSimple>
      <w:r>
        <w:t xml:space="preserve">. Omni-CAD’s multimodal richness (text, images, point clouds, sequences) is unmatched in scale at ~453,000 instances, yet it too lacks any engineering constraint annotations</w:t>
      </w:r>
      <w:r>
        <w:t xml:space="preserve"> </w:t>
      </w:r>
      <w:fldSimple w:instr="NOTEREF _Ref_Footnote_57 \h \f">
        <w:r>
          <w:rPr>
            <w:vertAlign w:val="superscript"/>
          </w:rPr>
          <w:t>57</w:t>
        </w:r>
      </w:fldSimple>
      <w:r>
        <w:t xml:space="preserve">. FutureCAD extends the operation set to include fillets, chamfers, and shells—operations essential for real engineering parts—but its 140,000+ models contain no stress analysis, no tolerance chains, and no material specifications</w:t>
      </w:r>
      <w:r>
        <w:t xml:space="preserve"> </w:t>
      </w:r>
      <w:fldSimple w:instr="NOTEREF _Ref_Footnote_42 \h \f">
        <w:r>
          <w:rPr>
            <w:vertAlign w:val="superscript"/>
          </w:rPr>
          <w:t>42</w:t>
        </w:r>
      </w:fldSimple>
      <w:r>
        <w:t xml:space="preserve">.</w:t>
      </w:r>
    </w:p>
    <w:p>
      <w:pPr>
        <w:pStyle w:val="BodyText"/>
      </w:pPr>
      <w:r>
        <w:t xml:space="preserve">The performance plateau despite million-scale data suggests that the bottleneck is not dataset size but dataset</w:t>
      </w:r>
      <w:r>
        <w:t xml:space="preserve"> </w:t>
      </w:r>
      <w:r>
        <w:rPr>
          <w:iCs/>
          <w:i/>
        </w:rPr>
        <w:t xml:space="preserve">nature</w:t>
      </w:r>
      <w:r>
        <w:t xml:space="preserve">. Current datasets answer the question</w:t>
      </w:r>
      <w:r>
        <w:t xml:space="preserve"> </w:t>
      </w:r>
      <w:r>
        <w:t xml:space="preserve">“</w:t>
      </w:r>
      <w:r>
        <w:t xml:space="preserve">what does this geometry look like?</w:t>
      </w:r>
      <w:r>
        <w:t xml:space="preserve">”</w:t>
      </w:r>
      <w:r>
        <w:t xml:space="preserve"> </w:t>
      </w:r>
      <w:r>
        <w:t xml:space="preserve">but not</w:t>
      </w:r>
      <w:r>
        <w:t xml:space="preserve"> </w:t>
      </w:r>
      <w:r>
        <w:t xml:space="preserve">“</w:t>
      </w:r>
      <w:r>
        <w:t xml:space="preserve">will this geometry survive a 500 N load?</w:t>
      </w:r>
      <w:r>
        <w:t xml:space="preserve">”</w:t>
      </w:r>
      <w:r>
        <w:t xml:space="preserve"> </w:t>
      </w:r>
      <w:r>
        <w:t xml:space="preserve">or</w:t>
      </w:r>
      <w:r>
        <w:t xml:space="preserve"> </w:t>
      </w:r>
      <w:r>
        <w:t xml:space="preserve">“</w:t>
      </w:r>
      <w:r>
        <w:t xml:space="preserve">can this geometry be CNC-machined without fixture collisions?</w:t>
      </w:r>
      <w:r>
        <w:t xml:space="preserve">”</w:t>
      </w:r>
      <w:r>
        <w:t xml:space="preserve"> </w:t>
      </w:r>
      <w:r>
        <w:t xml:space="preserve">The MUSE benchmark’s functionality score of 42/100 and manufacturability score of 35/100 reflect this constraint vacuum: models learn to generate shapes that look correct but fail engineering validation because the training data never encoded engineering rules</w:t>
      </w:r>
      <w:r>
        <w:t xml:space="preserve"> </w:t>
      </w:r>
      <w:fldSimple w:instr="NOTEREF _Ref_Footnote_12 \h \f">
        <w:r>
          <w:rPr>
            <w:vertAlign w:val="superscript"/>
          </w:rPr>
          <w:t>12</w:t>
        </w:r>
      </w:fldSimple>
      <w:r>
        <w:t xml:space="preserve">.</w:t>
      </w:r>
    </w:p>
    <w:bookmarkEnd w:id="60"/>
    <w:bookmarkStart w:id="61" w:name="X085c82260df22520d8febc9c5e3db533441e8b3"/>
    <w:p>
      <w:pPr>
        <w:pStyle w:val="Heading4"/>
      </w:pPr>
      <w:r>
        <w:t xml:space="preserve">3.4.2 Synthetic Data Strategies and Their Limits</w:t>
      </w:r>
    </w:p>
    <w:p>
      <w:pPr>
        <w:pStyle w:val="FirstParagraph"/>
      </w:pPr>
      <w:r>
        <w:t xml:space="preserve">Autodesk’s Zero-to-CAD project represents the most ambitious attempt to break the data ceiling through synthetic generation. Using agentic LLM synthesis without any real construction-history data, the project generated 999,633 executable CAD programs from LLM priors alone</w:t>
      </w:r>
      <w:r>
        <w:t xml:space="preserve"> </w:t>
      </w:r>
      <w:fldSimple w:instr="NOTEREF _Ref_Footnote_61 \h \f">
        <w:r>
          <w:rPr>
            <w:vertAlign w:val="superscript"/>
          </w:rPr>
          <w:t>61</w:t>
        </w:r>
      </w:fldSimple>
      <w:r>
        <w:t xml:space="preserve">. The approach is conceptually appealing: if real-world annotated CAD data is scarce, perhaps a sufficiently capable LLM can synthesize training data autonomously. However, the domain gap between synthetic and real-world CAD programs introduces its own failure modes. Synthetic programs generated from LLM priors reproduce the patterns and biases of the generating model, creating a closed loop that amplifies common patterns while systematically missing the edge cases that distinguish engineering-grade geometry from visually plausible shapes. Zero-to-CAD’s synthetic programs lack the manufacturing constraints, tolerance annotations, and assembly relationships that would make them useful for production engineering. The result is a dataset that is large in volume but narrow in the dimensions that matter for engineering validity.</w:t>
      </w:r>
    </w:p>
    <w:p>
      <w:pPr>
        <w:pStyle w:val="BodyText"/>
      </w:pPr>
      <w:r>
        <w:t xml:space="preserve">The implication is that the next breakthrough in text-to-CAD will likely originate from a dataset innovation rather than a model architecture advance. A dataset of even 10,000 CAD models with full finite-element analysis annotations, GD&amp;T specifications, manufacturing process constraints, and assembly mate relationships would likely enable more capable models than another 100,000 unannotated geometries. Autodesk, Siemens, and Dassault are uniquely positioned to create such datasets from their proprietary engineering data—potentially establishing a data moat that open-source projects cannot replicate. The question is whether these vendors will recognize the strategic value of releasing constraint-rich training data before the open-source community finds alternative paths to the same capability.</w:t>
      </w:r>
    </w:p>
    <w:p>
      <w:r>
        <w:pict>
          <v:rect style="width:0;height:1.5pt" o:hralign="center" o:hrstd="t" o:hr="t"/>
        </w:pict>
      </w:r>
    </w:p>
    <w:bookmarkEnd w:id="61"/>
    <w:bookmarkEnd w:id="62"/>
    <w:bookmarkEnd w:id="63"/>
    <w:bookmarkStart w:id="80" w:name="X73a5cb2b8fe5145b55af7cbcf0389183bff998f"/>
    <w:p>
      <w:pPr>
        <w:pStyle w:val="Heading2"/>
      </w:pPr>
      <w:r>
        <w:t xml:space="preserve">4. Multi-Agent Architectures and Visual Feedback Loops</w:t>
      </w:r>
    </w:p>
    <w:p>
      <w:pPr>
        <w:pStyle w:val="FirstParagraph"/>
      </w:pPr>
      <w:r>
        <w:t xml:space="preserve">The most consequential architectural discovery in AI-driven 3D generation during 2024–2026 was not a new model architecture or training algorithm. It was the emergence of a universal operational pattern:</w:t>
      </w:r>
      <w:r>
        <w:t xml:space="preserve"> </w:t>
      </w:r>
      <w:r>
        <w:rPr>
          <w:bCs/>
          <w:b/>
        </w:rPr>
        <w:t xml:space="preserve">generate, render, critique, refine</w:t>
      </w:r>
      <w:r>
        <w:t xml:space="preserve">. Across eight independently developed multi-agent systems—LL3M, PAC Framework, DD3M, SceneAssistant, VIGA, BlenderAlchemy, SceneWeaver, and CADSmith—research teams converged on the same structural insight: spatial reasoning requires spatial perception, and text-only feedback is structurally insufficient for geometric tasks</w:t>
      </w:r>
      <w:r>
        <w:t xml:space="preserve"> </w:t>
      </w:r>
      <w:fldSimple w:instr="NOTEREF _Ref_Footnote_8 \h \f">
        <w:r>
          <w:rPr>
            <w:vertAlign w:val="superscript"/>
          </w:rPr>
          <w:t>8</w:t>
        </w:r>
      </w:fldSimple>
      <w:r>
        <w:t xml:space="preserve"> </w:t>
      </w:r>
      <w:fldSimple w:instr="NOTEREF _Ref_Footnote_7 \h \f">
        <w:r>
          <w:rPr>
            <w:vertAlign w:val="superscript"/>
          </w:rPr>
          <w:t>7</w:t>
        </w:r>
      </w:fldSimple>
      <w:r>
        <w:t xml:space="preserve"> </w:t>
      </w:r>
      <w:fldSimple w:instr="NOTEREF _Ref_Footnote_6 \h \f">
        <w:r>
          <w:rPr>
            <w:vertAlign w:val="superscript"/>
          </w:rPr>
          <w:t>6</w:t>
        </w:r>
      </w:fldSimple>
      <w:r>
        <w:t xml:space="preserve">. This chapter examines the architectures that implement this pattern, quantifies their performance gains, and establishes when multi-agent orchestration is justified over simpler single-agent approaches.</w:t>
      </w:r>
    </w:p>
    <w:bookmarkStart w:id="69" w:name="Xfd58757de0028a8a02f2648dbff7ef40aee60ba"/>
    <w:p>
      <w:pPr>
        <w:pStyle w:val="Heading3"/>
      </w:pPr>
      <w:r>
        <w:t xml:space="preserve">4.1 The Universal Pattern: Generate-Render-Critique-Refine</w:t>
      </w:r>
    </w:p>
    <w:bookmarkStart w:id="67" w:name="X3d2640bad862496c61f8fedec994195ef7e6728"/>
    <w:p>
      <w:pPr>
        <w:pStyle w:val="Heading4"/>
      </w:pPr>
      <w:r>
        <w:t xml:space="preserve">4.1.1 Visual Feedback as a Non-Optional Property of Spatial Reasoning</w:t>
      </w:r>
    </w:p>
    <w:p>
      <w:pPr>
        <w:pStyle w:val="FirstParagraph"/>
      </w:pPr>
      <w:r>
        <w:t xml:space="preserve">Every successful multi-agent system for 3D generation shares one architectural feature: a closed-loop visual feedback mechanism in which rendered two-dimensional views of generated geometry are evaluated by a Vision-Language Model (VLM), with the resulting critique fed back to a code-generating agent for correction. This is not an implementation preference but a fundamental property of three-dimensional generation. Large Language Models (LLMs) operating without visual feedback suffer from what researchers term</w:t>
      </w:r>
      <w:r>
        <w:t xml:space="preserve"> </w:t>
      </w:r>
      <w:r>
        <w:rPr>
          <w:bCs/>
          <w:b/>
        </w:rPr>
        <w:t xml:space="preserve">contextual blindness</w:t>
      </w:r>
      <w:r>
        <w:t xml:space="preserve">—they generate syntactically valid code without any ability to detect misshapen meshes, floating objects, missing materials, or incorrect proportions</w:t>
      </w:r>
      <w:r>
        <w:t xml:space="preserve"> </w:t>
      </w:r>
      <w:fldSimple w:instr="NOTEREF _Ref_Footnote_5 \h \f">
        <w:r>
          <w:rPr>
            <w:vertAlign w:val="superscript"/>
          </w:rPr>
          <w:t>5</w:t>
        </w:r>
      </w:fldSimple>
      <w:r>
        <w:t xml:space="preserve">.</w:t>
      </w:r>
    </w:p>
    <w:p>
      <w:pPr>
        <w:pStyle w:val="BodyText"/>
      </w:pPr>
      <w:r>
        <w:t xml:space="preserve">The quantitative evidence for this claim is substantial and spans multiple independent research groups and evaluation protocols. SceneCraft, an LLM agent for synthesizing 3D scenes as Blender code, achieves a 45.1% improvement in CLIP score over the BlenderGPT baseline through iterative render-and-refine loops</w:t>
      </w:r>
      <w:r>
        <w:t xml:space="preserve"> </w:t>
      </w:r>
      <w:fldSimple w:instr="NOTEREF _Ref_Footnote_9 \h \f">
        <w:r>
          <w:rPr>
            <w:vertAlign w:val="superscript"/>
          </w:rPr>
          <w:t>9</w:t>
        </w:r>
      </w:fldSimple>
      <w:r>
        <w:t xml:space="preserve">. CADSmith reduces mean Chamfer Distance (CD)—a measure of geometric discrepancy between predicted and target shapes—from 28.37 to 0.74, representing a 38-fold improvement over zero-shot generation</w:t>
      </w:r>
      <w:r>
        <w:t xml:space="preserve"> </w:t>
      </w:r>
      <w:fldSimple w:instr="NOTEREF _Ref_Footnote_6 \h \f">
        <w:r>
          <w:rPr>
            <w:vertAlign w:val="superscript"/>
          </w:rPr>
          <w:t>6</w:t>
        </w:r>
      </w:fldSimple>
      <w:r>
        <w:t xml:space="preserve">. LL3M’s visual critique pipeline reduces execution errors by 26% compared to generation without automated visual inspection</w:t>
      </w:r>
      <w:r>
        <w:t xml:space="preserve"> </w:t>
      </w:r>
      <w:fldSimple w:instr="NOTEREF _Ref_Footnote_8 \h \f">
        <w:r>
          <w:rPr>
            <w:vertAlign w:val="superscript"/>
          </w:rPr>
          <w:t>8</w:t>
        </w:r>
      </w:fldSimple>
      <w:r>
        <w:t xml:space="preserve">. VIGA achieves benchmark improvements ranging from +35.32% on BlenderGym to +124.70% on its proprietary BlenderBench, all attributable to interleaved code-render-inspect cycles</w:t>
      </w:r>
      <w:r>
        <w:t xml:space="preserve"> </w:t>
      </w:r>
      <w:fldSimple w:instr="NOTEREF _Ref_Footnote_43 \h \f">
        <w:r>
          <w:rPr>
            <w:vertAlign w:val="superscript"/>
          </w:rPr>
          <w:t>43</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Feedback Mechanism</w:t>
            </w:r>
          </w:p>
        </w:tc>
        <w:tc>
          <w:tcPr/>
          <w:p>
            <w:pPr>
              <w:pStyle w:val="Compact"/>
              <w:jc w:val="left"/>
            </w:pPr>
            <w:r>
              <w:t xml:space="preserve">Primary Metric</w:t>
            </w:r>
          </w:p>
        </w:tc>
        <w:tc>
          <w:tcPr/>
          <w:p>
            <w:pPr>
              <w:pStyle w:val="Compact"/>
              <w:jc w:val="left"/>
            </w:pPr>
            <w:r>
              <w:t xml:space="preserve">Improvement</w:t>
            </w:r>
          </w:p>
        </w:tc>
        <w:tc>
          <w:tcPr/>
          <w:p>
            <w:pPr>
              <w:pStyle w:val="Compact"/>
              <w:jc w:val="left"/>
            </w:pPr>
            <w:r>
              <w:t xml:space="preserve">Iteration Limit</w:t>
            </w:r>
          </w:p>
        </w:tc>
      </w:tr>
      <w:tr>
        <w:tc>
          <w:tcPr/>
          <w:p>
            <w:pPr>
              <w:pStyle w:val="Compact"/>
              <w:jc w:val="left"/>
            </w:pPr>
            <w:r>
              <w:t xml:space="preserve">SceneCraft</w:t>
            </w:r>
            <w:r>
              <w:t xml:space="preserve"> </w:t>
            </w:r>
            <w:fldSimple w:instr="NOTEREF _Ref_Footnote_9 \h \f">
              <w:r>
                <w:rPr>
                  <w:vertAlign w:val="superscript"/>
                </w:rPr>
                <w:t>9</w:t>
              </w:r>
            </w:fldSimple>
          </w:p>
        </w:tc>
        <w:tc>
          <w:tcPr/>
          <w:p>
            <w:pPr>
              <w:pStyle w:val="Compact"/>
              <w:jc w:val="left"/>
            </w:pPr>
            <w:r>
              <w:t xml:space="preserve">GPT-V render critique vs. text prompt</w:t>
            </w:r>
          </w:p>
        </w:tc>
        <w:tc>
          <w:tcPr/>
          <w:p>
            <w:pPr>
              <w:pStyle w:val="Compact"/>
              <w:jc w:val="left"/>
            </w:pPr>
            <w:r>
              <w:t xml:space="preserve">CLIP score</w:t>
            </w:r>
          </w:p>
        </w:tc>
        <w:tc>
          <w:tcPr/>
          <w:p>
            <w:pPr>
              <w:pStyle w:val="Compact"/>
              <w:jc w:val="left"/>
            </w:pPr>
            <w:r>
              <w:t xml:space="preserve">+45.1% vs. BlenderGPT</w:t>
            </w:r>
          </w:p>
        </w:tc>
        <w:tc>
          <w:tcPr/>
          <w:p>
            <w:pPr>
              <w:pStyle w:val="Compact"/>
              <w:jc w:val="left"/>
            </w:pPr>
            <w:r>
              <w:t xml:space="preserve">Library-learning bounded</w:t>
            </w:r>
          </w:p>
        </w:tc>
      </w:tr>
      <w:tr>
        <w:tc>
          <w:tcPr/>
          <w:p>
            <w:pPr>
              <w:pStyle w:val="Compact"/>
              <w:jc w:val="left"/>
            </w:pPr>
            <w:r>
              <w:t xml:space="preserve">CADSmith</w:t>
            </w:r>
            <w:r>
              <w:t xml:space="preserve"> </w:t>
            </w:r>
            <w:fldSimple w:instr="NOTEREF _Ref_Footnote_6 \h \f">
              <w:r>
                <w:rPr>
                  <w:vertAlign w:val="superscript"/>
                </w:rPr>
                <w:t>6</w:t>
              </w:r>
            </w:fldSimple>
          </w:p>
        </w:tc>
        <w:tc>
          <w:tcPr/>
          <w:p>
            <w:pPr>
              <w:pStyle w:val="Compact"/>
              <w:jc w:val="left"/>
            </w:pPr>
            <w:r>
              <w:t xml:space="preserve">Claude Opus Judge on 3-view renders + kernel metrics</w:t>
            </w:r>
          </w:p>
        </w:tc>
        <w:tc>
          <w:tcPr/>
          <w:p>
            <w:pPr>
              <w:pStyle w:val="Compact"/>
              <w:jc w:val="left"/>
            </w:pPr>
            <w:r>
              <w:t xml:space="preserve">Mean Chamfer Distance</w:t>
            </w:r>
          </w:p>
        </w:tc>
        <w:tc>
          <w:tcPr/>
          <w:p>
            <w:pPr>
              <w:pStyle w:val="Compact"/>
              <w:jc w:val="left"/>
            </w:pPr>
            <w:r>
              <w:t xml:space="preserve">28.37 → 0.74 (38×)</w:t>
            </w:r>
          </w:p>
        </w:tc>
        <w:tc>
          <w:tcPr/>
          <w:p>
            <w:pPr>
              <w:pStyle w:val="Compact"/>
              <w:jc w:val="left"/>
            </w:pPr>
            <w:r>
              <w:t xml:space="preserve">5 outer-loop iterations</w:t>
            </w:r>
          </w:p>
        </w:tc>
      </w:tr>
      <w:tr>
        <w:tc>
          <w:tcPr/>
          <w:p>
            <w:pPr>
              <w:pStyle w:val="Compact"/>
              <w:jc w:val="left"/>
            </w:pPr>
            <w:r>
              <w:t xml:space="preserve">LL3M</w:t>
            </w:r>
            <w:r>
              <w:t xml:space="preserve"> </w:t>
            </w:r>
            <w:fldSimple w:instr="NOTEREF _Ref_Footnote_8 \h \f">
              <w:r>
                <w:rPr>
                  <w:vertAlign w:val="superscript"/>
                </w:rPr>
                <w:t>8</w:t>
              </w:r>
            </w:fldSimple>
          </w:p>
        </w:tc>
        <w:tc>
          <w:tcPr/>
          <w:p>
            <w:pPr>
              <w:pStyle w:val="Compact"/>
              <w:jc w:val="left"/>
            </w:pPr>
            <w:r>
              <w:t xml:space="preserve">External VLM critique + verification agent</w:t>
            </w:r>
          </w:p>
        </w:tc>
        <w:tc>
          <w:tcPr/>
          <w:p>
            <w:pPr>
              <w:pStyle w:val="Compact"/>
              <w:jc w:val="left"/>
            </w:pPr>
            <w:r>
              <w:t xml:space="preserve">Execution error rate</w:t>
            </w:r>
          </w:p>
        </w:tc>
        <w:tc>
          <w:tcPr/>
          <w:p>
            <w:pPr>
              <w:pStyle w:val="Compact"/>
              <w:jc w:val="left"/>
            </w:pPr>
            <w:r>
              <w:t xml:space="preserve">−26% with BlenderRAG</w:t>
            </w:r>
          </w:p>
        </w:tc>
        <w:tc>
          <w:tcPr/>
          <w:p>
            <w:pPr>
              <w:pStyle w:val="Compact"/>
              <w:jc w:val="left"/>
            </w:pPr>
            <w:r>
              <w:t xml:space="preserve">Variable (phased)</w:t>
            </w:r>
          </w:p>
        </w:tc>
      </w:tr>
      <w:tr>
        <w:tc>
          <w:tcPr/>
          <w:p>
            <w:pPr>
              <w:pStyle w:val="Compact"/>
              <w:jc w:val="left"/>
            </w:pPr>
            <w:r>
              <w:t xml:space="preserve">VIGA</w:t>
            </w:r>
            <w:r>
              <w:t xml:space="preserve"> </w:t>
            </w:r>
            <w:fldSimple w:instr="NOTEREF _Ref_Footnote_43 \h \f">
              <w:r>
                <w:rPr>
                  <w:vertAlign w:val="superscript"/>
                </w:rPr>
                <w:t>43</w:t>
              </w:r>
            </w:fldSimple>
          </w:p>
        </w:tc>
        <w:tc>
          <w:tcPr/>
          <w:p>
            <w:pPr>
              <w:pStyle w:val="Compact"/>
              <w:jc w:val="left"/>
            </w:pPr>
            <w:r>
              <w:t xml:space="preserve">Agent’s own VLM, code-render-inspect loop</w:t>
            </w:r>
          </w:p>
        </w:tc>
        <w:tc>
          <w:tcPr/>
          <w:p>
            <w:pPr>
              <w:pStyle w:val="Compact"/>
              <w:jc w:val="left"/>
            </w:pPr>
            <w:r>
              <w:t xml:space="preserve">BlenderBench score</w:t>
            </w:r>
          </w:p>
        </w:tc>
        <w:tc>
          <w:tcPr/>
          <w:p>
            <w:pPr>
              <w:pStyle w:val="Compact"/>
              <w:jc w:val="left"/>
            </w:pPr>
            <w:r>
              <w:t xml:space="preserve">+124.7% vs. one-shot</w:t>
            </w:r>
          </w:p>
        </w:tc>
        <w:tc>
          <w:tcPr/>
          <w:p>
            <w:pPr>
              <w:pStyle w:val="Compact"/>
              <w:jc w:val="left"/>
            </w:pPr>
            <w:r>
              <w:t xml:space="preserve">10 rounds (max_iterate)</w:t>
            </w:r>
          </w:p>
        </w:tc>
      </w:tr>
      <w:tr>
        <w:tc>
          <w:tcPr/>
          <w:p>
            <w:pPr>
              <w:pStyle w:val="Compact"/>
              <w:jc w:val="left"/>
            </w:pPr>
            <w:r>
              <w:t xml:space="preserve">PAC Framework</w:t>
            </w:r>
            <w:r>
              <w:t xml:space="preserve"> </w:t>
            </w:r>
            <w:fldSimple w:instr="NOTEREF _Ref_Footnote_7 \h \f">
              <w:r>
                <w:rPr>
                  <w:vertAlign w:val="superscript"/>
                </w:rPr>
                <w:t>7</w:t>
              </w:r>
            </w:fldSimple>
          </w:p>
        </w:tc>
        <w:tc>
          <w:tcPr/>
          <w:p>
            <w:pPr>
              <w:pStyle w:val="Compact"/>
              <w:jc w:val="left"/>
            </w:pPr>
            <w:r>
              <w:t xml:space="preserve">Critic agent structured critique</w:t>
            </w:r>
          </w:p>
        </w:tc>
        <w:tc>
          <w:tcPr/>
          <w:p>
            <w:pPr>
              <w:pStyle w:val="Compact"/>
              <w:jc w:val="left"/>
            </w:pPr>
            <w:r>
              <w:t xml:space="preserve">Task success (simple)</w:t>
            </w:r>
          </w:p>
        </w:tc>
        <w:tc>
          <w:tcPr/>
          <w:p>
            <w:pPr>
              <w:pStyle w:val="Compact"/>
              <w:jc w:val="left"/>
            </w:pPr>
            <w:r>
              <w:t xml:space="preserve">93% within 3 iterations</w:t>
            </w:r>
          </w:p>
        </w:tc>
        <w:tc>
          <w:tcPr/>
          <w:p>
            <w:pPr>
              <w:pStyle w:val="Compact"/>
              <w:jc w:val="left"/>
            </w:pPr>
            <w:r>
              <w:t xml:space="preserve">Unbounded (human fallback)</w:t>
            </w:r>
          </w:p>
        </w:tc>
      </w:tr>
      <w:tr>
        <w:tc>
          <w:tcPr/>
          <w:p>
            <w:pPr>
              <w:pStyle w:val="Compact"/>
              <w:jc w:val="left"/>
            </w:pPr>
            <w:r>
              <w:t xml:space="preserve">SceneAssistant</w:t>
            </w:r>
            <w:r>
              <w:t xml:space="preserve"> </w:t>
            </w:r>
            <w:r>
              <w:rPr>
                <w:vertAlign w:val="superscript"/>
              </w:rPr>
              <w:footnoteReference w:id="62"/>
            </w:r>
          </w:p>
        </w:tc>
        <w:tc>
          <w:tcPr/>
          <w:p>
            <w:pPr>
              <w:pStyle w:val="Compact"/>
              <w:jc w:val="left"/>
            </w:pPr>
            <w:r>
              <w:t xml:space="preserve">Gemini VLM on annotated renders</w:t>
            </w:r>
          </w:p>
        </w:tc>
        <w:tc>
          <w:tcPr/>
          <w:p>
            <w:pPr>
              <w:pStyle w:val="Compact"/>
              <w:jc w:val="left"/>
            </w:pPr>
            <w:r>
              <w:t xml:space="preserve">Layout correctness</w:t>
            </w:r>
          </w:p>
        </w:tc>
        <w:tc>
          <w:tcPr/>
          <w:p>
            <w:pPr>
              <w:pStyle w:val="Compact"/>
              <w:jc w:val="left"/>
            </w:pPr>
            <w:r>
              <w:t xml:space="preserve">Visual prompt ablation confirms necessity</w:t>
            </w:r>
          </w:p>
        </w:tc>
        <w:tc>
          <w:tcPr/>
          <w:p>
            <w:pPr>
              <w:pStyle w:val="Compact"/>
              <w:jc w:val="left"/>
            </w:pPr>
            <w:r>
              <w:t xml:space="preserve">20 steps (hard limit)</w:t>
            </w:r>
          </w:p>
        </w:tc>
      </w:tr>
    </w:tbl>
    <w:p>
      <w:pPr>
        <w:pStyle w:val="BodyText"/>
      </w:pPr>
      <w:r>
        <w:t xml:space="preserve">The convergence is remarkable because these systems were developed independently across different institutions, using different base models, and for different 3D tasks. The common thread is that text or code descriptions of 3D geometry are inherently lossy—a VLM examining a rendered view can detect errors that are invisible to a text-only evaluator. Even when single-pass generation produces syntactically executable code, the resulting geometry frequently deviates from design intent in ways that only visual inspection can reveal.</w:t>
      </w:r>
    </w:p>
    <w:p>
      <w:pPr>
        <w:pStyle w:val="CaptionedFigure"/>
      </w:pPr>
      <w:r>
        <w:drawing>
          <wp:inline>
            <wp:extent cx="5334000" cy="3158289"/>
            <wp:effectExtent b="0" l="0" r="0" t="0"/>
            <wp:docPr descr="Quantified Impact of Visual Feedback Loops" title="" id="65" name="Picture"/>
            <a:graphic>
              <a:graphicData uri="http://schemas.openxmlformats.org/drawingml/2006/picture">
                <pic:pic>
                  <pic:nvPicPr>
                    <pic:cNvPr descr="fig_4_1_visual_feedback_impact.png" id="66" name="Picture"/>
                    <pic:cNvPicPr>
                      <a:picLocks noChangeArrowheads="1" noChangeAspect="1"/>
                    </pic:cNvPicPr>
                  </pic:nvPicPr>
                  <pic:blipFill>
                    <a:blip r:embed="rId64"/>
                    <a:stretch>
                      <a:fillRect/>
                    </a:stretch>
                  </pic:blipFill>
                  <pic:spPr bwMode="auto">
                    <a:xfrm>
                      <a:off x="0" y="0"/>
                      <a:ext cx="5334000" cy="3158289"/>
                    </a:xfrm>
                    <a:prstGeom prst="rect">
                      <a:avLst/>
                    </a:prstGeom>
                    <a:noFill/>
                    <a:ln w="9525">
                      <a:noFill/>
                      <a:headEnd/>
                      <a:tailEnd/>
                    </a:ln>
                  </pic:spPr>
                </pic:pic>
              </a:graphicData>
            </a:graphic>
          </wp:inline>
        </w:drawing>
      </w:r>
    </w:p>
    <w:p>
      <w:pPr>
        <w:pStyle w:val="ImageCaption"/>
      </w:pPr>
      <w:r>
        <w:t xml:space="preserve">Quantified Impact of Visual Feedback Loops</w:t>
      </w:r>
    </w:p>
    <w:p>
      <w:pPr>
        <w:pStyle w:val="BodyText"/>
      </w:pPr>
      <w:r>
        <w:t xml:space="preserve">The figure above aggregates performance improvements across six systems. While metric definitions vary (CLIP alignment, Chamfer Distance, execution error rate, benchmark score), the directional finding is unambiguous: every system implementing visual feedback loops demonstrates substantial quality improvements over one-shot or text-only baselines. The magnitude of improvement correlates with feedback quality—CADSmith’s use of a stronger independent model (Claude Opus) as Judge than its code generator (Claude Sonnet) produces the largest geometric fidelity gain</w:t>
      </w:r>
      <w:r>
        <w:t xml:space="preserve"> </w:t>
      </w:r>
      <w:fldSimple w:instr="NOTEREF _Ref_Footnote_6 \h \f">
        <w:r>
          <w:rPr>
            <w:vertAlign w:val="superscript"/>
          </w:rPr>
          <w:t>6</w:t>
        </w:r>
      </w:fldSimple>
      <w:r>
        <w:t xml:space="preserve">.</w:t>
      </w:r>
    </w:p>
    <w:bookmarkEnd w:id="67"/>
    <w:bookmarkStart w:id="68" w:name="the-vlm-critique-mechanism"/>
    <w:p>
      <w:pPr>
        <w:pStyle w:val="Heading4"/>
      </w:pPr>
      <w:r>
        <w:t xml:space="preserve">4.1.2 The VLM Critique Mechanism</w:t>
      </w:r>
    </w:p>
    <w:p>
      <w:pPr>
        <w:pStyle w:val="FirstParagraph"/>
      </w:pPr>
      <w:r>
        <w:t xml:space="preserve">The critique mechanism follows a consistent six-step structure across architectures. First, the</w:t>
      </w:r>
      <w:r>
        <w:t xml:space="preserve"> </w:t>
      </w:r>
      <w:r>
        <w:rPr>
          <w:bCs/>
          <w:b/>
        </w:rPr>
        <w:t xml:space="preserve">Renderer</w:t>
      </w:r>
      <w:r>
        <w:t xml:space="preserve"> </w:t>
      </w:r>
      <w:r>
        <w:t xml:space="preserve">generates two-dimensional views of the current 3D state, typically from multiple camera angles to maximize coverage. Second, the</w:t>
      </w:r>
      <w:r>
        <w:t xml:space="preserve"> </w:t>
      </w:r>
      <w:r>
        <w:rPr>
          <w:bCs/>
          <w:b/>
        </w:rPr>
        <w:t xml:space="preserve">Comparator</w:t>
      </w:r>
      <w:r>
        <w:t xml:space="preserve"> </w:t>
      </w:r>
      <w:r>
        <w:t xml:space="preserve">(a VLM) evaluates the render against a target specification—either a text prompt, a reference image, or a combination of both. Third, the VLM</w:t>
      </w:r>
      <w:r>
        <w:t xml:space="preserve"> </w:t>
      </w:r>
      <w:r>
        <w:rPr>
          <w:bCs/>
          <w:b/>
        </w:rPr>
        <w:t xml:space="preserve">identifies</w:t>
      </w:r>
      <w:r>
        <w:t xml:space="preserve"> </w:t>
      </w:r>
      <w:r>
        <w:t xml:space="preserve">discrepancies in natural language (e.g.,</w:t>
      </w:r>
      <w:r>
        <w:t xml:space="preserve"> </w:t>
      </w:r>
      <w:r>
        <w:t xml:space="preserve">“</w:t>
      </w:r>
      <w:r>
        <w:t xml:space="preserve">the legs are not attached to the seat</w:t>
      </w:r>
      <w:r>
        <w:t xml:space="preserve">”</w:t>
      </w:r>
      <w:r>
        <w:t xml:space="preserve"> </w:t>
      </w:r>
      <w:r>
        <w:t xml:space="preserve">or</w:t>
      </w:r>
      <w:r>
        <w:t xml:space="preserve"> </w:t>
      </w:r>
      <w:r>
        <w:t xml:space="preserve">“</w:t>
      </w:r>
      <w:r>
        <w:t xml:space="preserve">the front facade is rotated 90 degrees</w:t>
      </w:r>
      <w:r>
        <w:t xml:space="preserve">”</w:t>
      </w:r>
      <w:r>
        <w:t xml:space="preserve">). Fourth, the VLM</w:t>
      </w:r>
      <w:r>
        <w:t xml:space="preserve"> </w:t>
      </w:r>
      <w:r>
        <w:rPr>
          <w:bCs/>
          <w:b/>
        </w:rPr>
        <w:t xml:space="preserve">proposes</w:t>
      </w:r>
      <w:r>
        <w:t xml:space="preserve"> </w:t>
      </w:r>
      <w:r>
        <w:t xml:space="preserve">specific fixes, often structured as problem-solution pairs. Fifth, a</w:t>
      </w:r>
      <w:r>
        <w:t xml:space="preserve"> </w:t>
      </w:r>
      <w:r>
        <w:rPr>
          <w:bCs/>
          <w:b/>
        </w:rPr>
        <w:t xml:space="preserve">Coder</w:t>
      </w:r>
      <w:r>
        <w:t xml:space="preserve"> </w:t>
      </w:r>
      <w:r>
        <w:t xml:space="preserve">or</w:t>
      </w:r>
      <w:r>
        <w:t xml:space="preserve"> </w:t>
      </w:r>
      <w:r>
        <w:rPr>
          <w:bCs/>
          <w:b/>
        </w:rPr>
        <w:t xml:space="preserve">Actor</w:t>
      </w:r>
      <w:r>
        <w:t xml:space="preserve"> </w:t>
      </w:r>
      <w:r>
        <w:t xml:space="preserve">agent translates these natural-language fixes into executable code changes. Sixth, a</w:t>
      </w:r>
      <w:r>
        <w:t xml:space="preserve"> </w:t>
      </w:r>
      <w:r>
        <w:rPr>
          <w:bCs/>
          <w:b/>
        </w:rPr>
        <w:t xml:space="preserve">Verifier</w:t>
      </w:r>
      <w:r>
        <w:t xml:space="preserve"> </w:t>
      </w:r>
      <w:r>
        <w:t xml:space="preserve">re-renders the modified scene and confirms whether each critique was addressed</w:t>
      </w:r>
      <w:r>
        <w:t xml:space="preserve"> </w:t>
      </w:r>
      <w:fldSimple w:instr="NOTEREF _Ref_Footnote_8 \h \f">
        <w:r>
          <w:rPr>
            <w:vertAlign w:val="superscript"/>
          </w:rPr>
          <w:t>8</w:t>
        </w:r>
      </w:fldSimple>
      <w:r>
        <w:t xml:space="preserve"> </w:t>
      </w:r>
      <w:fldSimple w:instr="NOTEREF _Ref_Footnote_6 \h \f">
        <w:r>
          <w:rPr>
            <w:vertAlign w:val="superscript"/>
          </w:rPr>
          <w:t>6</w:t>
        </w:r>
      </w:fldSimple>
      <w:r>
        <w:t xml:space="preserve">.</w:t>
      </w:r>
    </w:p>
    <w:p>
      <w:pPr>
        <w:pStyle w:val="BodyText"/>
      </w:pPr>
      <w:r>
        <w:t xml:space="preserve">CADSmith’s implementation of this pattern is particularly rigorous. Its Judge agent receives not only three-view rendered images (isometric, high-angle rear, front profile) but also exact geometric kernel metrics from the Open CASCADE Technology (OCCT) kernel: volume, bounding box dimensions, and face/edge/vertex counts</w:t>
      </w:r>
      <w:r>
        <w:t xml:space="preserve"> </w:t>
      </w:r>
      <w:fldSimple w:instr="NOTEREF _Ref_Footnote_6 \h \f">
        <w:r>
          <w:rPr>
            <w:vertAlign w:val="superscript"/>
          </w:rPr>
          <w:t>6</w:t>
        </w:r>
      </w:fldSimple>
      <w:r>
        <w:t xml:space="preserve">. This multimodal feedback—combining visual perception with quantitative geometric validation—enables the Judge to catch discrepancies that visual inspection alone might miss, such as a correct-looking exterior shell that is topologically non-manifold.</w:t>
      </w:r>
    </w:p>
    <w:bookmarkEnd w:id="68"/>
    <w:bookmarkEnd w:id="69"/>
    <w:bookmarkStart w:id="73" w:name="multi-agent-system-architectures"/>
    <w:p>
      <w:pPr>
        <w:pStyle w:val="Heading3"/>
      </w:pPr>
      <w:r>
        <w:t xml:space="preserve">4.2 Multi-Agent System Architectures</w:t>
      </w:r>
    </w:p>
    <w:bookmarkStart w:id="70" w:name="ll3m-six-agent-decomposition"/>
    <w:p>
      <w:pPr>
        <w:pStyle w:val="Heading4"/>
      </w:pPr>
      <w:r>
        <w:t xml:space="preserve">4.2.1 LL3M: Six-Agent Decomposition</w:t>
      </w:r>
    </w:p>
    <w:p>
      <w:pPr>
        <w:pStyle w:val="FirstParagraph"/>
      </w:pPr>
      <w:r>
        <w:t xml:space="preserve">LL3M (Large Language 3D Modelers), developed at the University of Chicago’s 3DL lab, represents the most extensively documented multi-agent architecture for 3D generation. It coordinates six specialized agents through an external controller that maintains shared code context across all participants</w:t>
      </w:r>
      <w:r>
        <w:t xml:space="preserve"> </w:t>
      </w:r>
      <w:fldSimple w:instr="NOTEREF _Ref_Footnote_8 \h \f">
        <w:r>
          <w:rPr>
            <w:vertAlign w:val="superscript"/>
          </w:rPr>
          <w:t>8</w:t>
        </w:r>
      </w:fldSimple>
      <w:r>
        <w:t xml:space="preserve">:</w:t>
      </w:r>
    </w:p>
    <w:p>
      <w:pPr>
        <w:numPr>
          <w:ilvl w:val="0"/>
          <w:numId w:val="1001"/>
        </w:numPr>
        <w:pStyle w:val="Compact"/>
      </w:pPr>
      <w:r>
        <w:rPr>
          <w:bCs/>
          <w:b/>
        </w:rPr>
        <w:t xml:space="preserve">Planner</w:t>
      </w:r>
      <w:r>
        <w:t xml:space="preserve"> </w:t>
      </w:r>
      <w:r>
        <w:t xml:space="preserve">(GPT-4o): Decomposes user prompts into subtasks and delegates to appropriate agents.</w:t>
      </w:r>
    </w:p>
    <w:p>
      <w:pPr>
        <w:numPr>
          <w:ilvl w:val="0"/>
          <w:numId w:val="1001"/>
        </w:numPr>
        <w:pStyle w:val="Compact"/>
      </w:pPr>
      <w:r>
        <w:rPr>
          <w:bCs/>
          <w:b/>
        </w:rPr>
        <w:t xml:space="preserve">Retrieval</w:t>
      </w:r>
      <w:r>
        <w:t xml:space="preserve"> </w:t>
      </w:r>
      <w:r>
        <w:t xml:space="preserve">(GPT-4o): Queries BlenderRAG (Section 4.4.2) for version-specific Blender API documentation.</w:t>
      </w:r>
    </w:p>
    <w:p>
      <w:pPr>
        <w:numPr>
          <w:ilvl w:val="0"/>
          <w:numId w:val="1001"/>
        </w:numPr>
        <w:pStyle w:val="Compact"/>
      </w:pPr>
      <w:r>
        <w:rPr>
          <w:bCs/>
          <w:b/>
        </w:rPr>
        <w:t xml:space="preserve">Coding</w:t>
      </w:r>
      <w:r>
        <w:t xml:space="preserve"> </w:t>
      </w:r>
      <w:r>
        <w:t xml:space="preserve">(GPT-4o): Writes and executes Blender Python scripts.</w:t>
      </w:r>
    </w:p>
    <w:p>
      <w:pPr>
        <w:numPr>
          <w:ilvl w:val="0"/>
          <w:numId w:val="1001"/>
        </w:numPr>
        <w:pStyle w:val="Compact"/>
      </w:pPr>
      <w:r>
        <w:rPr>
          <w:bCs/>
          <w:b/>
        </w:rPr>
        <w:t xml:space="preserve">Critic</w:t>
      </w:r>
      <w:r>
        <w:t xml:space="preserve"> </w:t>
      </w:r>
      <w:r>
        <w:t xml:space="preserve">(External VLM): Renders multi-angle images and identifies visual defects with proposed fixes.</w:t>
      </w:r>
    </w:p>
    <w:p>
      <w:pPr>
        <w:numPr>
          <w:ilvl w:val="0"/>
          <w:numId w:val="1001"/>
        </w:numPr>
        <w:pStyle w:val="Compact"/>
      </w:pPr>
      <w:r>
        <w:rPr>
          <w:bCs/>
          <w:b/>
        </w:rPr>
        <w:t xml:space="preserve">Verification</w:t>
      </w:r>
      <w:r>
        <w:t xml:space="preserve"> </w:t>
      </w:r>
      <w:r>
        <w:t xml:space="preserve">(External VLM): Confirms whether critic-proposed fixes were correctly implemented.</w:t>
      </w:r>
    </w:p>
    <w:p>
      <w:pPr>
        <w:numPr>
          <w:ilvl w:val="0"/>
          <w:numId w:val="1001"/>
        </w:numPr>
        <w:pStyle w:val="Compact"/>
      </w:pPr>
      <w:r>
        <w:rPr>
          <w:bCs/>
          <w:b/>
        </w:rPr>
        <w:t xml:space="preserve">User Feedback</w:t>
      </w:r>
      <w:r>
        <w:t xml:space="preserve"> </w:t>
      </w:r>
      <w:r>
        <w:t xml:space="preserve">(GPT-4o): Processes iterative human edit instructions.</w:t>
      </w:r>
    </w:p>
    <w:p>
      <w:pPr>
        <w:pStyle w:val="FirstParagraph"/>
      </w:pPr>
      <w:r>
        <w:t xml:space="preserve">The three-phase pipeline operates as follows. The</w:t>
      </w:r>
      <w:r>
        <w:t xml:space="preserve"> </w:t>
      </w:r>
      <w:r>
        <w:rPr>
          <w:bCs/>
          <w:b/>
        </w:rPr>
        <w:t xml:space="preserve">Initial Creation Phase</w:t>
      </w:r>
      <w:r>
        <w:t xml:space="preserve"> </w:t>
      </w:r>
      <w:r>
        <w:t xml:space="preserve">takes approximately four minutes: the Planner decomposes the prompt, the Retrieval agent fetches API documentation, and the Coding agent synthesizes an initial Blender script. The</w:t>
      </w:r>
      <w:r>
        <w:t xml:space="preserve"> </w:t>
      </w:r>
      <w:r>
        <w:rPr>
          <w:bCs/>
          <w:b/>
        </w:rPr>
        <w:t xml:space="preserve">Auto-Refinement Phase</w:t>
      </w:r>
      <w:r>
        <w:t xml:space="preserve"> </w:t>
      </w:r>
      <w:r>
        <w:t xml:space="preserve">takes approximately six minutes: the Critic renders and critiques, the Coding agent fixes, and the Verification agent checks. The</w:t>
      </w:r>
      <w:r>
        <w:t xml:space="preserve"> </w:t>
      </w:r>
      <w:r>
        <w:rPr>
          <w:bCs/>
          <w:b/>
        </w:rPr>
        <w:t xml:space="preserve">User-Guided Refinement Phase</w:t>
      </w:r>
      <w:r>
        <w:t xml:space="preserve"> </w:t>
      </w:r>
      <w:r>
        <w:t xml:space="preserve">enables localized edits at approximately 38 seconds per instruction—15× faster than full regeneration</w:t>
      </w:r>
      <w:r>
        <w:t xml:space="preserve"> </w:t>
      </w:r>
      <w:fldSimple w:instr="NOTEREF _Ref_Footnote_8 \h \f">
        <w:r>
          <w:rPr>
            <w:vertAlign w:val="superscript"/>
          </w:rPr>
          <w:t>8</w:t>
        </w:r>
      </w:fldSimple>
      <w:r>
        <w:t xml:space="preserve">.</w:t>
      </w:r>
    </w:p>
    <w:p>
      <w:pPr>
        <w:pStyle w:val="BodyText"/>
      </w:pPr>
      <w:r>
        <w:t xml:space="preserve">The token overhead of this architecture is substantial. Multi-agent systems with visual feedback loops incur 285–515% additional token consumption compared to single-pass generation, primarily due to repeated rendering, VLM critique, and inter-agent communication. However, ablation studies confirm that each agent contributes meaningfully: the Planner enables more parts to be added; Retrieval enables richer geometric realizations; and the Critic provides holistic visual feedback that a single agent cannot replicate</w:t>
      </w:r>
      <w:r>
        <w:t xml:space="preserve"> </w:t>
      </w:r>
      <w:fldSimple w:instr="NOTEREF _Ref_Footnote_8 \h \f">
        <w:r>
          <w:rPr>
            <w:vertAlign w:val="superscript"/>
          </w:rPr>
          <w:t>8</w:t>
        </w:r>
      </w:fldSimple>
      <w:r>
        <w:t xml:space="preserve">.</w:t>
      </w:r>
    </w:p>
    <w:bookmarkEnd w:id="70"/>
    <w:bookmarkStart w:id="71" w:name="X270097f639b04bfc75439ec1b00128733f1b8f6"/>
    <w:p>
      <w:pPr>
        <w:pStyle w:val="Heading4"/>
      </w:pPr>
      <w:r>
        <w:t xml:space="preserve">4.2.2 PAC Framework: Task-Complexity-Dependent Performance</w:t>
      </w:r>
    </w:p>
    <w:p>
      <w:pPr>
        <w:pStyle w:val="FirstParagraph"/>
      </w:pPr>
      <w:r>
        <w:t xml:space="preserve">The PAC (Planner-Actor-Critic) Framework introduces a three-agent architecture inspired by structured coding assistants, particularly Claude Code. The Planner maintains a persistent todo list in shared context; the Actor executes modeling steps via MCP (Model Context Protocol) tools; and the Critic provides iterative feedback with human supervisors able to intervene at any stage</w:t>
      </w:r>
      <w:r>
        <w:t xml:space="preserve"> </w:t>
      </w:r>
      <w:fldSimple w:instr="NOTEREF _Ref_Footnote_7 \h \f">
        <w:r>
          <w:rPr>
            <w:vertAlign w:val="superscript"/>
          </w:rPr>
          <w:t>7</w:t>
        </w:r>
      </w:fldSimple>
      <w:r>
        <w:t xml:space="preserve">.</w:t>
      </w:r>
    </w:p>
    <w:p>
      <w:pPr>
        <w:pStyle w:val="BodyText"/>
      </w:pPr>
      <w:r>
        <w:t xml:space="preserve">Performance degrades sharply with task complexity. On simple tasks (fewer than 16 operations), PAC achieves 93% success; on complex tasks (16 or more operations), success drops to 47%. However, 77% of all tasks converge to success within three iterations through the Critic-guided feedback loop</w:t>
      </w:r>
      <w:r>
        <w:t xml:space="preserve"> </w:t>
      </w:r>
      <w:fldSimple w:instr="NOTEREF _Ref_Footnote_7 \h \f">
        <w:r>
          <w:rPr>
            <w:vertAlign w:val="superscript"/>
          </w:rPr>
          <w:t>7</w:t>
        </w:r>
      </w:fldSimple>
      <w:r>
        <w:t xml:space="preserve">. This finding establishes an important benchmark for the field: multi-agent refinement is highly effective for moderately complex tasks but hits a ceiling where the compounding probability of error at each step overwhelms the correction mechanism.</w:t>
      </w:r>
    </w:p>
    <w:bookmarkEnd w:id="71"/>
    <w:bookmarkStart w:id="72" w:name="X2f3453913c5015dae189c4161dda6cf91e603dd"/>
    <w:p>
      <w:pPr>
        <w:pStyle w:val="Heading4"/>
      </w:pPr>
      <w:r>
        <w:t xml:space="preserve">4.2.3 Case Study: CADSmith and the 38× Chamfer Distance Reduction</w:t>
      </w:r>
    </w:p>
    <w:p>
      <w:pPr>
        <w:pStyle w:val="FirstParagraph"/>
      </w:pPr>
      <w:r>
        <w:t xml:space="preserve">CADSmith, developed at Carnegie Mellon University, demonstrates the upper bound of what multi-agent geometric validation can achieve. Its architecture employs five specialized agents organized into two nested correction loops: an</w:t>
      </w:r>
      <w:r>
        <w:t xml:space="preserve"> </w:t>
      </w:r>
      <w:r>
        <w:rPr>
          <w:bCs/>
          <w:b/>
        </w:rPr>
        <w:t xml:space="preserve">inner loop</w:t>
      </w:r>
      <w:r>
        <w:t xml:space="preserve"> </w:t>
      </w:r>
      <w:r>
        <w:t xml:space="preserve">for execution errors (up to three retries with an Error Refiner agent) and an</w:t>
      </w:r>
      <w:r>
        <w:t xml:space="preserve"> </w:t>
      </w:r>
      <w:r>
        <w:rPr>
          <w:bCs/>
          <w:b/>
        </w:rPr>
        <w:t xml:space="preserve">outer loop</w:t>
      </w:r>
      <w:r>
        <w:t xml:space="preserve"> </w:t>
      </w:r>
      <w:r>
        <w:t xml:space="preserve">for geometric refinement (up to five iterations with a Refiner agent)</w:t>
      </w:r>
      <w:r>
        <w:t xml:space="preserve"> </w:t>
      </w:r>
      <w:fldSimple w:instr="NOTEREF _Ref_Footnote_6 \h \f">
        <w:r>
          <w:rPr>
            <w:vertAlign w:val="superscript"/>
          </w:rPr>
          <w:t>6</w:t>
        </w:r>
      </w:fldSimple>
      <w:r>
        <w:t xml:space="preserve">.</w:t>
      </w:r>
    </w:p>
    <w:p>
      <w:pPr>
        <w:pStyle w:val="BodyText"/>
      </w:pPr>
      <w:r>
        <w:rPr>
          <w:bCs/>
          <w:b/>
        </w:rPr>
        <w:t xml:space="preserve">The Pipeline.</w:t>
      </w:r>
      <w:r>
        <w:t xml:space="preserve"> </w:t>
      </w:r>
      <w:r>
        <w:t xml:space="preserve">Given a natural-language CAD specification, CADSmith’s Code Generator (Claude Sonnet) produces an OpenSCAD or CadQuery script. The Executor compiles and runs the code. If execution fails, the Error Refiner diagnoses the traceback using retrieval-augmented context from a 25-entry error-solution dataset and produces corrected code, retrying up to three times. If execution succeeds, the Validator extracts exact kernel metrics from OCCT (volume, bounding box, face/edge/vertex counts) and renders three orthographic views. These are passed to the Judge (Claude Opus), which evaluates geometric fidelity against the original prompt and issues pass/fail verdicts with analytical feedback</w:t>
      </w:r>
      <w:r>
        <w:t xml:space="preserve"> </w:t>
      </w:r>
      <w:fldSimple w:instr="NOTEREF _Ref_Footnote_6 \h \f">
        <w:r>
          <w:rPr>
            <w:vertAlign w:val="superscript"/>
          </w:rPr>
          <w:t>6</w:t>
        </w:r>
      </w:fldSimple>
      <w:r>
        <w:t xml:space="preserve">.</w:t>
      </w:r>
    </w:p>
    <w:p>
      <w:pPr>
        <w:pStyle w:val="BodyText"/>
      </w:pPr>
      <w:r>
        <w:rPr>
          <w:bCs/>
          <w:b/>
        </w:rPr>
        <w:t xml:space="preserve">The Results.</w:t>
      </w:r>
      <w:r>
        <w:t xml:space="preserve"> </w:t>
      </w:r>
      <w:r>
        <w:t xml:space="preserve">Against a zero-shot baseline, CADSmith achieves 100% execution rate (up from 95%), improves median F1 from 0.9707 to 0.9846, median IoU from 0.8085 to 0.9629, and reduces mean Chamfer Distance from 28.37 to 0.74—a 38-fold reduction. Of 100 benchmark entries, 88 converged on the first iteration, 12 required one or two additional iterations, yielding an average of 0.13 refinement iterations per entry</w:t>
      </w:r>
      <w:r>
        <w:t xml:space="preserve"> </w:t>
      </w:r>
      <w:fldSimple w:instr="NOTEREF _Ref_Footnote_6 \h \f">
        <w:r>
          <w:rPr>
            <w:vertAlign w:val="superscript"/>
          </w:rPr>
          <w:t>6</w:t>
        </w:r>
      </w:fldSimple>
      <w:r>
        <w:t xml:space="preserve">.</w:t>
      </w:r>
    </w:p>
    <w:p>
      <w:pPr>
        <w:pStyle w:val="BodyText"/>
      </w:pPr>
      <w:r>
        <w:rPr>
          <w:bCs/>
          <w:b/>
        </w:rPr>
        <w:t xml:space="preserve">The Escalation Mechanism.</w:t>
      </w:r>
      <w:r>
        <w:t xml:space="preserve"> </w:t>
      </w:r>
      <w:r>
        <w:t xml:space="preserve">CADSmith’s Judge implements a critical anti-stagnation protocol: if the same issue persists across iterations, it is explicitly instructed to recommend a fundamentally different construction approach rather than repeating the same suggestion. This prevents the system from becoming trapped in local minima during refinement—a failure mode common to simpler feedback loops</w:t>
      </w:r>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Agent Count</w:t>
            </w:r>
          </w:p>
        </w:tc>
        <w:tc>
          <w:tcPr/>
          <w:p>
            <w:pPr>
              <w:pStyle w:val="Compact"/>
              <w:jc w:val="left"/>
            </w:pPr>
            <w:r>
              <w:t xml:space="preserve">Convergence Rate</w:t>
            </w:r>
          </w:p>
        </w:tc>
        <w:tc>
          <w:tcPr/>
          <w:p>
            <w:pPr>
              <w:pStyle w:val="Compact"/>
              <w:jc w:val="left"/>
            </w:pPr>
            <w:r>
              <w:t xml:space="preserve">Typical Latency</w:t>
            </w:r>
          </w:p>
        </w:tc>
        <w:tc>
          <w:tcPr/>
          <w:p>
            <w:pPr>
              <w:pStyle w:val="Compact"/>
              <w:jc w:val="left"/>
            </w:pPr>
            <w:r>
              <w:t xml:space="preserve">Key Innovation</w:t>
            </w:r>
          </w:p>
        </w:tc>
      </w:tr>
      <w:tr>
        <w:tc>
          <w:tcPr/>
          <w:p>
            <w:pPr>
              <w:pStyle w:val="Compact"/>
              <w:jc w:val="left"/>
            </w:pPr>
            <w:r>
              <w:t xml:space="preserve">LL3M</w:t>
            </w:r>
            <w:r>
              <w:t xml:space="preserve"> </w:t>
            </w:r>
            <w:fldSimple w:instr="NOTEREF _Ref_Footnote_8 \h \f">
              <w:r>
                <w:rPr>
                  <w:vertAlign w:val="superscript"/>
                </w:rPr>
                <w:t>8</w:t>
              </w:r>
            </w:fldSimple>
          </w:p>
        </w:tc>
        <w:tc>
          <w:tcPr/>
          <w:p>
            <w:pPr>
              <w:pStyle w:val="Compact"/>
              <w:jc w:val="left"/>
            </w:pPr>
            <w:r>
              <w:t xml:space="preserve">6</w:t>
            </w:r>
          </w:p>
        </w:tc>
        <w:tc>
          <w:tcPr/>
          <w:p>
            <w:pPr>
              <w:pStyle w:val="Compact"/>
              <w:jc w:val="left"/>
            </w:pPr>
            <w:r>
              <w:t xml:space="preserve">Variable (phased)</w:t>
            </w:r>
          </w:p>
        </w:tc>
        <w:tc>
          <w:tcPr/>
          <w:p>
            <w:pPr>
              <w:pStyle w:val="Compact"/>
              <w:jc w:val="left"/>
            </w:pPr>
            <w:r>
              <w:t xml:space="preserve">~10 min creation; ~38 s/edit</w:t>
            </w:r>
          </w:p>
        </w:tc>
        <w:tc>
          <w:tcPr/>
          <w:p>
            <w:pPr>
              <w:pStyle w:val="Compact"/>
              <w:jc w:val="left"/>
            </w:pPr>
            <w:r>
              <w:t xml:space="preserve">BlenderRAG retrieval + verification agent</w:t>
            </w:r>
          </w:p>
        </w:tc>
      </w:tr>
      <w:tr>
        <w:tc>
          <w:tcPr/>
          <w:p>
            <w:pPr>
              <w:pStyle w:val="Compact"/>
              <w:jc w:val="left"/>
            </w:pPr>
            <w:r>
              <w:t xml:space="preserve">PAC Framework</w:t>
            </w:r>
            <w:r>
              <w:t xml:space="preserve"> </w:t>
            </w:r>
            <w:fldSimple w:instr="NOTEREF _Ref_Footnote_7 \h \f">
              <w:r>
                <w:rPr>
                  <w:vertAlign w:val="superscript"/>
                </w:rPr>
                <w:t>7</w:t>
              </w:r>
            </w:fldSimple>
          </w:p>
        </w:tc>
        <w:tc>
          <w:tcPr/>
          <w:p>
            <w:pPr>
              <w:pStyle w:val="Compact"/>
              <w:jc w:val="left"/>
            </w:pPr>
            <w:r>
              <w:t xml:space="preserve">3</w:t>
            </w:r>
          </w:p>
        </w:tc>
        <w:tc>
          <w:tcPr/>
          <w:p>
            <w:pPr>
              <w:pStyle w:val="Compact"/>
              <w:jc w:val="left"/>
            </w:pPr>
            <w:r>
              <w:t xml:space="preserve">77% within 3 iterations</w:t>
            </w:r>
          </w:p>
        </w:tc>
        <w:tc>
          <w:tcPr/>
          <w:p>
            <w:pPr>
              <w:pStyle w:val="Compact"/>
              <w:jc w:val="left"/>
            </w:pPr>
            <w:r>
              <w:t xml:space="preserve">Task-dependent</w:t>
            </w:r>
          </w:p>
        </w:tc>
        <w:tc>
          <w:tcPr/>
          <w:p>
            <w:pPr>
              <w:pStyle w:val="Compact"/>
              <w:jc w:val="left"/>
            </w:pPr>
            <w:r>
              <w:t xml:space="preserve">Human-in-the-loop at any stage</w:t>
            </w:r>
          </w:p>
        </w:tc>
      </w:tr>
      <w:tr>
        <w:tc>
          <w:tcPr/>
          <w:p>
            <w:pPr>
              <w:pStyle w:val="Compact"/>
              <w:jc w:val="left"/>
            </w:pPr>
            <w:r>
              <w:t xml:space="preserve">CADSmith</w:t>
            </w:r>
            <w:r>
              <w:t xml:space="preserve"> </w:t>
            </w:r>
            <w:fldSimple w:instr="NOTEREF _Ref_Footnote_6 \h \f">
              <w:r>
                <w:rPr>
                  <w:vertAlign w:val="superscript"/>
                </w:rPr>
                <w:t>6</w:t>
              </w:r>
            </w:fldSimple>
          </w:p>
        </w:tc>
        <w:tc>
          <w:tcPr/>
          <w:p>
            <w:pPr>
              <w:pStyle w:val="Compact"/>
              <w:jc w:val="left"/>
            </w:pPr>
            <w:r>
              <w:t xml:space="preserve">5</w:t>
            </w:r>
          </w:p>
        </w:tc>
        <w:tc>
          <w:tcPr/>
          <w:p>
            <w:pPr>
              <w:pStyle w:val="Compact"/>
              <w:jc w:val="left"/>
            </w:pPr>
            <w:r>
              <w:t xml:space="preserve">88% first-pass; 0.13 avg iterations</w:t>
            </w:r>
          </w:p>
        </w:tc>
        <w:tc>
          <w:tcPr/>
          <w:p>
            <w:pPr>
              <w:pStyle w:val="Compact"/>
              <w:jc w:val="left"/>
            </w:pPr>
            <w:r>
              <w:t xml:space="preserve">Bounded by 5 outer loops</w:t>
            </w:r>
          </w:p>
        </w:tc>
        <w:tc>
          <w:tcPr/>
          <w:p>
            <w:pPr>
              <w:pStyle w:val="Compact"/>
              <w:jc w:val="left"/>
            </w:pPr>
            <w:r>
              <w:t xml:space="preserve">Independent VLM Judge + escalation</w:t>
            </w:r>
          </w:p>
        </w:tc>
      </w:tr>
      <w:tr>
        <w:tc>
          <w:tcPr/>
          <w:p>
            <w:pPr>
              <w:pStyle w:val="Compact"/>
              <w:jc w:val="left"/>
            </w:pPr>
            <w:r>
              <w:t xml:space="preserve">VIGA</w:t>
            </w:r>
            <w:r>
              <w:t xml:space="preserve"> </w:t>
            </w:r>
            <w:fldSimple w:instr="NOTEREF _Ref_Footnote_43 \h \f">
              <w:r>
                <w:rPr>
                  <w:vertAlign w:val="superscript"/>
                </w:rPr>
                <w:t>43</w:t>
              </w:r>
            </w:fldSimple>
          </w:p>
        </w:tc>
        <w:tc>
          <w:tcPr/>
          <w:p>
            <w:pPr>
              <w:pStyle w:val="Compact"/>
              <w:jc w:val="left"/>
            </w:pPr>
            <w:r>
              <w:t xml:space="preserve">1 (unified)</w:t>
            </w:r>
          </w:p>
        </w:tc>
        <w:tc>
          <w:tcPr/>
          <w:p>
            <w:pPr>
              <w:pStyle w:val="Compact"/>
              <w:jc w:val="left"/>
            </w:pPr>
            <w:r>
              <w:t xml:space="preserve">Max 10 rounds</w:t>
            </w:r>
          </w:p>
        </w:tc>
        <w:tc>
          <w:tcPr/>
          <w:p>
            <w:pPr>
              <w:pStyle w:val="Compact"/>
              <w:jc w:val="left"/>
            </w:pPr>
            <w:r>
              <w:t xml:space="preserve">Sliding-window memory</w:t>
            </w:r>
          </w:p>
        </w:tc>
        <w:tc>
          <w:tcPr/>
          <w:p>
            <w:pPr>
              <w:pStyle w:val="Compact"/>
              <w:jc w:val="left"/>
            </w:pPr>
            <w:r>
              <w:t xml:space="preserve">Perception-reasoning-action decoupling</w:t>
            </w:r>
          </w:p>
        </w:tc>
      </w:tr>
      <w:tr>
        <w:tc>
          <w:tcPr/>
          <w:p>
            <w:pPr>
              <w:pStyle w:val="Compact"/>
              <w:jc w:val="left"/>
            </w:pPr>
            <w:r>
              <w:t xml:space="preserve">SceneAssistant</w:t>
            </w:r>
            <w:r>
              <w:t xml:space="preserve"> </w:t>
            </w:r>
            <w:fldSimple w:instr="NOTEREF _Ref_Footnote_62 \h \f">
              <w:r>
                <w:rPr>
                  <w:vertAlign w:val="superscript"/>
                </w:rPr>
                <w:t>62</w:t>
              </w:r>
            </w:fldSimple>
          </w:p>
        </w:tc>
        <w:tc>
          <w:tcPr/>
          <w:p>
            <w:pPr>
              <w:pStyle w:val="Compact"/>
              <w:jc w:val="left"/>
            </w:pPr>
            <w:r>
              <w:t xml:space="preserve">1 (ReAct)</w:t>
            </w:r>
          </w:p>
        </w:tc>
        <w:tc>
          <w:tcPr/>
          <w:p>
            <w:pPr>
              <w:pStyle w:val="Compact"/>
              <w:jc w:val="left"/>
            </w:pPr>
            <w:r>
              <w:t xml:space="preserve">Within 20 steps</w:t>
            </w:r>
          </w:p>
        </w:tc>
        <w:tc>
          <w:tcPr/>
          <w:p>
            <w:pPr>
              <w:pStyle w:val="Compact"/>
              <w:jc w:val="left"/>
            </w:pPr>
            <w:r>
              <w:t xml:space="preserve">Varies by scene</w:t>
            </w:r>
          </w:p>
        </w:tc>
        <w:tc>
          <w:tcPr/>
          <w:p>
            <w:pPr>
              <w:pStyle w:val="Compact"/>
              <w:jc w:val="left"/>
            </w:pPr>
            <w:r>
              <w:t xml:space="preserve">Atomic Action APIs + collision detection</w:t>
            </w:r>
          </w:p>
        </w:tc>
      </w:tr>
      <w:tr>
        <w:tc>
          <w:tcPr/>
          <w:p>
            <w:pPr>
              <w:pStyle w:val="Compact"/>
              <w:jc w:val="left"/>
            </w:pPr>
            <w:r>
              <w:t xml:space="preserve">BlenderAlchemy</w:t>
            </w:r>
            <w:r>
              <w:t xml:space="preserve"> </w:t>
            </w:r>
            <w:r>
              <w:rPr>
                <w:vertAlign w:val="superscript"/>
              </w:rPr>
              <w:footnoteReference w:id="63"/>
            </w:r>
          </w:p>
        </w:tc>
        <w:tc>
          <w:tcPr/>
          <w:p>
            <w:pPr>
              <w:pStyle w:val="Compact"/>
              <w:jc w:val="left"/>
            </w:pPr>
            <w:r>
              <w:t xml:space="preserve">2 (G+V)</w:t>
            </w:r>
          </w:p>
        </w:tc>
        <w:tc>
          <w:tcPr/>
          <w:p>
            <w:pPr>
              <w:pStyle w:val="Compact"/>
              <w:jc w:val="left"/>
            </w:pPr>
            <w:r>
              <w:t xml:space="preserve">Variable (d×b search)</w:t>
            </w:r>
          </w:p>
        </w:tc>
        <w:tc>
          <w:tcPr/>
          <w:p>
            <w:pPr>
              <w:pStyle w:val="Compact"/>
              <w:jc w:val="left"/>
            </w:pPr>
            <w:r>
              <w:t xml:space="preserve">~286 s avg</w:t>
            </w:r>
          </w:p>
        </w:tc>
        <w:tc>
          <w:tcPr/>
          <w:p>
            <w:pPr>
              <w:pStyle w:val="Compact"/>
              <w:jc w:val="left"/>
            </w:pPr>
            <w:r>
              <w:t xml:space="preserve">Tree-of-Thoughts with hypothesis reversion</w:t>
            </w:r>
          </w:p>
        </w:tc>
      </w:tr>
      <w:tr>
        <w:tc>
          <w:tcPr/>
          <w:p>
            <w:pPr>
              <w:pStyle w:val="Compact"/>
              <w:jc w:val="left"/>
            </w:pPr>
            <w:r>
              <w:t xml:space="preserve">SceneWeaver</w:t>
            </w:r>
            <w:r>
              <w:t xml:space="preserve"> </w:t>
            </w:r>
            <w:r>
              <w:rPr>
                <w:vertAlign w:val="superscript"/>
              </w:rPr>
              <w:footnoteReference w:id="64"/>
            </w:r>
          </w:p>
        </w:tc>
        <w:tc>
          <w:tcPr/>
          <w:p>
            <w:pPr>
              <w:pStyle w:val="Compact"/>
              <w:jc w:val="left"/>
            </w:pPr>
            <w:r>
              <w:t xml:space="preserve">1 (self-reflective)</w:t>
            </w:r>
          </w:p>
        </w:tc>
        <w:tc>
          <w:tcPr/>
          <w:p>
            <w:pPr>
              <w:pStyle w:val="Compact"/>
              <w:jc w:val="left"/>
            </w:pPr>
            <w:r>
              <w:t xml:space="preserve">Adaptive rollback</w:t>
            </w:r>
          </w:p>
        </w:tc>
        <w:tc>
          <w:tcPr/>
          <w:p>
            <w:pPr>
              <w:pStyle w:val="Compact"/>
              <w:jc w:val="left"/>
            </w:pPr>
            <w:r>
              <w:t xml:space="preserve">Adaptive</w:t>
            </w:r>
          </w:p>
        </w:tc>
        <w:tc>
          <w:tcPr/>
          <w:p>
            <w:pPr>
              <w:pStyle w:val="Compact"/>
              <w:jc w:val="left"/>
            </w:pPr>
            <w:r>
              <w:t xml:space="preserve">Quantitative score-guided tool selection</w:t>
            </w:r>
          </w:p>
        </w:tc>
      </w:tr>
      <w:tr>
        <w:tc>
          <w:tcPr/>
          <w:p>
            <w:pPr>
              <w:pStyle w:val="Compact"/>
              <w:jc w:val="left"/>
            </w:pPr>
            <w:r>
              <w:t xml:space="preserve">EZBlender</w:t>
            </w:r>
            <w:r>
              <w:t xml:space="preserve"> </w:t>
            </w:r>
            <w:r>
              <w:rPr>
                <w:vertAlign w:val="superscript"/>
              </w:rPr>
              <w:footnoteReference w:id="65"/>
            </w:r>
          </w:p>
        </w:tc>
        <w:tc>
          <w:tcPr/>
          <w:p>
            <w:pPr>
              <w:pStyle w:val="Compact"/>
              <w:jc w:val="left"/>
            </w:pPr>
            <w:r>
              <w:t xml:space="preserve">1+parallel sub-agents</w:t>
            </w:r>
          </w:p>
        </w:tc>
        <w:tc>
          <w:tcPr/>
          <w:p>
            <w:pPr>
              <w:pStyle w:val="Compact"/>
              <w:jc w:val="left"/>
            </w:pPr>
            <w:r>
              <w:t xml:space="preserve">Bounded</w:t>
            </w:r>
          </w:p>
        </w:tc>
        <w:tc>
          <w:tcPr/>
          <w:p>
            <w:pPr>
              <w:pStyle w:val="Compact"/>
              <w:jc w:val="left"/>
            </w:pPr>
            <w:r>
              <w:t xml:space="preserve">~37 s (7× faster)</w:t>
            </w:r>
          </w:p>
        </w:tc>
        <w:tc>
          <w:tcPr/>
          <w:p>
            <w:pPr>
              <w:pStyle w:val="Compact"/>
              <w:jc w:val="left"/>
            </w:pPr>
            <w:r>
              <w:t xml:space="preserve">Parallel sub-agent execution</w:t>
            </w:r>
          </w:p>
        </w:tc>
      </w:tr>
    </w:tbl>
    <w:p>
      <w:pPr>
        <w:pStyle w:val="BodyText"/>
      </w:pPr>
      <w:r>
        <w:t xml:space="preserve">The architectural diversity in this table reveals a field still exploring the optimal decomposition of the 3D generation task. At one extreme, LL3M’s six-agent design maximizes specialization; at the other, VIGA and SceneAssistant use single agents with rich tool interfaces. The convergence rate column suggests that more agents do not necessarily yield faster convergence—CADSmith’s five agents achieve better first-pass rates than PAC’s three, but EZBlender’s parallel sub-agents achieve the lowest latency through execution-time optimization rather than architectural complexity.</w:t>
      </w:r>
    </w:p>
    <w:bookmarkEnd w:id="72"/>
    <w:bookmarkEnd w:id="73"/>
    <w:bookmarkStart w:id="76" w:name="X759f4ff8f518fc537f0604ea89a77016dd469e8"/>
    <w:p>
      <w:pPr>
        <w:pStyle w:val="Heading3"/>
      </w:pPr>
      <w:r>
        <w:t xml:space="preserve">4.3 Single-Agent vs. Multi-Agent: The Context-Dependent Truth</w:t>
      </w:r>
    </w:p>
    <w:bookmarkStart w:id="74" w:name="when-single-agent-outperforms"/>
    <w:p>
      <w:pPr>
        <w:pStyle w:val="Heading4"/>
      </w:pPr>
      <w:r>
        <w:t xml:space="preserve">4.3.1 When Single-Agent Outperforms</w:t>
      </w:r>
    </w:p>
    <w:p>
      <w:pPr>
        <w:pStyle w:val="FirstParagraph"/>
      </w:pPr>
      <w:r>
        <w:t xml:space="preserve">The assumption that multi-agent architectures are universally superior for 3D generation is incorrect. Research on multi-hop reasoning demonstrates that single-agent LLMs can outperform multi-agent systems under equal token budgets when tasks are well-defined and sequentially structured</w:t>
      </w:r>
      <w:r>
        <w:t xml:space="preserve"> </w:t>
      </w:r>
      <w:fldSimple w:instr="NOTEREF _Ref_Footnote_8 \h \f">
        <w:r>
          <w:rPr>
            <w:vertAlign w:val="superscript"/>
          </w:rPr>
          <w:t>8</w:t>
        </w:r>
      </w:fldSimple>
      <w:r>
        <w:t xml:space="preserve">. The overhead of agent orchestration—inter-agent communication, context synchronization, and redundant processing—erases the benefits of specialization for simple tasks.</w:t>
      </w:r>
    </w:p>
    <w:p>
      <w:pPr>
        <w:pStyle w:val="BodyText"/>
      </w:pPr>
      <w:r>
        <w:t xml:space="preserve">Single-agent approaches excel under three conditions. First, when the task involves a single geometric primitive or operation (e.g.,</w:t>
      </w:r>
      <w:r>
        <w:t xml:space="preserve"> </w:t>
      </w:r>
      <w:r>
        <w:t xml:space="preserve">“</w:t>
      </w:r>
      <w:r>
        <w:t xml:space="preserve">create a cube of side length 10</w:t>
      </w:r>
      <w:r>
        <w:t xml:space="preserve">”</w:t>
      </w:r>
      <w:r>
        <w:t xml:space="preserve">), decomposition adds no value. Second, when latency is the primary constraint and quality requirements are modest—EZBlender achieves approximately 7× faster response than BlenderAlchemy (37.35 seconds vs. 286.08 seconds) while maintaining comparable CLIP scores through parallel sub-agent execution</w:t>
      </w:r>
      <w:r>
        <w:t xml:space="preserve"> </w:t>
      </w:r>
      <w:fldSimple w:instr="NOTEREF _Ref_Footnote_65 \h \f">
        <w:r>
          <w:rPr>
            <w:vertAlign w:val="superscript"/>
          </w:rPr>
          <w:t>65</w:t>
        </w:r>
      </w:fldSimple>
      <w:r>
        <w:t xml:space="preserve">. Third, when token budgets are tight: multi-agent systems consume 285–515% more tokens than single-pass approaches, making them economically prohibitive at scale for simple tasks.</w:t>
      </w:r>
    </w:p>
    <w:bookmarkEnd w:id="74"/>
    <w:bookmarkStart w:id="75" w:name="when-multi-agent-is-essential"/>
    <w:p>
      <w:pPr>
        <w:pStyle w:val="Heading4"/>
      </w:pPr>
      <w:r>
        <w:t xml:space="preserve">4.3.2 When Multi-Agent Is Essential</w:t>
      </w:r>
    </w:p>
    <w:p>
      <w:pPr>
        <w:pStyle w:val="FirstParagraph"/>
      </w:pPr>
      <w:r>
        <w:t xml:space="preserve">Multi-agent architectures become essential when four conditions converge: visual verification is required, error recovery is non-trivial, code-fixing loops are anticipated, and geometric complexity exceeds a threshold of approximately 8–10 components. Below this complexity inflection point, single-agent generation is more efficient; above it, the overhead of multi-agent orchestration is justified by error-catching benefits that specialized agents provide</w:t>
      </w:r>
      <w:r>
        <w:t xml:space="preserve"> </w:t>
      </w:r>
      <w:fldSimple w:instr="NOTEREF _Ref_Footnote_8 \h \f">
        <w:r>
          <w:rPr>
            <w:vertAlign w:val="superscript"/>
          </w:rPr>
          <w:t>8</w:t>
        </w:r>
      </w:fldSimple>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Task Characteristic</w:t>
            </w:r>
          </w:p>
        </w:tc>
        <w:tc>
          <w:tcPr/>
          <w:p>
            <w:pPr>
              <w:pStyle w:val="Compact"/>
              <w:jc w:val="left"/>
            </w:pPr>
            <w:r>
              <w:t xml:space="preserve">Single-Agent Preferred</w:t>
            </w:r>
          </w:p>
        </w:tc>
        <w:tc>
          <w:tcPr/>
          <w:p>
            <w:pPr>
              <w:pStyle w:val="Compact"/>
              <w:jc w:val="left"/>
            </w:pPr>
            <w:r>
              <w:t xml:space="preserve">Multi-Agent Preferred</w:t>
            </w:r>
          </w:p>
        </w:tc>
        <w:tc>
          <w:tcPr/>
          <w:p>
            <w:pPr>
              <w:pStyle w:val="Compact"/>
              <w:jc w:val="left"/>
            </w:pPr>
            <w:r>
              <w:t xml:space="preserve">Threshold</w:t>
            </w:r>
          </w:p>
        </w:tc>
      </w:tr>
      <w:tr>
        <w:tc>
          <w:tcPr/>
          <w:p>
            <w:pPr>
              <w:pStyle w:val="Compact"/>
              <w:jc w:val="left"/>
            </w:pPr>
            <w:r>
              <w:t xml:space="preserve">Geometric complexity</w:t>
            </w:r>
          </w:p>
        </w:tc>
        <w:tc>
          <w:tcPr/>
          <w:p>
            <w:pPr>
              <w:pStyle w:val="Compact"/>
              <w:jc w:val="left"/>
            </w:pPr>
            <w:r>
              <w:t xml:space="preserve">Single primitive; &lt;8 components</w:t>
            </w:r>
          </w:p>
        </w:tc>
        <w:tc>
          <w:tcPr/>
          <w:p>
            <w:pPr>
              <w:pStyle w:val="Compact"/>
              <w:jc w:val="left"/>
            </w:pPr>
            <w:r>
              <w:t xml:space="preserve">Assemblies; 16+ operations</w:t>
            </w:r>
          </w:p>
        </w:tc>
        <w:tc>
          <w:tcPr/>
          <w:p>
            <w:pPr>
              <w:pStyle w:val="Compact"/>
              <w:jc w:val="left"/>
            </w:pPr>
            <w:r>
              <w:t xml:space="preserve">~8–10 components</w:t>
            </w:r>
            <w:r>
              <w:t xml:space="preserve"> </w:t>
            </w:r>
            <w:fldSimple w:instr="NOTEREF _Ref_Footnote_7 \h \f">
              <w:r>
                <w:rPr>
                  <w:vertAlign w:val="superscript"/>
                </w:rPr>
                <w:t>7</w:t>
              </w:r>
            </w:fldSimple>
          </w:p>
        </w:tc>
      </w:tr>
      <w:tr>
        <w:tc>
          <w:tcPr/>
          <w:p>
            <w:pPr>
              <w:pStyle w:val="Compact"/>
              <w:jc w:val="left"/>
            </w:pPr>
            <w:r>
              <w:t xml:space="preserve">Token budget</w:t>
            </w:r>
          </w:p>
        </w:tc>
        <w:tc>
          <w:tcPr/>
          <w:p>
            <w:pPr>
              <w:pStyle w:val="Compact"/>
              <w:jc w:val="left"/>
            </w:pPr>
            <w:r>
              <w:t xml:space="preserve">Tight (&lt;4K tokens)</w:t>
            </w:r>
          </w:p>
        </w:tc>
        <w:tc>
          <w:tcPr/>
          <w:p>
            <w:pPr>
              <w:pStyle w:val="Compact"/>
              <w:jc w:val="left"/>
            </w:pPr>
            <w:r>
              <w:t xml:space="preserve">Flexible (&gt;10K tokens)</w:t>
            </w:r>
          </w:p>
        </w:tc>
        <w:tc>
          <w:tcPr/>
          <w:p>
            <w:pPr>
              <w:pStyle w:val="Compact"/>
              <w:jc w:val="left"/>
            </w:pPr>
            <w:r>
              <w:t xml:space="preserve">Cost-quality tradeoff</w:t>
            </w:r>
          </w:p>
        </w:tc>
      </w:tr>
      <w:tr>
        <w:tc>
          <w:tcPr/>
          <w:p>
            <w:pPr>
              <w:pStyle w:val="Compact"/>
              <w:jc w:val="left"/>
            </w:pPr>
            <w:r>
              <w:t xml:space="preserve">Quality requirement</w:t>
            </w:r>
          </w:p>
        </w:tc>
        <w:tc>
          <w:tcPr/>
          <w:p>
            <w:pPr>
              <w:pStyle w:val="Compact"/>
              <w:jc w:val="left"/>
            </w:pPr>
            <w:r>
              <w:t xml:space="preserve">“</w:t>
            </w:r>
            <w:r>
              <w:t xml:space="preserve">Good enough</w:t>
            </w:r>
            <w:r>
              <w:t xml:space="preserve">”</w:t>
            </w:r>
            <w:r>
              <w:t xml:space="preserve"> </w:t>
            </w:r>
            <w:r>
              <w:t xml:space="preserve">(CLIP ~0.6)</w:t>
            </w:r>
          </w:p>
        </w:tc>
        <w:tc>
          <w:tcPr/>
          <w:p>
            <w:pPr>
              <w:pStyle w:val="Compact"/>
              <w:jc w:val="left"/>
            </w:pPr>
            <w:r>
              <w:t xml:space="preserve">High fidelity (CD &lt;1.0)</w:t>
            </w:r>
          </w:p>
        </w:tc>
        <w:tc>
          <w:tcPr/>
          <w:p>
            <w:pPr>
              <w:pStyle w:val="Compact"/>
              <w:jc w:val="left"/>
            </w:pPr>
            <w:r>
              <w:t xml:space="preserve">CADSmith 38× CD reduction</w:t>
            </w:r>
            <w:r>
              <w:t xml:space="preserve"> </w:t>
            </w:r>
            <w:fldSimple w:instr="NOTEREF _Ref_Footnote_6 \h \f">
              <w:r>
                <w:rPr>
                  <w:vertAlign w:val="superscript"/>
                </w:rPr>
                <w:t>6</w:t>
              </w:r>
            </w:fldSimple>
          </w:p>
        </w:tc>
      </w:tr>
      <w:tr>
        <w:tc>
          <w:tcPr/>
          <w:p>
            <w:pPr>
              <w:pStyle w:val="Compact"/>
              <w:jc w:val="left"/>
            </w:pPr>
            <w:r>
              <w:t xml:space="preserve">Latency tolerance</w:t>
            </w:r>
          </w:p>
        </w:tc>
        <w:tc>
          <w:tcPr/>
          <w:p>
            <w:pPr>
              <w:pStyle w:val="Compact"/>
              <w:jc w:val="left"/>
            </w:pPr>
            <w:r>
              <w:t xml:space="preserve">Real-time (&lt;60 s)</w:t>
            </w:r>
          </w:p>
        </w:tc>
        <w:tc>
          <w:tcPr/>
          <w:p>
            <w:pPr>
              <w:pStyle w:val="Compact"/>
              <w:jc w:val="left"/>
            </w:pPr>
            <w:r>
              <w:t xml:space="preserve">Batch acceptable (&gt;5 min)</w:t>
            </w:r>
          </w:p>
        </w:tc>
        <w:tc>
          <w:tcPr/>
          <w:p>
            <w:pPr>
              <w:pStyle w:val="Compact"/>
              <w:jc w:val="left"/>
            </w:pPr>
            <w:r>
              <w:t xml:space="preserve">LL3M ~10 min creation</w:t>
            </w:r>
            <w:r>
              <w:t xml:space="preserve"> </w:t>
            </w:r>
            <w:fldSimple w:instr="NOTEREF _Ref_Footnote_8 \h \f">
              <w:r>
                <w:rPr>
                  <w:vertAlign w:val="superscript"/>
                </w:rPr>
                <w:t>8</w:t>
              </w:r>
            </w:fldSimple>
          </w:p>
        </w:tc>
      </w:tr>
      <w:tr>
        <w:tc>
          <w:tcPr/>
          <w:p>
            <w:pPr>
              <w:pStyle w:val="Compact"/>
              <w:jc w:val="left"/>
            </w:pPr>
            <w:r>
              <w:t xml:space="preserve">Visual verification</w:t>
            </w:r>
          </w:p>
        </w:tc>
        <w:tc>
          <w:tcPr/>
          <w:p>
            <w:pPr>
              <w:pStyle w:val="Compact"/>
              <w:jc w:val="left"/>
            </w:pPr>
            <w:r>
              <w:t xml:space="preserve">Not required</w:t>
            </w:r>
          </w:p>
        </w:tc>
        <w:tc>
          <w:tcPr/>
          <w:p>
            <w:pPr>
              <w:pStyle w:val="Compact"/>
              <w:jc w:val="left"/>
            </w:pPr>
            <w:r>
              <w:t xml:space="preserve">Essential</w:t>
            </w:r>
          </w:p>
        </w:tc>
        <w:tc>
          <w:tcPr/>
          <w:p>
            <w:pPr>
              <w:pStyle w:val="Compact"/>
              <w:jc w:val="left"/>
            </w:pPr>
            <w:r>
              <w:t xml:space="preserve">Error reduction 26–38%</w:t>
            </w:r>
            <w:r>
              <w:t xml:space="preserve"> </w:t>
            </w:r>
            <w:fldSimple w:instr="NOTEREF _Ref_Footnote_8 \h \f">
              <w:r>
                <w:rPr>
                  <w:vertAlign w:val="superscript"/>
                </w:rPr>
                <w:t>8</w:t>
              </w:r>
            </w:fldSimple>
          </w:p>
        </w:tc>
      </w:tr>
      <w:tr>
        <w:tc>
          <w:tcPr/>
          <w:p>
            <w:pPr>
              <w:pStyle w:val="Compact"/>
              <w:jc w:val="left"/>
            </w:pPr>
            <w:r>
              <w:t xml:space="preserve">Error recovery</w:t>
            </w:r>
          </w:p>
        </w:tc>
        <w:tc>
          <w:tcPr/>
          <w:p>
            <w:pPr>
              <w:pStyle w:val="Compact"/>
              <w:jc w:val="left"/>
            </w:pPr>
            <w:r>
              <w:t xml:space="preserve">No code execution failures</w:t>
            </w:r>
          </w:p>
        </w:tc>
        <w:tc>
          <w:tcPr/>
          <w:p>
            <w:pPr>
              <w:pStyle w:val="Compact"/>
              <w:jc w:val="left"/>
            </w:pPr>
            <w:r>
              <w:t xml:space="preserve">Execution + geometric errors</w:t>
            </w:r>
          </w:p>
        </w:tc>
        <w:tc>
          <w:tcPr/>
          <w:p>
            <w:pPr>
              <w:pStyle w:val="Compact"/>
              <w:jc w:val="left"/>
            </w:pPr>
            <w:r>
              <w:t xml:space="preserve">CADSmith 100% execution</w:t>
            </w:r>
            <w:r>
              <w:t xml:space="preserve"> </w:t>
            </w:r>
            <w:fldSimple w:instr="NOTEREF _Ref_Footnote_6 \h \f">
              <w:r>
                <w:rPr>
                  <w:vertAlign w:val="superscript"/>
                </w:rPr>
                <w:t>6</w:t>
              </w:r>
            </w:fldSimple>
          </w:p>
        </w:tc>
      </w:tr>
      <w:tr>
        <w:tc>
          <w:tcPr/>
          <w:p>
            <w:pPr>
              <w:pStyle w:val="Compact"/>
              <w:jc w:val="left"/>
            </w:pPr>
            <w:r>
              <w:t xml:space="preserve">Human collaboration</w:t>
            </w:r>
          </w:p>
        </w:tc>
        <w:tc>
          <w:tcPr/>
          <w:p>
            <w:pPr>
              <w:pStyle w:val="Compact"/>
              <w:jc w:val="left"/>
            </w:pPr>
            <w:r>
              <w:t xml:space="preserve">None</w:t>
            </w:r>
          </w:p>
        </w:tc>
        <w:tc>
          <w:tcPr/>
          <w:p>
            <w:pPr>
              <w:pStyle w:val="Compact"/>
              <w:jc w:val="left"/>
            </w:pPr>
            <w:r>
              <w:t xml:space="preserve">Iterative co-creation</w:t>
            </w:r>
          </w:p>
        </w:tc>
        <w:tc>
          <w:tcPr/>
          <w:p>
            <w:pPr>
              <w:pStyle w:val="Compact"/>
              <w:jc w:val="left"/>
            </w:pPr>
            <w:r>
              <w:t xml:space="preserve">PAC 93% simple-task success</w:t>
            </w:r>
            <w:r>
              <w:t xml:space="preserve"> </w:t>
            </w:r>
            <w:fldSimple w:instr="NOTEREF _Ref_Footnote_7 \h \f">
              <w:r>
                <w:rPr>
                  <w:vertAlign w:val="superscript"/>
                </w:rPr>
                <w:t>7</w:t>
              </w:r>
            </w:fldSimple>
          </w:p>
        </w:tc>
      </w:tr>
    </w:tbl>
    <w:p>
      <w:pPr>
        <w:pStyle w:val="BodyText"/>
      </w:pPr>
      <w:r>
        <w:t xml:space="preserve">This decision matrix resolves the apparent contradiction between research demonstrating single-agent superiority on reasoning tasks and research demonstrating multi-agent superiority on 3D generation tasks. The determinant is not the domain (3D vs. text) but the task structure: decomposable tasks with visual verification requirements benefit from multi-agent architectures; sequential reasoning tasks under tight constraints benefit from single-agent approaches. Production systems should implement adaptive architectures that select the appropriate mode based on prompt analysis—assessing component count, feature types, and constraint density—or on early-generation quality assessment.</w:t>
      </w:r>
    </w:p>
    <w:bookmarkEnd w:id="75"/>
    <w:bookmarkEnd w:id="76"/>
    <w:bookmarkStart w:id="79" w:name="the-contextual-blindness-problem"/>
    <w:p>
      <w:pPr>
        <w:pStyle w:val="Heading3"/>
      </w:pPr>
      <w:r>
        <w:t xml:space="preserve">4.4 The Contextual Blindness Problem</w:t>
      </w:r>
    </w:p>
    <w:bookmarkStart w:id="77" w:name="why-agents-lose-track-of-scene-state"/>
    <w:p>
      <w:pPr>
        <w:pStyle w:val="Heading4"/>
      </w:pPr>
      <w:r>
        <w:t xml:space="preserve">4.4.1 Why Agents Lose Track of Scene State</w:t>
      </w:r>
    </w:p>
    <w:p>
      <w:pPr>
        <w:pStyle w:val="FirstParagraph"/>
      </w:pPr>
      <w:r>
        <w:t xml:space="preserve">Contextual blindness—the inability of text-only LLMs to perceive the geometric consequences of their code—has two distinct causes. The first is fundamental: LLMs reason over token sequences, not spatial volumes. A mesh that is syntactically correct may be geometrically degenerate (non-manifold, self-intersecting, or incorrectly proportioned), and without visual rendering, the generating agent has no mechanism to detect these defects</w:t>
      </w:r>
      <w:r>
        <w:t xml:space="preserve"> </w:t>
      </w:r>
      <w:fldSimple w:instr="NOTEREF _Ref_Footnote_5 \h \f">
        <w:r>
          <w:rPr>
            <w:vertAlign w:val="superscript"/>
          </w:rPr>
          <w:t>5</w:t>
        </w:r>
      </w:fldSimple>
      <w:r>
        <w:t xml:space="preserve">. The second cause is architectural: even agents with access to scene information often lack structured mechanisms for scene introspection. Without the ability to query the scene graph—object hierarchies, spatial relationships, material assignments—agents operate on stale or incomplete mental models of the geometry they have created.</w:t>
      </w:r>
    </w:p>
    <w:p>
      <w:pPr>
        <w:pStyle w:val="BodyText"/>
      </w:pPr>
      <w:r>
        <w:t xml:space="preserve">VIGA addresses this through strict decoupling of scene observation from modification. Its agent can repeatedly invoke read-only perceptual interfaces (e.g.,</w:t>
      </w:r>
      <w:r>
        <w:t xml:space="preserve"> </w:t>
      </w:r>
      <w:r>
        <w:rPr>
          <w:rStyle w:val="VerbatimChar"/>
        </w:rPr>
        <w:t xml:space="preserve">investigate</w:t>
      </w:r>
      <w:r>
        <w:t xml:space="preserve">) to actively shift camera viewpoints and gather multi-angle visual evidence without altering the underlying scene</w:t>
      </w:r>
      <w:r>
        <w:t xml:space="preserve"> </w:t>
      </w:r>
      <w:fldSimple w:instr="NOTEREF _Ref_Footnote_43 \h \f">
        <w:r>
          <w:rPr>
            <w:vertAlign w:val="superscript"/>
          </w:rPr>
          <w:t>43</w:t>
        </w:r>
      </w:fldSimple>
      <w:r>
        <w:t xml:space="preserve">. SceneAssistant overlays semantic labels and a coordinate axis HUD on rendered views, providing the VLM with a persistent global reference frame and collision detection feedback via system messages</w:t>
      </w:r>
      <w:r>
        <w:t xml:space="preserve"> </w:t>
      </w:r>
      <w:fldSimple w:instr="NOTEREF _Ref_Footnote_62 \h \f">
        <w:r>
          <w:rPr>
            <w:vertAlign w:val="superscript"/>
          </w:rPr>
          <w:t>62</w:t>
        </w:r>
      </w:fldSimple>
      <w:r>
        <w:t xml:space="preserve">. These mechanisms do not eliminate contextual blindness but mitigate it by grounding the agent’s reasoning in observable scene state rather than inferred assumptions.</w:t>
      </w:r>
    </w:p>
    <w:p>
      <w:pPr>
        <w:pStyle w:val="BodyText"/>
      </w:pPr>
      <w:r>
        <w:t xml:space="preserve">SceneWeaver introduces a complementary approach: quantitative self-reflection. Its planner uses numerical scores (collision violations, boundary violations, visual realism, layout coherence) combined with natural-language justifications to guide tool selection. If feedback indicates abnormal degradation—for example, a sharp drop in quality scores between iterations—the planner automatically rolls back to the previous state and replans</w:t>
      </w:r>
      <w:r>
        <w:t xml:space="preserve"> </w:t>
      </w:r>
      <w:fldSimple w:instr="NOTEREF _Ref_Footnote_64 \h \f">
        <w:r>
          <w:rPr>
            <w:vertAlign w:val="superscript"/>
          </w:rPr>
          <w:t>64</w:t>
        </w:r>
      </w:fldSimple>
      <w:r>
        <w:t xml:space="preserve">. This metric-driven introspection provides a structured alternative to purely visual critique, though the two approaches are most effective in combination.</w:t>
      </w:r>
    </w:p>
    <w:bookmarkEnd w:id="77"/>
    <w:bookmarkStart w:id="78" w:name="Xcc8cd2bb81c365057313b2acad6f533e2dc25d8"/>
    <w:p>
      <w:pPr>
        <w:pStyle w:val="Heading4"/>
      </w:pPr>
      <w:r>
        <w:t xml:space="preserve">4.4.2 Case Study: BlenderRAG and 26% Error Reduction Through Retrieved Code Patterns</w:t>
      </w:r>
    </w:p>
    <w:p>
      <w:pPr>
        <w:pStyle w:val="FirstParagraph"/>
      </w:pPr>
      <w:r>
        <w:t xml:space="preserve">BlenderRAG is a domain-specific Retrieval-Augmented Generation (RAG) system built from official Blender API documentation, serving as the primary knowledge backbone for LL3M’s Retrieval agent. It indexes Blender’s Python API and retrieves contextually relevant code examples during agent operations. The dataset comprises 500 curated examples across 50 categories of Blender operations, stored in a vector database for semantic retrieval</w:t>
      </w:r>
      <w:r>
        <w:t xml:space="preserve"> </w:t>
      </w:r>
      <w:fldSimple w:instr="NOTEREF _Ref_Footnote_8 \h \f">
        <w:r>
          <w:rPr>
            <w:vertAlign w:val="superscript"/>
          </w:rPr>
          <w:t>8</w:t>
        </w:r>
      </w:fldSimple>
      <w:r>
        <w:t xml:space="preserve">.</w:t>
      </w:r>
    </w:p>
    <w:p>
      <w:pPr>
        <w:pStyle w:val="BodyText"/>
      </w:pPr>
      <w:r>
        <w:rPr>
          <w:bCs/>
          <w:b/>
        </w:rPr>
        <w:t xml:space="preserve">The Mechanism.</w:t>
      </w:r>
      <w:r>
        <w:t xml:space="preserve"> </w:t>
      </w:r>
      <w:r>
        <w:t xml:space="preserve">When the Planner decomposes a user prompt into subtasks, each subtask triggers a query to BlenderRAG. The Retrieval agent obtains documentation snippets or code exemplars connected to functions, error messages, or API constructs referenced in the subtask. This retrieved context propagates through the shared dialog state to the Coding agent, which incorporates it alongside user intent to synthesize scripts</w:t>
      </w:r>
      <w:r>
        <w:t xml:space="preserve"> </w:t>
      </w:r>
      <w:fldSimple w:instr="NOTEREF _Ref_Footnote_8 \h \f">
        <w:r>
          <w:rPr>
            <w:vertAlign w:val="superscript"/>
          </w:rPr>
          <w:t>8</w:t>
        </w:r>
      </w:fldSimple>
      <w:r>
        <w:t xml:space="preserve">.</w:t>
      </w:r>
    </w:p>
    <w:p>
      <w:pPr>
        <w:pStyle w:val="BodyText"/>
      </w:pPr>
      <w:r>
        <w:rPr>
          <w:bCs/>
          <w:b/>
        </w:rPr>
        <w:t xml:space="preserve">The Results.</w:t>
      </w:r>
      <w:r>
        <w:t xml:space="preserve"> </w:t>
      </w:r>
      <w:r>
        <w:t xml:space="preserve">BlenderRAG reduces total execution error rates across the mesh generation process by 26%. Beyond error reduction, it increases the use of complex Blender operations by approximately 5×: with RAG, the coding agent averages 5.86 complex operations per asset compared to 1.20 without RAG</w:t>
      </w:r>
      <w:r>
        <w:t xml:space="preserve"> </w:t>
      </w:r>
      <w:fldSimple w:instr="NOTEREF _Ref_Footnote_8 \h \f">
        <w:r>
          <w:rPr>
            <w:vertAlign w:val="superscript"/>
          </w:rPr>
          <w:t>8</w:t>
        </w:r>
      </w:fldSimple>
      <w:r>
        <w:t xml:space="preserve">.</w:t>
      </w:r>
    </w:p>
    <w:p>
      <w:pPr>
        <w:pStyle w:val="BodyText"/>
      </w:pPr>
      <w:r>
        <w:rPr>
          <w:bCs/>
          <w:b/>
        </w:rPr>
        <w:t xml:space="preserve">The Qualitative Difference.</w:t>
      </w:r>
      <w:r>
        <w:t xml:space="preserve"> </w:t>
      </w:r>
      <w:r>
        <w:t xml:space="preserve">The error reduction figure understates BlenderRAG’s impact. Without retrieval augmentation, the coding agent often</w:t>
      </w:r>
      <w:r>
        <w:t xml:space="preserve"> </w:t>
      </w:r>
      <w:r>
        <w:t xml:space="preserve">“</w:t>
      </w:r>
      <w:r>
        <w:t xml:space="preserve">solves</w:t>
      </w:r>
      <w:r>
        <w:t xml:space="preserve">”</w:t>
      </w:r>
      <w:r>
        <w:t xml:space="preserve"> </w:t>
      </w:r>
      <w:r>
        <w:t xml:space="preserve">problems by deleting lines that cause errors—reducing failures at the cost of output quality. With BlenderRAG, the agent retrieves correct code patterns to fix issues rather than eliminating functionality. This behavioral difference explains why error reduction (26%) is proportionally smaller than complexity increase (5×): BlenderRAG’s primary contribution is enabling sophisticated code, not merely preventing errors</w:t>
      </w:r>
      <w:r>
        <w:t xml:space="preserve"> </w:t>
      </w:r>
      <w:fldSimple w:instr="NOTEREF _Ref_Footnote_8 \h \f">
        <w:r>
          <w:rPr>
            <w:vertAlign w:val="superscript"/>
          </w:rPr>
          <w:t>8</w:t>
        </w:r>
      </w:fldSimple>
      <w:r>
        <w:t xml:space="preserve">. The system also enables the coding agent to construct parenting relationships and hierarchical scene graphs, generating shapes with human-readable structure that supports subsequent user editing.</w:t>
      </w:r>
    </w:p>
    <w:p>
      <w:pPr>
        <w:pStyle w:val="BodyText"/>
      </w:pPr>
      <w:r>
        <w:t xml:space="preserve">The BlenderRAG case illustrates a broader principle for multi-agent 3D systems: retrieval-augmented in-context learning is most valuable not as an error-prevention mechanism but as a capability-enabling one. By grounding code generation in documented API patterns rather than the LLM’s parametric knowledge, retrieval ensures that generated scripts use correct, version-appropriate Blender calls—a critical requirement given Blender’s frequent API changes across versions. This pattern of domain-specific RAG for programmatic 3D is replicable across other platforms: a FreeCADRAG, an OpenSCADRAG, or a CadQueryRAG would serve analogous functions for their respective APIs, and the field is projected to see such systems proliferate as pipeline architectures mature.</w:t>
      </w:r>
    </w:p>
    <w:p>
      <w:r>
        <w:pict>
          <v:rect style="width:0;height:1.5pt" o:hralign="center" o:hrstd="t" o:hr="t"/>
        </w:pict>
      </w:r>
    </w:p>
    <w:bookmarkEnd w:id="78"/>
    <w:bookmarkEnd w:id="79"/>
    <w:bookmarkEnd w:id="80"/>
    <w:bookmarkStart w:id="97" w:name="Xecf506bbcd9cc061710c3ba5508a5ec93eefe14"/>
    <w:p>
      <w:pPr>
        <w:pStyle w:val="Heading2"/>
      </w:pPr>
      <w:r>
        <w:t xml:space="preserve">5. The MCP Ecosystem: Protocol Inversion and Tool Integration</w:t>
      </w:r>
    </w:p>
    <w:bookmarkStart w:id="86" w:name="mcp-as-the-http-of-ai-cad-integration"/>
    <w:p>
      <w:pPr>
        <w:pStyle w:val="Heading3"/>
      </w:pPr>
      <w:r>
        <w:t xml:space="preserve">5.1 MCP as the HTTP of AI-CAD Integration</w:t>
      </w:r>
    </w:p>
    <w:bookmarkStart w:id="81" w:name="protocol-mechanics"/>
    <w:p>
      <w:pPr>
        <w:pStyle w:val="Heading4"/>
      </w:pPr>
      <w:r>
        <w:t xml:space="preserve">5.1.1 Protocol Mechanics</w:t>
      </w:r>
    </w:p>
    <w:p>
      <w:pPr>
        <w:pStyle w:val="FirstParagraph"/>
      </w:pPr>
      <w:r>
        <w:t xml:space="preserve">The Model Context Protocol (MCP), introduced by Anthropic in November 2024, has rapidly become the dominant integration standard connecting LLM agents to 3D modeling applications</w:t>
      </w:r>
      <w:r>
        <w:t xml:space="preserve"> </w:t>
      </w:r>
      <w:fldSimple w:instr="NOTEREF _Ref_Footnote_25 \h \f">
        <w:r>
          <w:rPr>
            <w:vertAlign w:val="superscript"/>
          </w:rPr>
          <w:t>25</w:t>
        </w:r>
      </w:fldSimple>
      <w:r>
        <w:t xml:space="preserve">. MCP functions as an open standard for connecting AI applications to external tools and data sources, enabling models to discover, invoke, and compose operations at runtime. Anthropic describes it as a</w:t>
      </w:r>
      <w:r>
        <w:t xml:space="preserve"> </w:t>
      </w:r>
      <w:r>
        <w:t xml:space="preserve">“</w:t>
      </w:r>
      <w:r>
        <w:t xml:space="preserve">USB-C port for AI applications</w:t>
      </w:r>
      <w:r>
        <w:t xml:space="preserve">”</w:t>
      </w:r>
      <w:r>
        <w:t xml:space="preserve"> </w:t>
      </w:r>
      <w:r>
        <w:t xml:space="preserve">— a universal adapter replacing bespoke integrations with a single, well-defined interface</w:t>
      </w:r>
      <w:r>
        <w:t xml:space="preserve"> </w:t>
      </w:r>
      <w:fldSimple w:instr="NOTEREF _Ref_Footnote_25 \h \f">
        <w:r>
          <w:rPr>
            <w:vertAlign w:val="superscript"/>
          </w:rPr>
          <w:t>25</w:t>
        </w:r>
      </w:fldSimple>
      <w:r>
        <w:t xml:space="preserve">.</w:t>
      </w:r>
    </w:p>
    <w:p>
      <w:pPr>
        <w:pStyle w:val="BodyText"/>
      </w:pPr>
      <w:r>
        <w:t xml:space="preserve">The protocol operates through five core mechanisms.</w:t>
      </w:r>
      <w:r>
        <w:t xml:space="preserve"> </w:t>
      </w:r>
      <w:r>
        <w:rPr>
          <w:bCs/>
          <w:b/>
        </w:rPr>
        <w:t xml:space="preserve">Tool definitions</w:t>
      </w:r>
      <w:r>
        <w:t xml:space="preserve"> </w:t>
      </w:r>
      <w:r>
        <w:t xml:space="preserve">expose a JSON schema describing each available operation — its parameters, return types, and constraints — allowing the LLM to reason about what actions are possible without prior knowledge of the target application.</w:t>
      </w:r>
      <w:r>
        <w:t xml:space="preserve"> </w:t>
      </w:r>
      <w:r>
        <w:rPr>
          <w:bCs/>
          <w:b/>
        </w:rPr>
        <w:t xml:space="preserve">Schema exposure</w:t>
      </w:r>
      <w:r>
        <w:t xml:space="preserve"> </w:t>
      </w:r>
      <w:r>
        <w:t xml:space="preserve">occurs at connection time: the MCP server publishes its full capability catalog, enabling the client model to construct valid function calls dynamically.</w:t>
      </w:r>
      <w:r>
        <w:t xml:space="preserve"> </w:t>
      </w:r>
      <w:r>
        <w:rPr>
          <w:bCs/>
          <w:b/>
        </w:rPr>
        <w:t xml:space="preserve">Function calling</w:t>
      </w:r>
      <w:r>
        <w:t xml:space="preserve"> </w:t>
      </w:r>
      <w:r>
        <w:t xml:space="preserve">follows a structured request-response pattern via JSON-RPC: the LLM emits a tool invocation, the server executes the corresponding operation, and returns a typed result.</w:t>
      </w:r>
      <w:r>
        <w:t xml:space="preserve"> </w:t>
      </w:r>
      <w:r>
        <w:rPr>
          <w:bCs/>
          <w:b/>
        </w:rPr>
        <w:t xml:space="preserve">Request routing</w:t>
      </w:r>
      <w:r>
        <w:t xml:space="preserve"> </w:t>
      </w:r>
      <w:r>
        <w:t xml:space="preserve">multiplexes concurrent tool invocations, enabling parallel mesh generation and material assignment.</w:t>
      </w:r>
      <w:r>
        <w:t xml:space="preserve"> </w:t>
      </w:r>
      <w:r>
        <w:rPr>
          <w:bCs/>
          <w:b/>
        </w:rPr>
        <w:t xml:space="preserve">Response streaming</w:t>
      </w:r>
      <w:r>
        <w:t xml:space="preserve"> </w:t>
      </w:r>
      <w:r>
        <w:t xml:space="preserve">delivers incremental results for long-running operations like rendering, allowing the agent to process partial outputs without waiting for completion.</w:t>
      </w:r>
    </w:p>
    <w:p>
      <w:pPr>
        <w:pStyle w:val="BodyText"/>
      </w:pPr>
      <w:r>
        <w:t xml:space="preserve">This architecture decouples AI reasoning from execution. The LLM need not understand Blender’s Python API internals — it only needs to comprehend the MCP tool schema. Protocol translation happens server-side, where the MCP wrapper maps each tool call to the appropriate native API command</w:t>
      </w:r>
      <w:r>
        <w:t xml:space="preserve"> </w:t>
      </w:r>
      <w:fldSimple w:instr="NOTEREF _Ref_Footnote_22 \h \f">
        <w:r>
          <w:rPr>
            <w:vertAlign w:val="superscript"/>
          </w:rPr>
          <w:t>22</w:t>
        </w:r>
      </w:fldSimple>
      <w:r>
        <w:t xml:space="preserve">.</w:t>
      </w:r>
    </w:p>
    <w:bookmarkEnd w:id="81"/>
    <w:bookmarkStart w:id="85" w:name="X0b50cb621062a1fb1a250e8db6d597f4b5d17a1"/>
    <w:p>
      <w:pPr>
        <w:pStyle w:val="Heading4"/>
      </w:pPr>
      <w:r>
        <w:t xml:space="preserve">5.1.2 The Official Blender Foundation MCP Server</w:t>
      </w:r>
    </w:p>
    <w:p>
      <w:pPr>
        <w:pStyle w:val="FirstParagraph"/>
      </w:pPr>
      <w:r>
        <w:t xml:space="preserve">On April 28, 2026, the Blender Foundation — through its Blender Lab initiative — released an official MCP server, marking the first time a major 3D software foundation built native AI integration infrastructure</w:t>
      </w:r>
      <w:r>
        <w:t xml:space="preserve"> </w:t>
      </w:r>
      <w:fldSimple w:instr="NOTEREF _Ref_Footnote_17 \h \f">
        <w:r>
          <w:rPr>
            <w:vertAlign w:val="superscript"/>
          </w:rPr>
          <w:t>17</w:t>
        </w:r>
      </w:fldSimple>
      <w:r>
        <w:t xml:space="preserve">. The release coincided with Anthropic joining the Blender Development Fund as a Corporate Patron at EUR 240,000 or more per year</w:t>
      </w:r>
      <w:r>
        <w:t xml:space="preserve"> </w:t>
      </w:r>
      <w:r>
        <w:rPr>
          <w:vertAlign w:val="superscript"/>
        </w:rPr>
        <w:footnoteReference w:id="66"/>
      </w:r>
      <w:r>
        <w:t xml:space="preserve">, and established one-click Claude Desktop connector installation</w:t>
      </w:r>
      <w:r>
        <w:t xml:space="preserve"> </w:t>
      </w:r>
      <w:r>
        <w:rPr>
          <w:vertAlign w:val="superscript"/>
        </w:rPr>
        <w:footnoteReference w:id="67"/>
      </w:r>
      <w:r>
        <w:t xml:space="preserve">. Critically, the Blender team built the connector themselves — signaling institutional investment in AI-driven workflows</w:t>
      </w:r>
      <w:r>
        <w:t xml:space="preserve"> </w:t>
      </w:r>
      <w:r>
        <w:rPr>
          <w:vertAlign w:val="superscript"/>
        </w:rPr>
        <w:footnoteReference w:id="68"/>
      </w:r>
      <w:r>
        <w:t xml:space="preserve">.</w:t>
      </w:r>
    </w:p>
    <w:p>
      <w:pPr>
        <w:pStyle w:val="BodyText"/>
      </w:pPr>
      <w:r>
        <w:t xml:space="preserve">The official server exposes approximately 20 tools covering scene creation, mesh manipulation, material assignment, rendering, and file export, distributed via MCP Bundle format (.mcpb) with stdio transport</w:t>
      </w:r>
      <w:r>
        <w:t xml:space="preserve"> </w:t>
      </w:r>
      <w:fldSimple w:instr="NOTEREF _Ref_Footnote_17 \h \f">
        <w:r>
          <w:rPr>
            <w:vertAlign w:val="superscript"/>
          </w:rPr>
          <w:t>17</w:t>
        </w:r>
      </w:fldSimple>
      <w:r>
        <w:t xml:space="preserve">. The Foundation accompanied the release with an explicit security warning: the server</w:t>
      </w:r>
      <w:r>
        <w:t xml:space="preserve"> </w:t>
      </w:r>
      <w:r>
        <w:t xml:space="preserve">“</w:t>
      </w:r>
      <w:r>
        <w:t xml:space="preserve">will execute LLM generated code in Blender without any guards</w:t>
      </w:r>
      <w:r>
        <w:t xml:space="preserve">”</w:t>
      </w:r>
      <w:r>
        <w:t xml:space="preserve"> </w:t>
      </w:r>
      <w:r>
        <w:t xml:space="preserve">and recommended virtual machine isolation</w:t>
      </w:r>
      <w:r>
        <w:t xml:space="preserve"> </w:t>
      </w:r>
      <w:fldSimple w:instr="NOTEREF _Ref_Footnote_17 \h \f">
        <w:r>
          <w:rPr>
            <w:vertAlign w:val="superscript"/>
          </w:rPr>
          <w:t>17</w:t>
        </w:r>
      </w:fldSimple>
      <w:r>
        <w:t xml:space="preserve">. This candor reflects the genuine risk of arbitrary Python execution within Blender, which has full filesystem and network access through the</w:t>
      </w:r>
      <w:r>
        <w:t xml:space="preserve"> </w:t>
      </w:r>
      <w:r>
        <w:rPr>
          <w:rStyle w:val="VerbatimChar"/>
        </w:rPr>
        <w:t xml:space="preserve">bpy</w:t>
      </w:r>
      <w:r>
        <w:t xml:space="preserve"> </w:t>
      </w:r>
      <w:r>
        <w:t xml:space="preserve">module.</w:t>
      </w:r>
    </w:p>
    <w:p>
      <w:pPr>
        <w:pStyle w:val="CaptionedFigure"/>
      </w:pPr>
      <w:r>
        <w:drawing>
          <wp:inline>
            <wp:extent cx="5334000" cy="2649694"/>
            <wp:effectExtent b="0" l="0" r="0" t="0"/>
            <wp:docPr descr="MCP Ecosystem Timeline" title="" id="83" name="Picture"/>
            <a:graphic>
              <a:graphicData uri="http://schemas.openxmlformats.org/drawingml/2006/picture">
                <pic:pic>
                  <pic:nvPicPr>
                    <pic:cNvPr descr="mcp_ecosystem_timeline.png" id="84" name="Picture"/>
                    <pic:cNvPicPr>
                      <a:picLocks noChangeArrowheads="1" noChangeAspect="1"/>
                    </pic:cNvPicPr>
                  </pic:nvPicPr>
                  <pic:blipFill>
                    <a:blip r:embed="rId82"/>
                    <a:stretch>
                      <a:fillRect/>
                    </a:stretch>
                  </pic:blipFill>
                  <pic:spPr bwMode="auto">
                    <a:xfrm>
                      <a:off x="0" y="0"/>
                      <a:ext cx="5334000" cy="2649694"/>
                    </a:xfrm>
                    <a:prstGeom prst="rect">
                      <a:avLst/>
                    </a:prstGeom>
                    <a:noFill/>
                    <a:ln w="9525">
                      <a:noFill/>
                      <a:headEnd/>
                      <a:tailEnd/>
                    </a:ln>
                  </pic:spPr>
                </pic:pic>
              </a:graphicData>
            </a:graphic>
          </wp:inline>
        </w:drawing>
      </w:r>
    </w:p>
    <w:p>
      <w:pPr>
        <w:pStyle w:val="ImageCaption"/>
      </w:pPr>
      <w:r>
        <w:t xml:space="preserve">MCP Ecosystem Timeline</w:t>
      </w:r>
    </w:p>
    <w:p>
      <w:pPr>
        <w:pStyle w:val="BodyText"/>
      </w:pPr>
      <w:r>
        <w:rPr>
          <w:iCs/>
          <w:i/>
        </w:rPr>
        <w:t xml:space="preserve">Figure 5.1 — MCP ecosystem milestones from protocol introduction through official Blender Foundation endorsement (Nov 2024 – Jun 2026). Source: Anthropic MCP documentation, Blender Foundation announcements, GitHub repositories.</w:t>
      </w:r>
    </w:p>
    <w:bookmarkEnd w:id="85"/>
    <w:bookmarkEnd w:id="86"/>
    <w:bookmarkStart w:id="90" w:name="the-mcp-server-landscape"/>
    <w:p>
      <w:pPr>
        <w:pStyle w:val="Heading3"/>
      </w:pPr>
      <w:r>
        <w:t xml:space="preserve">5.2 The MCP Server Landscape</w:t>
      </w:r>
    </w:p>
    <w:bookmarkStart w:id="87" w:name="Xd1b925f8e8f5980a64fa57e058b75b0b52a11b4"/>
    <w:p>
      <w:pPr>
        <w:pStyle w:val="Heading4"/>
      </w:pPr>
      <w:r>
        <w:t xml:space="preserve">5.2.1 Blender Ecosystem: Seven Implementations and Counting</w:t>
      </w:r>
    </w:p>
    <w:p>
      <w:pPr>
        <w:pStyle w:val="FirstParagraph"/>
      </w:pPr>
      <w:r>
        <w:t xml:space="preserve">The Blender MCP ecosystem has matured from a single pioneering project to seven distinct implementations. The original</w:t>
      </w:r>
      <w:r>
        <w:t xml:space="preserve"> </w:t>
      </w:r>
      <w:r>
        <w:rPr>
          <w:rStyle w:val="VerbatimChar"/>
        </w:rPr>
        <w:t xml:space="preserve">ahujasid/blender-mcp</w:t>
      </w:r>
      <w:r>
        <w:t xml:space="preserve"> </w:t>
      </w:r>
      <w:r>
        <w:t xml:space="preserve">by Siddharth Ahuja remains the most widely recognized community implementation with approximately 22,900 GitHub stars as of April 2026</w:t>
      </w:r>
      <w:r>
        <w:t xml:space="preserve"> </w:t>
      </w:r>
      <w:fldSimple w:instr="NOTEREF _Ref_Footnote_67 \h \f">
        <w:r>
          <w:rPr>
            <w:vertAlign w:val="superscript"/>
          </w:rPr>
          <w:t>67</w:t>
        </w:r>
      </w:fldSimple>
      <w:r>
        <w:t xml:space="preserve">. Its two-component architecture — an addon.py socket server within Blender and a separate Python MCP server — established the pattern subsequent implementations followed</w:t>
      </w:r>
      <w:r>
        <w:t xml:space="preserve"> </w:t>
      </w:r>
      <w:fldSimple w:instr="NOTEREF _Ref_Footnote_22 \h \f">
        <w:r>
          <w:rPr>
            <w:vertAlign w:val="superscript"/>
          </w:rPr>
          <w:t>22</w:t>
        </w:r>
      </w:fldSimple>
      <w:r>
        <w:t xml:space="preserve">. The project provides 21 tools including scene inspection, object manipulation, viewport screenshot capture</w:t>
      </w:r>
      <w:r>
        <w:t xml:space="preserve"> </w:t>
      </w:r>
      <w:r>
        <w:rPr>
          <w:vertAlign w:val="superscript"/>
        </w:rPr>
        <w:footnoteReference w:id="69"/>
      </w:r>
      <w:r>
        <w:t xml:space="preserve">, arbitrary Python execution, and integrations with external asset libraries.</w:t>
      </w:r>
    </w:p>
    <w:p>
      <w:pPr>
        <w:pStyle w:val="BodyText"/>
      </w:pPr>
      <w:r>
        <w:t xml:space="preserve">The following table compares the principal Blender MCP implementations across dimensions of feature scope, architectural approach, maintenance status, and deployment suitability.</w:t>
      </w:r>
    </w:p>
    <w:tbl>
      <w:tblPr>
        <w:tblStyle w:val="Table"/>
        <w:tblW w:type="pct" w:w="5000"/>
        <w:tblLook w:firstRow="1" w:lastRow="0" w:firstColumn="0" w:lastColumn="0" w:noHBand="0" w:noVBand="0" w:val="0020"/>
      </w:tblPr>
      <w:tblGrid>
        <w:gridCol w:w="905"/>
        <w:gridCol w:w="905"/>
        <w:gridCol w:w="1018"/>
        <w:gridCol w:w="792"/>
        <w:gridCol w:w="1244"/>
        <w:gridCol w:w="905"/>
        <w:gridCol w:w="2149"/>
      </w:tblGrid>
      <w:tr>
        <w:trPr>
          <w:tblHeader w:val="true"/>
        </w:trPr>
        <w:tc>
          <w:tcPr/>
          <w:p>
            <w:pPr>
              <w:pStyle w:val="Compact"/>
              <w:jc w:val="left"/>
            </w:pPr>
            <w:r>
              <w:t xml:space="preserve">Server</w:t>
            </w:r>
          </w:p>
        </w:tc>
        <w:tc>
          <w:tcPr/>
          <w:p>
            <w:pPr>
              <w:pStyle w:val="Compact"/>
              <w:jc w:val="left"/>
            </w:pPr>
            <w:r>
              <w:t xml:space="preserve">Author</w:t>
            </w:r>
          </w:p>
        </w:tc>
        <w:tc>
          <w:tcPr/>
          <w:p>
            <w:pPr>
              <w:pStyle w:val="Compact"/>
              <w:jc w:val="left"/>
            </w:pPr>
            <w:r>
              <w:t xml:space="preserve">License</w:t>
            </w:r>
          </w:p>
        </w:tc>
        <w:tc>
          <w:tcPr/>
          <w:p>
            <w:pPr>
              <w:pStyle w:val="Compact"/>
              <w:jc w:val="left"/>
            </w:pPr>
            <w:r>
              <w:t xml:space="preserve">Tools</w:t>
            </w:r>
          </w:p>
        </w:tc>
        <w:tc>
          <w:tcPr/>
          <w:p>
            <w:pPr>
              <w:pStyle w:val="Compact"/>
              <w:jc w:val="left"/>
            </w:pPr>
            <w:r>
              <w:t xml:space="preserve">Transport</w:t>
            </w:r>
          </w:p>
        </w:tc>
        <w:tc>
          <w:tcPr/>
          <w:p>
            <w:pPr>
              <w:pStyle w:val="Compact"/>
              <w:jc w:val="left"/>
            </w:pPr>
            <w:r>
              <w:t xml:space="preserve">Status</w:t>
            </w:r>
          </w:p>
        </w:tc>
        <w:tc>
          <w:tcPr/>
          <w:p>
            <w:pPr>
              <w:pStyle w:val="Compact"/>
              <w:jc w:val="left"/>
            </w:pPr>
            <w:r>
              <w:t xml:space="preserve">Key Differentiator</w:t>
            </w:r>
          </w:p>
        </w:tc>
      </w:tr>
      <w:tr>
        <w:tc>
          <w:tcPr/>
          <w:p>
            <w:pPr>
              <w:pStyle w:val="Compact"/>
              <w:jc w:val="left"/>
            </w:pPr>
            <w:r>
              <w:rPr>
                <w:bCs/>
                <w:b/>
              </w:rPr>
              <w:t xml:space="preserve">blender-mcp</w:t>
            </w:r>
            <w:r>
              <w:t xml:space="preserve"> </w:t>
            </w:r>
            <w:r>
              <w:t xml:space="preserve">(ahujasid)</w:t>
            </w:r>
          </w:p>
        </w:tc>
        <w:tc>
          <w:tcPr/>
          <w:p>
            <w:pPr>
              <w:pStyle w:val="Compact"/>
              <w:jc w:val="left"/>
            </w:pPr>
            <w:r>
              <w:t xml:space="preserve">Siddharth Ahuja</w:t>
            </w:r>
          </w:p>
        </w:tc>
        <w:tc>
          <w:tcPr/>
          <w:p>
            <w:pPr>
              <w:pStyle w:val="Compact"/>
              <w:jc w:val="left"/>
            </w:pPr>
            <w:r>
              <w:t xml:space="preserve">MIT</w:t>
            </w:r>
          </w:p>
        </w:tc>
        <w:tc>
          <w:tcPr/>
          <w:p>
            <w:pPr>
              <w:pStyle w:val="Compact"/>
              <w:jc w:val="left"/>
            </w:pPr>
            <w:r>
              <w:t xml:space="preserve">21</w:t>
            </w:r>
          </w:p>
        </w:tc>
        <w:tc>
          <w:tcPr/>
          <w:p>
            <w:pPr>
              <w:pStyle w:val="Compact"/>
              <w:jc w:val="left"/>
            </w:pPr>
            <w:r>
              <w:t xml:space="preserve">stdio + TCP socket</w:t>
            </w:r>
          </w:p>
        </w:tc>
        <w:tc>
          <w:tcPr/>
          <w:p>
            <w:pPr>
              <w:pStyle w:val="Compact"/>
              <w:jc w:val="left"/>
            </w:pPr>
            <w:r>
              <w:t xml:space="preserve">Community-maintained</w:t>
            </w:r>
          </w:p>
        </w:tc>
        <w:tc>
          <w:tcPr/>
          <w:p>
            <w:pPr>
              <w:pStyle w:val="Compact"/>
              <w:jc w:val="left"/>
            </w:pPr>
            <w:r>
              <w:t xml:space="preserve">Pioneer; ~22.9k stars; broadest external integrations</w:t>
            </w:r>
            <w:r>
              <w:t xml:space="preserve"> </w:t>
            </w:r>
            <w:fldSimple w:instr="NOTEREF _Ref_Footnote_67 \h \f">
              <w:r>
                <w:rPr>
                  <w:vertAlign w:val="superscript"/>
                </w:rPr>
                <w:t>67</w:t>
              </w:r>
            </w:fldSimple>
          </w:p>
        </w:tc>
      </w:tr>
      <w:tr>
        <w:tc>
          <w:tcPr/>
          <w:p>
            <w:pPr>
              <w:pStyle w:val="Compact"/>
              <w:jc w:val="left"/>
            </w:pPr>
            <w:r>
              <w:rPr>
                <w:bCs/>
                <w:b/>
              </w:rPr>
              <w:t xml:space="preserve">Official Blender MCP</w:t>
            </w:r>
            <w:r>
              <w:t xml:space="preserve"> </w:t>
            </w:r>
            <w:r>
              <w:t xml:space="preserve">(Blender Lab)</w:t>
            </w:r>
          </w:p>
        </w:tc>
        <w:tc>
          <w:tcPr/>
          <w:p>
            <w:pPr>
              <w:pStyle w:val="Compact"/>
              <w:jc w:val="left"/>
            </w:pPr>
            <w:r>
              <w:t xml:space="preserve">Blender Foundation</w:t>
            </w:r>
          </w:p>
        </w:tc>
        <w:tc>
          <w:tcPr/>
          <w:p>
            <w:pPr>
              <w:pStyle w:val="Compact"/>
              <w:jc w:val="left"/>
            </w:pPr>
            <w:r>
              <w:t xml:space="preserve">Open</w:t>
            </w:r>
          </w:p>
        </w:tc>
        <w:tc>
          <w:tcPr/>
          <w:p>
            <w:pPr>
              <w:pStyle w:val="Compact"/>
              <w:jc w:val="left"/>
            </w:pPr>
            <w:r>
              <w:t xml:space="preserve">~20</w:t>
            </w:r>
          </w:p>
        </w:tc>
        <w:tc>
          <w:tcPr/>
          <w:p>
            <w:pPr>
              <w:pStyle w:val="Compact"/>
              <w:jc w:val="left"/>
            </w:pPr>
            <w:r>
              <w:t xml:space="preserve">MCP Bundle (.mcpb) + stdio</w:t>
            </w:r>
          </w:p>
        </w:tc>
        <w:tc>
          <w:tcPr/>
          <w:p>
            <w:pPr>
              <w:pStyle w:val="Compact"/>
              <w:jc w:val="left"/>
            </w:pPr>
            <w:r>
              <w:t xml:space="preserve">Official (Apr 2026)</w:t>
            </w:r>
          </w:p>
        </w:tc>
        <w:tc>
          <w:tcPr/>
          <w:p>
            <w:pPr>
              <w:pStyle w:val="Compact"/>
              <w:jc w:val="left"/>
            </w:pPr>
            <w:r>
              <w:t xml:space="preserve">Blender-built; security warnings; EUR 240K+/year backing</w:t>
            </w:r>
            <w:r>
              <w:t xml:space="preserve"> </w:t>
            </w:r>
            <w:fldSimple w:instr="NOTEREF _Ref_Footnote_17 \h \f">
              <w:r>
                <w:rPr>
                  <w:vertAlign w:val="superscript"/>
                </w:rPr>
                <w:t>17</w:t>
              </w:r>
            </w:fldSimple>
          </w:p>
        </w:tc>
      </w:tr>
      <w:tr>
        <w:tc>
          <w:tcPr/>
          <w:p>
            <w:pPr>
              <w:pStyle w:val="Compact"/>
              <w:jc w:val="left"/>
            </w:pPr>
            <w:r>
              <w:rPr>
                <w:bCs/>
                <w:b/>
              </w:rPr>
              <w:t xml:space="preserve">blender-mcp-server</w:t>
            </w:r>
            <w:r>
              <w:t xml:space="preserve"> </w:t>
            </w:r>
            <w:r>
              <w:t xml:space="preserve">(djeada)</w:t>
            </w:r>
          </w:p>
        </w:tc>
        <w:tc>
          <w:tcPr/>
          <w:p>
            <w:pPr>
              <w:pStyle w:val="Compact"/>
              <w:jc w:val="left"/>
            </w:pPr>
            <w:r>
              <w:t xml:space="preserve">djeada</w:t>
            </w:r>
          </w:p>
        </w:tc>
        <w:tc>
          <w:tcPr/>
          <w:p>
            <w:pPr>
              <w:pStyle w:val="Compact"/>
              <w:jc w:val="left"/>
            </w:pPr>
            <w:r>
              <w:t xml:space="preserve">MIT</w:t>
            </w:r>
          </w:p>
        </w:tc>
        <w:tc>
          <w:tcPr/>
          <w:p>
            <w:pPr>
              <w:pStyle w:val="Compact"/>
              <w:jc w:val="left"/>
            </w:pPr>
            <w:r>
              <w:t xml:space="preserve">27</w:t>
            </w:r>
          </w:p>
        </w:tc>
        <w:tc>
          <w:tcPr/>
          <w:p>
            <w:pPr>
              <w:pStyle w:val="Compact"/>
              <w:jc w:val="left"/>
            </w:pPr>
            <w:r>
              <w:t xml:space="preserve">stdio + TCP (port 9876)</w:t>
            </w:r>
          </w:p>
        </w:tc>
        <w:tc>
          <w:tcPr/>
          <w:p>
            <w:pPr>
              <w:pStyle w:val="Compact"/>
              <w:jc w:val="left"/>
            </w:pPr>
            <w:r>
              <w:t xml:space="preserve">Active (Feb 2026)</w:t>
            </w:r>
          </w:p>
        </w:tc>
        <w:tc>
          <w:tcPr/>
          <w:p>
            <w:pPr>
              <w:pStyle w:val="Compact"/>
              <w:jc w:val="left"/>
            </w:pPr>
            <w:r>
              <w:t xml:space="preserve">Clean Architecture; 7 namespaces; unit tests; headless mode</w:t>
            </w:r>
            <w:r>
              <w:t xml:space="preserve"> </w:t>
            </w:r>
            <w:r>
              <w:rPr>
                <w:vertAlign w:val="superscript"/>
              </w:rPr>
              <w:footnoteReference w:id="70"/>
            </w:r>
          </w:p>
        </w:tc>
      </w:tr>
      <w:tr>
        <w:tc>
          <w:tcPr/>
          <w:p>
            <w:pPr>
              <w:pStyle w:val="Compact"/>
              <w:jc w:val="left"/>
            </w:pPr>
            <w:r>
              <w:rPr>
                <w:bCs/>
                <w:b/>
              </w:rPr>
              <w:t xml:space="preserve">blender-ai-mcp</w:t>
            </w:r>
            <w:r>
              <w:t xml:space="preserve"> </w:t>
            </w:r>
            <w:r>
              <w:t xml:space="preserve">(patrykiti)</w:t>
            </w:r>
          </w:p>
        </w:tc>
        <w:tc>
          <w:tcPr/>
          <w:p>
            <w:pPr>
              <w:pStyle w:val="Compact"/>
              <w:jc w:val="left"/>
            </w:pPr>
            <w:r>
              <w:t xml:space="preserve">Patryk Ciechanski</w:t>
            </w:r>
          </w:p>
        </w:tc>
        <w:tc>
          <w:tcPr/>
          <w:p>
            <w:pPr>
              <w:pStyle w:val="Compact"/>
              <w:jc w:val="left"/>
            </w:pPr>
            <w:r>
              <w:t xml:space="preserve">Apache 2.0</w:t>
            </w:r>
          </w:p>
        </w:tc>
        <w:tc>
          <w:tcPr/>
          <w:p>
            <w:pPr>
              <w:pStyle w:val="Compact"/>
              <w:jc w:val="left"/>
            </w:pPr>
            <w:r>
              <w:t xml:space="preserve">100+</w:t>
            </w:r>
          </w:p>
        </w:tc>
        <w:tc>
          <w:tcPr/>
          <w:p>
            <w:pPr>
              <w:pStyle w:val="Compact"/>
              <w:jc w:val="left"/>
            </w:pPr>
            <w:r>
              <w:t xml:space="preserve">TCP bridge</w:t>
            </w:r>
          </w:p>
        </w:tc>
        <w:tc>
          <w:tcPr/>
          <w:p>
            <w:pPr>
              <w:pStyle w:val="Compact"/>
              <w:jc w:val="left"/>
            </w:pPr>
            <w:r>
              <w:t xml:space="preserve">Active (May 2026)</w:t>
            </w:r>
          </w:p>
        </w:tc>
        <w:tc>
          <w:tcPr/>
          <w:p>
            <w:pPr>
              <w:pStyle w:val="Compact"/>
              <w:jc w:val="left"/>
            </w:pPr>
            <w:r>
              <w:t xml:space="preserve">Vision layer; spatial intelligence; LaBSE semantic router</w:t>
            </w:r>
            <w:r>
              <w:t xml:space="preserve"> </w:t>
            </w:r>
            <w:r>
              <w:rPr>
                <w:vertAlign w:val="superscript"/>
              </w:rPr>
              <w:footnoteReference w:id="71"/>
            </w:r>
          </w:p>
        </w:tc>
      </w:tr>
      <w:tr>
        <w:tc>
          <w:tcPr/>
          <w:p>
            <w:pPr>
              <w:pStyle w:val="Compact"/>
              <w:jc w:val="left"/>
            </w:pPr>
            <w:r>
              <w:rPr>
                <w:bCs/>
                <w:b/>
              </w:rPr>
              <w:t xml:space="preserve">StraySpark Blender MCP</w:t>
            </w:r>
          </w:p>
        </w:tc>
        <w:tc>
          <w:tcPr/>
          <w:p>
            <w:pPr>
              <w:pStyle w:val="Compact"/>
              <w:jc w:val="left"/>
            </w:pPr>
            <w:r>
              <w:t xml:space="preserve">StraySpark Studio</w:t>
            </w:r>
          </w:p>
        </w:tc>
        <w:tc>
          <w:tcPr/>
          <w:p>
            <w:pPr>
              <w:pStyle w:val="Compact"/>
              <w:jc w:val="left"/>
            </w:pPr>
            <w:r>
              <w:t xml:space="preserve">Commercial</w:t>
            </w:r>
          </w:p>
        </w:tc>
        <w:tc>
          <w:tcPr/>
          <w:p>
            <w:pPr>
              <w:pStyle w:val="Compact"/>
              <w:jc w:val="left"/>
            </w:pPr>
            <w:r>
              <w:t xml:space="preserve">Curated</w:t>
            </w:r>
          </w:p>
        </w:tc>
        <w:tc>
          <w:tcPr/>
          <w:p>
            <w:pPr>
              <w:pStyle w:val="Compact"/>
              <w:jc w:val="left"/>
            </w:pPr>
            <w:r>
              <w:t xml:space="preserve">stdio</w:t>
            </w:r>
          </w:p>
        </w:tc>
        <w:tc>
          <w:tcPr/>
          <w:p>
            <w:pPr>
              <w:pStyle w:val="Compact"/>
              <w:jc w:val="left"/>
            </w:pPr>
            <w:r>
              <w:t xml:space="preserve">Commercial</w:t>
            </w:r>
          </w:p>
        </w:tc>
        <w:tc>
          <w:tcPr/>
          <w:p>
            <w:pPr>
              <w:pStyle w:val="Compact"/>
              <w:jc w:val="left"/>
            </w:pPr>
            <w:r>
              <w:t xml:space="preserve">Production-safe profile; curated tool whitelist</w:t>
            </w:r>
          </w:p>
        </w:tc>
      </w:tr>
      <w:tr>
        <w:tc>
          <w:tcPr/>
          <w:p>
            <w:pPr>
              <w:pStyle w:val="Compact"/>
              <w:jc w:val="left"/>
            </w:pPr>
            <w:r>
              <w:rPr>
                <w:bCs/>
                <w:b/>
              </w:rPr>
              <w:t xml:space="preserve">Vibrante-Node Blender</w:t>
            </w:r>
          </w:p>
        </w:tc>
        <w:tc>
          <w:tcPr/>
          <w:p>
            <w:pPr>
              <w:pStyle w:val="Compact"/>
              <w:jc w:val="left"/>
            </w:pPr>
            <w:r>
              <w:t xml:space="preserve">KamalTD</w:t>
            </w:r>
          </w:p>
        </w:tc>
        <w:tc>
          <w:tcPr/>
          <w:p>
            <w:pPr>
              <w:pStyle w:val="Compact"/>
              <w:jc w:val="left"/>
            </w:pPr>
            <w:r>
              <w:t xml:space="preserve">Open Source</w:t>
            </w:r>
          </w:p>
        </w:tc>
        <w:tc>
          <w:tcPr/>
          <w:p>
            <w:pPr>
              <w:pStyle w:val="Compact"/>
              <w:jc w:val="left"/>
            </w:pPr>
            <w:r>
              <w:t xml:space="preserve">20</w:t>
            </w:r>
          </w:p>
        </w:tc>
        <w:tc>
          <w:tcPr/>
          <w:p>
            <w:pPr>
              <w:pStyle w:val="Compact"/>
              <w:jc w:val="left"/>
            </w:pPr>
            <w:r>
              <w:t xml:space="preserve">Headless action-list</w:t>
            </w:r>
          </w:p>
        </w:tc>
        <w:tc>
          <w:tcPr/>
          <w:p>
            <w:pPr>
              <w:pStyle w:val="Compact"/>
              <w:jc w:val="left"/>
            </w:pPr>
            <w:r>
              <w:t xml:space="preserve">Active (Jun 2026)</w:t>
            </w:r>
          </w:p>
        </w:tc>
        <w:tc>
          <w:tcPr/>
          <w:p>
            <w:pPr>
              <w:pStyle w:val="Compact"/>
              <w:jc w:val="left"/>
            </w:pPr>
            <w:r>
              <w:t xml:space="preserve">Node-based visual editor; CI/CD pipeline integration</w:t>
            </w:r>
            <w:r>
              <w:t xml:space="preserve"> </w:t>
            </w:r>
            <w:r>
              <w:rPr>
                <w:vertAlign w:val="superscript"/>
              </w:rPr>
              <w:footnoteReference w:id="72"/>
            </w:r>
          </w:p>
        </w:tc>
      </w:tr>
      <w:tr>
        <w:tc>
          <w:tcPr/>
          <w:p>
            <w:pPr>
              <w:pStyle w:val="Compact"/>
              <w:jc w:val="left"/>
            </w:pPr>
            <w:r>
              <w:rPr>
                <w:bCs/>
                <w:b/>
              </w:rPr>
              <w:t xml:space="preserve">Blender MCP</w:t>
            </w:r>
            <w:r>
              <w:t xml:space="preserve"> </w:t>
            </w:r>
            <w:r>
              <w:t xml:space="preserve">(blender-mcp.com)</w:t>
            </w:r>
          </w:p>
        </w:tc>
        <w:tc>
          <w:tcPr/>
          <w:p>
            <w:pPr>
              <w:pStyle w:val="Compact"/>
              <w:jc w:val="left"/>
            </w:pPr>
            <w:r>
              <w:t xml:space="preserve">Unofficial third-party</w:t>
            </w:r>
          </w:p>
        </w:tc>
        <w:tc>
          <w:tcPr/>
          <w:p>
            <w:pPr>
              <w:pStyle w:val="Compact"/>
              <w:jc w:val="left"/>
            </w:pPr>
            <w:r>
              <w:t xml:space="preserve">N/A</w:t>
            </w:r>
          </w:p>
        </w:tc>
        <w:tc>
          <w:tcPr/>
          <w:p>
            <w:pPr>
              <w:pStyle w:val="Compact"/>
              <w:jc w:val="left"/>
            </w:pPr>
            <w:r>
              <w:t xml:space="preserve">N/A</w:t>
            </w:r>
          </w:p>
        </w:tc>
        <w:tc>
          <w:tcPr/>
          <w:p>
            <w:pPr>
              <w:pStyle w:val="Compact"/>
              <w:jc w:val="left"/>
            </w:pPr>
            <w:r>
              <w:t xml:space="preserve">Web</w:t>
            </w:r>
          </w:p>
        </w:tc>
        <w:tc>
          <w:tcPr/>
          <w:p>
            <w:pPr>
              <w:pStyle w:val="Compact"/>
              <w:jc w:val="left"/>
            </w:pPr>
            <w:r>
              <w:t xml:space="preserve">Unofficial wrapper</w:t>
            </w:r>
          </w:p>
        </w:tc>
        <w:tc>
          <w:tcPr/>
          <w:p>
            <w:pPr>
              <w:pStyle w:val="Compact"/>
              <w:jc w:val="left"/>
            </w:pPr>
            <w:r>
              <w:t xml:space="preserve">Tutorial site; not affiliated with original project</w:t>
            </w:r>
          </w:p>
        </w:tc>
      </w:tr>
    </w:tbl>
    <w:p>
      <w:pPr>
        <w:pStyle w:val="BodyText"/>
      </w:pPr>
      <w:r>
        <w:t xml:space="preserve">The diversity of implementations reflects varying deployment contexts. Community projects prioritize feature breadth, while the Foundation server emphasizes security and long-term stability. The</w:t>
      </w:r>
      <w:r>
        <w:t xml:space="preserve"> </w:t>
      </w:r>
      <w:r>
        <w:rPr>
          <w:rStyle w:val="VerbatimChar"/>
        </w:rPr>
        <w:t xml:space="preserve">djeada/blender-mcp-server</w:t>
      </w:r>
      <w:r>
        <w:t xml:space="preserve"> </w:t>
      </w:r>
      <w:r>
        <w:t xml:space="preserve">distinguishes itself through clean architecture boundaries and comprehensive test coverage</w:t>
      </w:r>
      <w:r>
        <w:t xml:space="preserve"> </w:t>
      </w:r>
      <w:fldSimple w:instr="NOTEREF _Ref_Footnote_70 \h \f">
        <w:r>
          <w:rPr>
            <w:vertAlign w:val="superscript"/>
          </w:rPr>
          <w:t>70</w:t>
        </w:r>
      </w:fldSimple>
      <w:r>
        <w:t xml:space="preserve">, while</w:t>
      </w:r>
      <w:r>
        <w:t xml:space="preserve"> </w:t>
      </w:r>
      <w:r>
        <w:rPr>
          <w:rStyle w:val="VerbatimChar"/>
        </w:rPr>
        <w:t xml:space="preserve">patrykiti/blender-ai-mcp</w:t>
      </w:r>
      <w:r>
        <w:t xml:space="preserve"> </w:t>
      </w:r>
      <w:r>
        <w:t xml:space="preserve">enforces typed Python, Clean Architecture layer separation, and a vision-capable tool router using LaBSE semantic matching</w:t>
      </w:r>
      <w:r>
        <w:t xml:space="preserve"> </w:t>
      </w:r>
      <w:fldSimple w:instr="NOTEREF _Ref_Footnote_71 \h \f">
        <w:r>
          <w:rPr>
            <w:vertAlign w:val="superscript"/>
          </w:rPr>
          <w:t>71</w:t>
        </w:r>
      </w:fldSimple>
      <w:r>
        <w:t xml:space="preserve">. The unofficial</w:t>
      </w:r>
      <w:r>
        <w:t xml:space="preserve"> </w:t>
      </w:r>
      <w:r>
        <w:rPr>
          <w:rStyle w:val="VerbatimChar"/>
        </w:rPr>
        <w:t xml:space="preserve">blender-mcp.com</w:t>
      </w:r>
      <w:r>
        <w:t xml:space="preserve"> </w:t>
      </w:r>
      <w:r>
        <w:t xml:space="preserve">site illustrates a risk endemic to open protocol ecosystems: third-party wrappers that appear authoritative while lacking affiliation with the original project.</w:t>
      </w:r>
    </w:p>
    <w:bookmarkEnd w:id="87"/>
    <w:bookmarkStart w:id="88" w:name="X12d00c46f45f5065477c0b87e71bec576db4ce7"/>
    <w:p>
      <w:pPr>
        <w:pStyle w:val="Heading4"/>
      </w:pPr>
      <w:r>
        <w:t xml:space="preserve">5.2.2 OpenSCAD Ecosystem: Three Servers and Growing</w:t>
      </w:r>
    </w:p>
    <w:p>
      <w:pPr>
        <w:pStyle w:val="FirstParagraph"/>
      </w:pPr>
      <w:r>
        <w:t xml:space="preserve">OpenSCAD’s text-first approach — CSG (Constructive Solid Geometry) programs written in a declarative language — makes it a natural target for LLM code generation. Three MCP servers have emerged as the core OpenSCAD ecosystem, each specializing in a distinct pipeline stage</w:t>
      </w:r>
      <w:r>
        <w:t xml:space="preserve"> </w:t>
      </w:r>
      <w:fldSimple w:instr="NOTEREF _Ref_Footnote_8 \h \f">
        <w:r>
          <w:rPr>
            <w:vertAlign w:val="superscript"/>
          </w:rPr>
          <w:t>8</w:t>
        </w:r>
      </w:fldSimple>
      <w:r>
        <w:t xml:space="preserve">.</w:t>
      </w:r>
    </w:p>
    <w:p>
      <w:pPr>
        <w:pStyle w:val="BodyText"/>
      </w:pPr>
      <w:r>
        <w:t xml:space="preserve">The</w:t>
      </w:r>
      <w:r>
        <w:t xml:space="preserve"> </w:t>
      </w:r>
      <w:r>
        <w:rPr>
          <w:rStyle w:val="VerbatimChar"/>
        </w:rPr>
        <w:t xml:space="preserve">trikos529/openscad</w:t>
      </w:r>
      <w:r>
        <w:t xml:space="preserve"> </w:t>
      </w:r>
      <w:r>
        <w:t xml:space="preserve">server focuses on code quality and validation, providing secure file operations, syntax checking via the OpenSCAD CLI, and parametric design practice analysis — treating the LLM as a collaborator that iteratively improves existing code</w:t>
      </w:r>
      <w:r>
        <w:t xml:space="preserve"> </w:t>
      </w:r>
      <w:fldSimple w:instr="NOTEREF _Ref_Footnote_8 \h \f">
        <w:r>
          <w:rPr>
            <w:vertAlign w:val="superscript"/>
          </w:rPr>
          <w:t>8</w:t>
        </w:r>
      </w:fldSimple>
      <w:r>
        <w:t xml:space="preserve">. The</w:t>
      </w:r>
      <w:r>
        <w:t xml:space="preserve"> </w:t>
      </w:r>
      <w:r>
        <w:rPr>
          <w:rStyle w:val="VerbatimChar"/>
        </w:rPr>
        <w:t xml:space="preserve">jhacksman/openscad</w:t>
      </w:r>
      <w:r>
        <w:t xml:space="preserve"> </w:t>
      </w:r>
      <w:r>
        <w:t xml:space="preserve">server takes the opposite approach, generating 3D models from text or images using AI image generation, multi-view reconstruction via CUDA Multi-View Stereo, and OpenSCAD code synthesis with parametric export in CSG, AMF, 3MF, and SCAD formats</w:t>
      </w:r>
      <w:r>
        <w:t xml:space="preserve"> </w:t>
      </w:r>
      <w:fldSimple w:instr="NOTEREF _Ref_Footnote_24 \h \f">
        <w:r>
          <w:rPr>
            <w:vertAlign w:val="superscript"/>
          </w:rPr>
          <w:t>24</w:t>
        </w:r>
      </w:fldSimple>
      <w:r>
        <w:t xml:space="preserve">. The</w:t>
      </w:r>
      <w:r>
        <w:t xml:space="preserve"> </w:t>
      </w:r>
      <w:r>
        <w:rPr>
          <w:rStyle w:val="VerbatimChar"/>
        </w:rPr>
        <w:t xml:space="preserve">quellant/openscad-mcp</w:t>
      </w:r>
      <w:r>
        <w:t xml:space="preserve"> </w:t>
      </w:r>
      <w:r>
        <w:t xml:space="preserve">server serves as the visualization layer, rendering OpenSCAD code into high-quality PNG images for human review</w:t>
      </w:r>
      <w:r>
        <w:t xml:space="preserve"> </w:t>
      </w:r>
      <w:fldSimple w:instr="NOTEREF _Ref_Footnote_8 \h \f">
        <w:r>
          <w:rPr>
            <w:vertAlign w:val="superscript"/>
          </w:rPr>
          <w:t>8</w:t>
        </w:r>
      </w:fldSimple>
      <w:r>
        <w:t xml:space="preserve">. Together, these three servers enable a complete pipeline:</w:t>
      </w:r>
      <w:r>
        <w:t xml:space="preserve"> </w:t>
      </w:r>
      <w:r>
        <w:rPr>
          <w:rStyle w:val="VerbatimChar"/>
        </w:rPr>
        <w:t xml:space="preserve">jhacksman</w:t>
      </w:r>
      <w:r>
        <w:t xml:space="preserve"> </w:t>
      </w:r>
      <w:r>
        <w:t xml:space="preserve">generates a first draft,</w:t>
      </w:r>
      <w:r>
        <w:t xml:space="preserve"> </w:t>
      </w:r>
      <w:r>
        <w:rPr>
          <w:rStyle w:val="VerbatimChar"/>
        </w:rPr>
        <w:t xml:space="preserve">trikos529</w:t>
      </w:r>
      <w:r>
        <w:t xml:space="preserve"> </w:t>
      </w:r>
      <w:r>
        <w:t xml:space="preserve">validates and refactors, and</w:t>
      </w:r>
      <w:r>
        <w:t xml:space="preserve"> </w:t>
      </w:r>
      <w:r>
        <w:rPr>
          <w:rStyle w:val="VerbatimChar"/>
        </w:rPr>
        <w:t xml:space="preserve">quellant</w:t>
      </w:r>
      <w:r>
        <w:t xml:space="preserve"> </w:t>
      </w:r>
      <w:r>
        <w:t xml:space="preserve">produces visual feedback.</w:t>
      </w:r>
    </w:p>
    <w:bookmarkEnd w:id="88"/>
    <w:bookmarkStart w:id="89" w:name="freecad-and-the-open-source-cad-stack"/>
    <w:p>
      <w:pPr>
        <w:pStyle w:val="Heading4"/>
      </w:pPr>
      <w:r>
        <w:t xml:space="preserve">5.2.3 FreeCAD and the Open-Source CAD Stack</w:t>
      </w:r>
    </w:p>
    <w:p>
      <w:pPr>
        <w:pStyle w:val="FirstParagraph"/>
      </w:pPr>
      <w:r>
        <w:t xml:space="preserve">FreeCAD’s parametric modeling capabilities, built on the OpenCASCADE B-Rep (Boundary Representation) kernel, extend MCP integration into mechanical engineering workflows. ToolCAD, an academic framework published in 2026, uses</w:t>
      </w:r>
      <w:r>
        <w:t xml:space="preserve"> </w:t>
      </w:r>
      <w:r>
        <w:t xml:space="preserve">“</w:t>
      </w:r>
      <w:r>
        <w:t xml:space="preserve">MCP-based modeling tools with FreeCAD</w:t>
      </w:r>
      <w:r>
        <w:t xml:space="preserve">”</w:t>
      </w:r>
      <w:r>
        <w:t xml:space="preserve"> </w:t>
      </w:r>
      <w:r>
        <w:t xml:space="preserve">to enable agentic CAD generation with reinforcement learning</w:t>
      </w:r>
      <w:r>
        <w:t xml:space="preserve"> </w:t>
      </w:r>
      <w:fldSimple w:instr="NOTEREF _Ref_Footnote_28 \h \f">
        <w:r>
          <w:rPr>
            <w:vertAlign w:val="superscript"/>
          </w:rPr>
          <w:t>28</w:t>
        </w:r>
      </w:fldSimple>
      <w:r>
        <w:t xml:space="preserve">. This approach bridges the protocol-level integration provided by MCP with the geometric precision required for engineering applications — B-Rep output with exact mathematical surface definitions rather than mesh approximations.</w:t>
      </w:r>
    </w:p>
    <w:p>
      <w:pPr>
        <w:pStyle w:val="BodyText"/>
      </w:pPr>
      <w:r>
        <w:t xml:space="preserve">The OpenCASCADE integration carries known limitations. FutureCAD’s authors acknowledge the</w:t>
      </w:r>
      <w:r>
        <w:t xml:space="preserve"> </w:t>
      </w:r>
      <w:r>
        <w:t xml:space="preserve">“</w:t>
      </w:r>
      <w:r>
        <w:t xml:space="preserve">limited robustness of OpenCASCADE compared to commercial kernels,</w:t>
      </w:r>
      <w:r>
        <w:t xml:space="preserve">”</w:t>
      </w:r>
      <w:r>
        <w:t xml:space="preserve"> </w:t>
      </w:r>
      <w:r>
        <w:t xml:space="preserve">adopting lenient evaluation protocols for advanced features</w:t>
      </w:r>
      <w:r>
        <w:t xml:space="preserve"> </w:t>
      </w:r>
      <w:fldSimple w:instr="NOTEREF _Ref_Footnote_5 \h \f">
        <w:r>
          <w:rPr>
            <w:vertAlign w:val="superscript"/>
          </w:rPr>
          <w:t>5</w:t>
        </w:r>
      </w:fldSimple>
      <w:r>
        <w:t xml:space="preserve">. The Topological Naming Problem (TNP) — where parametric edits unpredictably re-index geometric entities — creates a combinatorial search space of</w:t>
      </w:r>
      <w:r>
        <w:t xml:space="preserve"> </w:t>
      </w:r>
      <m:oMath>
        <m:r>
          <m:t>O</m:t>
        </m:r>
        <m:d>
          <m:dPr>
            <m:begChr m:val="("/>
            <m:endChr m:val=")"/>
            <m:sepChr m:val=""/>
            <m:grow/>
          </m:dPr>
          <m:e>
            <m:sSup>
              <m:e>
                <m:r>
                  <m:t>V</m:t>
                </m:r>
              </m:e>
              <m:sup>
                <m:r>
                  <m:t>2</m:t>
                </m:r>
              </m:sup>
            </m:sSup>
            <m:d>
              <m:dPr>
                <m:begChr m:val="|"/>
                <m:endChr m:val="|"/>
                <m:sepChr m:val=""/>
                <m:grow/>
              </m:dPr>
              <m:e>
                <m:r>
                  <m:t>E</m:t>
                </m:r>
              </m:e>
            </m:d>
          </m:e>
        </m:d>
      </m:oMath>
      <w:r>
        <w:t xml:space="preserve"> </w:t>
      </w:r>
      <w:r>
        <w:t xml:space="preserve">that particularly affects LLM-generated code. Despite these constraints, FreeCAD via MCP represents the most accessible pathway to parametric, engineering-grade AI-CAD integration for organizations without commercial kernel licenses.</w:t>
      </w:r>
    </w:p>
    <w:bookmarkEnd w:id="89"/>
    <w:bookmarkEnd w:id="90"/>
    <w:bookmarkStart w:id="93" w:name="Xc8dc9c76c49ea99bb069c32cb70c28b16414011"/>
    <w:p>
      <w:pPr>
        <w:pStyle w:val="Heading3"/>
      </w:pPr>
      <w:r>
        <w:t xml:space="preserve">5.3 The Protocol Inversion: AI Companies Defining CAD Standards</w:t>
      </w:r>
    </w:p>
    <w:bookmarkStart w:id="91" w:name="X9ad1a6ef5435c19d972c8faaf4296a5391bd745"/>
    <w:p>
      <w:pPr>
        <w:pStyle w:val="Heading4"/>
      </w:pPr>
      <w:r>
        <w:t xml:space="preserve">5.3.1 Historical Precedent: CAD Vendors Always Defined Interop</w:t>
      </w:r>
    </w:p>
    <w:p>
      <w:pPr>
        <w:pStyle w:val="FirstParagraph"/>
      </w:pPr>
      <w:r>
        <w:t xml:space="preserve">For four decades, CAD interoperability has been vendor-controlled. Autodesk established DWG as the de facto standard for 2D drafting, Dassault Systemes developed 3DXML for CATIA-centric workflows, and Siemens promoted JT for visualization-centric collaboration. Neutral formats emerged only slowly: IGES in 1980, STEP (ISO 10303) in 1994, and 3MF for additive manufacturing in 2015. Even STEP, the most successful neutral standard, took years to achieve semantic richness and remains limited in parametric history transfer</w:t>
      </w:r>
      <w:r>
        <w:t xml:space="preserve"> </w:t>
      </w:r>
      <w:r>
        <w:rPr>
          <w:vertAlign w:val="superscript"/>
        </w:rPr>
        <w:footnoteReference w:id="73"/>
      </w:r>
      <w:r>
        <w:t xml:space="preserve">.</w:t>
      </w:r>
    </w:p>
    <w:p>
      <w:pPr>
        <w:pStyle w:val="BodyText"/>
      </w:pPr>
      <w:r>
        <w:t xml:space="preserve">MCP represents a fundamentally different power dynamic. An AI company — Anthropic — created the protocol, and CAD/3D tools are conforming to it. The integration pattern is inverted: instead of CAD vendors defining file formats that AI systems must parse, the AI layer defines the interaction protocol that CAD tools must implement. This is more powerful than file-format standardization because MCP enables dynamic tool discovery, live parameter adjustment, multi-tool orchestration, and real-time feedback loops — capabilities that static file formats cannot provide</w:t>
      </w:r>
      <w:r>
        <w:t xml:space="preserve"> </w:t>
      </w:r>
      <w:fldSimple w:instr="NOTEREF _Ref_Footnote_25 \h \f">
        <w:r>
          <w:rPr>
            <w:vertAlign w:val="superscript"/>
          </w:rPr>
          <w:t>25</w:t>
        </w:r>
      </w:fldSimple>
      <w:r>
        <w:t xml:space="preserve">.</w:t>
      </w:r>
    </w:p>
    <w:p>
      <w:pPr>
        <w:pStyle w:val="BodyText"/>
      </w:pPr>
      <w:r>
        <w:t xml:space="preserve">The pattern spans multiple tools and domains: Blender adopted MCP through official Foundation infrastructure in April 2026</w:t>
      </w:r>
      <w:r>
        <w:t xml:space="preserve"> </w:t>
      </w:r>
      <w:fldSimple w:instr="NOTEREF _Ref_Footnote_17 \h \f">
        <w:r>
          <w:rPr>
            <w:vertAlign w:val="superscript"/>
          </w:rPr>
          <w:t>17</w:t>
        </w:r>
      </w:fldSimple>
      <w:r>
        <w:t xml:space="preserve">; OpenSCAD accumulated three complementary MCP servers</w:t>
      </w:r>
      <w:r>
        <w:t xml:space="preserve"> </w:t>
      </w:r>
      <w:fldSimple w:instr="NOTEREF _Ref_Footnote_8 \h \f">
        <w:r>
          <w:rPr>
            <w:vertAlign w:val="superscript"/>
          </w:rPr>
          <w:t>8</w:t>
        </w:r>
      </w:fldSimple>
      <w:r>
        <w:t xml:space="preserve">; FreeCAD gained connectivity through research frameworks like ToolCAD</w:t>
      </w:r>
      <w:r>
        <w:t xml:space="preserve"> </w:t>
      </w:r>
      <w:fldSimple w:instr="NOTEREF _Ref_Footnote_28 \h \f">
        <w:r>
          <w:rPr>
            <w:vertAlign w:val="superscript"/>
          </w:rPr>
          <w:t>28</w:t>
        </w:r>
      </w:fldSimple>
      <w:r>
        <w:t xml:space="preserve">; and academic systems including 3Dify demonstrated that LLMs primarily use the</w:t>
      </w:r>
      <w:r>
        <w:t xml:space="preserve"> </w:t>
      </w:r>
      <w:r>
        <w:rPr>
          <w:rStyle w:val="VerbatimChar"/>
        </w:rPr>
        <w:t xml:space="preserve">code</w:t>
      </w:r>
      <w:r>
        <w:t xml:space="preserve"> </w:t>
      </w:r>
      <w:r>
        <w:t xml:space="preserve">MCP tool to execute Blender Python scripts rather than individual operator tools</w:t>
      </w:r>
      <w:r>
        <w:t xml:space="preserve"> </w:t>
      </w:r>
      <w:fldSimple w:instr="NOTEREF _Ref_Footnote_6 \h \f">
        <w:r>
          <w:rPr>
            <w:vertAlign w:val="superscript"/>
          </w:rPr>
          <w:t>6</w:t>
        </w:r>
      </w:fldSimple>
      <w:r>
        <w:t xml:space="preserve">. MCP’s dominance as the integration pattern is confirmed across Blender, OpenSCAD, FreeCAD, and academic tool-use research</w:t>
      </w:r>
      <w:r>
        <w:t xml:space="preserve"> </w:t>
      </w:r>
      <w:fldSimple w:instr="NOTEREF _Ref_Footnote_22 \h \f">
        <w:r>
          <w:rPr>
            <w:vertAlign w:val="superscript"/>
          </w:rPr>
          <w:t>22</w:t>
        </w:r>
      </w:fldSimple>
      <w:r>
        <w:t xml:space="preserve"> </w:t>
      </w:r>
      <w:fldSimple w:instr="NOTEREF _Ref_Footnote_25 \h \f">
        <w:r>
          <w:rPr>
            <w:vertAlign w:val="superscript"/>
          </w:rPr>
          <w:t>25</w:t>
        </w:r>
      </w:fldSimple>
      <w:r>
        <w:t xml:space="preserve">.</w:t>
      </w:r>
    </w:p>
    <w:bookmarkEnd w:id="91"/>
    <w:bookmarkStart w:id="92" w:name="implications-for-cad-vendors"/>
    <w:p>
      <w:pPr>
        <w:pStyle w:val="Heading4"/>
      </w:pPr>
      <w:r>
        <w:t xml:space="preserve">5.3.2 Implications for CAD Vendors</w:t>
      </w:r>
    </w:p>
    <w:p>
      <w:pPr>
        <w:pStyle w:val="FirstParagraph"/>
      </w:pPr>
      <w:r>
        <w:t xml:space="preserve">The protocol inversion creates strategic pressure on established CAD vendors. Organizations building AI-driven pipelines increasingly select tools based on MCP compatibility rather than traditional format support. This advantages open-source tools that can adapt quickly over legacy commercial systems with entrenched release cycles.</w:t>
      </w:r>
    </w:p>
    <w:tbl>
      <w:tblPr>
        <w:tblStyle w:val="Table"/>
        <w:tblW w:type="pct" w:w="5000"/>
        <w:tblLook w:firstRow="1" w:lastRow="0" w:firstColumn="0" w:lastColumn="0" w:noHBand="0" w:noVBand="0" w:val="0020"/>
      </w:tblPr>
      <w:tblGrid>
        <w:gridCol w:w="1149"/>
        <w:gridCol w:w="1660"/>
        <w:gridCol w:w="1660"/>
        <w:gridCol w:w="1788"/>
        <w:gridCol w:w="1660"/>
      </w:tblGrid>
      <w:tr>
        <w:trPr>
          <w:tblHeader w:val="true"/>
        </w:trPr>
        <w:tc>
          <w:tcPr/>
          <w:p>
            <w:pPr>
              <w:pStyle w:val="Compact"/>
              <w:jc w:val="left"/>
            </w:pPr>
            <w:r>
              <w:t xml:space="preserve">Company</w:t>
            </w:r>
          </w:p>
        </w:tc>
        <w:tc>
          <w:tcPr/>
          <w:p>
            <w:pPr>
              <w:pStyle w:val="Compact"/>
              <w:jc w:val="left"/>
            </w:pPr>
            <w:r>
              <w:t xml:space="preserve">AI Strategy</w:t>
            </w:r>
          </w:p>
        </w:tc>
        <w:tc>
          <w:tcPr/>
          <w:p>
            <w:pPr>
              <w:pStyle w:val="Compact"/>
              <w:jc w:val="left"/>
            </w:pPr>
            <w:r>
              <w:t xml:space="preserve">LLM Partner</w:t>
            </w:r>
          </w:p>
        </w:tc>
        <w:tc>
          <w:tcPr/>
          <w:p>
            <w:pPr>
              <w:pStyle w:val="Compact"/>
              <w:jc w:val="left"/>
            </w:pPr>
            <w:r>
              <w:t xml:space="preserve">MCP Adoption</w:t>
            </w:r>
          </w:p>
        </w:tc>
        <w:tc>
          <w:tcPr/>
          <w:p>
            <w:pPr>
              <w:pStyle w:val="Compact"/>
              <w:jc w:val="left"/>
            </w:pPr>
            <w:r>
              <w:t xml:space="preserve">Positioning</w:t>
            </w:r>
          </w:p>
        </w:tc>
      </w:tr>
      <w:tr>
        <w:tc>
          <w:tcPr/>
          <w:p>
            <w:pPr>
              <w:pStyle w:val="Compact"/>
              <w:jc w:val="left"/>
            </w:pPr>
            <w:r>
              <w:rPr>
                <w:bCs/>
                <w:b/>
              </w:rPr>
              <w:t xml:space="preserve">Autodesk</w:t>
            </w:r>
          </w:p>
        </w:tc>
        <w:tc>
          <w:tcPr/>
          <w:p>
            <w:pPr>
              <w:pStyle w:val="Compact"/>
              <w:jc w:val="left"/>
            </w:pPr>
            <w:r>
              <w:t xml:space="preserve">Interface AI + Neural CAD</w:t>
            </w:r>
          </w:p>
        </w:tc>
        <w:tc>
          <w:tcPr/>
          <w:p>
            <w:pPr>
              <w:pStyle w:val="Compact"/>
              <w:jc w:val="left"/>
            </w:pPr>
            <w:r>
              <w:t xml:space="preserve">Claude (Anthropic)</w:t>
            </w:r>
          </w:p>
        </w:tc>
        <w:tc>
          <w:tcPr/>
          <w:p>
            <w:pPr>
              <w:pStyle w:val="Compact"/>
              <w:jc w:val="left"/>
            </w:pPr>
            <w:r>
              <w:t xml:space="preserve">Fusion MCP announced Apr 2026</w:t>
            </w:r>
            <w:r>
              <w:t xml:space="preserve"> </w:t>
            </w:r>
            <w:r>
              <w:rPr>
                <w:vertAlign w:val="superscript"/>
              </w:rPr>
              <w:footnoteReference w:id="74"/>
            </w:r>
          </w:p>
        </w:tc>
        <w:tc>
          <w:tcPr/>
          <w:p>
            <w:pPr>
              <w:pStyle w:val="Compact"/>
              <w:jc w:val="left"/>
            </w:pPr>
            <w:r>
              <w:t xml:space="preserve">Natural language interface; prompt-driven modeling; API-first</w:t>
            </w:r>
            <w:r>
              <w:t xml:space="preserve"> </w:t>
            </w:r>
            <w:fldSimple w:instr="NOTEREF _Ref_Footnote_9 \h \f">
              <w:r>
                <w:rPr>
                  <w:vertAlign w:val="superscript"/>
                </w:rPr>
                <w:t>9</w:t>
              </w:r>
            </w:fldSimple>
          </w:p>
        </w:tc>
      </w:tr>
      <w:tr>
        <w:tc>
          <w:tcPr/>
          <w:p>
            <w:pPr>
              <w:pStyle w:val="Compact"/>
              <w:jc w:val="left"/>
            </w:pPr>
            <w:r>
              <w:rPr>
                <w:bCs/>
                <w:b/>
              </w:rPr>
              <w:t xml:space="preserve">Dassault Systemes</w:t>
            </w:r>
          </w:p>
        </w:tc>
        <w:tc>
          <w:tcPr/>
          <w:p>
            <w:pPr>
              <w:pStyle w:val="Compact"/>
              <w:jc w:val="left"/>
            </w:pPr>
            <w:r>
              <w:t xml:space="preserve">Virtual Companions (platform AI)</w:t>
            </w:r>
          </w:p>
        </w:tc>
        <w:tc>
          <w:tcPr/>
          <w:p>
            <w:pPr>
              <w:pStyle w:val="Compact"/>
              <w:jc w:val="left"/>
            </w:pPr>
            <w:r>
              <w:t xml:space="preserve">Mistral AI (French)</w:t>
            </w:r>
            <w:r>
              <w:t xml:space="preserve"> </w:t>
            </w:r>
            <w:fldSimple w:instr="NOTEREF _Ref_Footnote_55 \h \f">
              <w:r>
                <w:rPr>
                  <w:vertAlign w:val="superscript"/>
                </w:rPr>
                <w:t>55</w:t>
              </w:r>
            </w:fldSimple>
          </w:p>
        </w:tc>
        <w:tc>
          <w:tcPr/>
          <w:p>
            <w:pPr>
              <w:pStyle w:val="Compact"/>
              <w:jc w:val="left"/>
            </w:pPr>
            <w:r>
              <w:t xml:space="preserve">Indirect via APIs</w:t>
            </w:r>
          </w:p>
        </w:tc>
        <w:tc>
          <w:tcPr/>
          <w:p>
            <w:pPr>
              <w:pStyle w:val="Compact"/>
              <w:jc w:val="left"/>
            </w:pPr>
            <w:r>
              <w:t xml:space="preserve">Integrated ecosystem; IP lifecycle management; physics-grounded</w:t>
            </w:r>
          </w:p>
        </w:tc>
      </w:tr>
      <w:tr>
        <w:tc>
          <w:tcPr/>
          <w:p>
            <w:pPr>
              <w:pStyle w:val="Compact"/>
              <w:jc w:val="left"/>
            </w:pPr>
            <w:r>
              <w:rPr>
                <w:bCs/>
                <w:b/>
              </w:rPr>
              <w:t xml:space="preserve">Siemens</w:t>
            </w:r>
          </w:p>
        </w:tc>
        <w:tc>
          <w:tcPr/>
          <w:p>
            <w:pPr>
              <w:pStyle w:val="Compact"/>
              <w:jc w:val="left"/>
            </w:pPr>
            <w:r>
              <w:t xml:space="preserve">Engineering AI + NX Copilot</w:t>
            </w:r>
          </w:p>
        </w:tc>
        <w:tc>
          <w:tcPr/>
          <w:p>
            <w:pPr>
              <w:pStyle w:val="Compact"/>
              <w:jc w:val="left"/>
            </w:pPr>
            <w:r>
              <w:t xml:space="preserve">Microsoft Phi-3</w:t>
            </w:r>
            <w:r>
              <w:t xml:space="preserve"> </w:t>
            </w:r>
            <w:fldSimple w:instr="NOTEREF _Ref_Footnote_57 \h \f">
              <w:r>
                <w:rPr>
                  <w:vertAlign w:val="superscript"/>
                </w:rPr>
                <w:t>57</w:t>
              </w:r>
            </w:fldSimple>
          </w:p>
        </w:tc>
        <w:tc>
          <w:tcPr/>
          <w:p>
            <w:pPr>
              <w:pStyle w:val="Compact"/>
              <w:jc w:val="left"/>
            </w:pPr>
            <w:r>
              <w:t xml:space="preserve">Limited</w:t>
            </w:r>
          </w:p>
        </w:tc>
        <w:tc>
          <w:tcPr/>
          <w:p>
            <w:pPr>
              <w:pStyle w:val="Compact"/>
              <w:jc w:val="left"/>
            </w:pPr>
            <w:r>
              <w:t xml:space="preserve">Simulation depth; industrial workflows; 70% faster with Copilot</w:t>
            </w:r>
          </w:p>
        </w:tc>
      </w:tr>
      <w:tr>
        <w:tc>
          <w:tcPr/>
          <w:p>
            <w:pPr>
              <w:pStyle w:val="Compact"/>
              <w:jc w:val="left"/>
            </w:pPr>
            <w:r>
              <w:rPr>
                <w:bCs/>
                <w:b/>
              </w:rPr>
              <w:t xml:space="preserve">PTC</w:t>
            </w:r>
          </w:p>
        </w:tc>
        <w:tc>
          <w:tcPr/>
          <w:p>
            <w:pPr>
              <w:pStyle w:val="Compact"/>
              <w:jc w:val="left"/>
            </w:pPr>
            <w:r>
              <w:t xml:space="preserve">Generative Design Extensions</w:t>
            </w:r>
          </w:p>
        </w:tc>
        <w:tc>
          <w:tcPr/>
          <w:p>
            <w:pPr>
              <w:pStyle w:val="Compact"/>
              <w:jc w:val="left"/>
            </w:pPr>
            <w:r>
              <w:t xml:space="preserve">Open-source models</w:t>
            </w:r>
          </w:p>
        </w:tc>
        <w:tc>
          <w:tcPr/>
          <w:p>
            <w:pPr>
              <w:pStyle w:val="Compact"/>
              <w:jc w:val="left"/>
            </w:pPr>
            <w:r>
              <w:t xml:space="preserve">None announced</w:t>
            </w:r>
          </w:p>
        </w:tc>
        <w:tc>
          <w:tcPr/>
          <w:p>
            <w:pPr>
              <w:pStyle w:val="Compact"/>
              <w:jc w:val="left"/>
            </w:pPr>
            <w:r>
              <w:t xml:space="preserve">Assembly-level optimization; PLM integration</w:t>
            </w:r>
            <w:r>
              <w:t xml:space="preserve"> </w:t>
            </w:r>
            <w:fldSimple w:instr="NOTEREF _Ref_Footnote_29 \h \f">
              <w:r>
                <w:rPr>
                  <w:vertAlign w:val="superscript"/>
                </w:rPr>
                <w:t>29</w:t>
              </w:r>
            </w:fldSimple>
          </w:p>
        </w:tc>
      </w:tr>
    </w:tbl>
    <w:p>
      <w:pPr>
        <w:pStyle w:val="BodyText"/>
      </w:pPr>
      <w:r>
        <w:rPr>
          <w:bCs/>
          <w:b/>
        </w:rPr>
        <w:t xml:space="preserve">Case Study: Dassault Systemes’ Adaptation Strategy.</w:t>
      </w:r>
      <w:r>
        <w:t xml:space="preserve"> </w:t>
      </w:r>
      <w:r>
        <w:t xml:space="preserve">Dassault’s response to the AI-CAD integration challenge illustrates both the opportunities and the complexities facing legacy vendors. At 3DEXPERIENCE World 2026, the company unveiled three</w:t>
      </w:r>
      <w:r>
        <w:t xml:space="preserve"> </w:t>
      </w:r>
      <w:r>
        <w:t xml:space="preserve">“</w:t>
      </w:r>
      <w:r>
        <w:t xml:space="preserve">Virtual Companions</w:t>
      </w:r>
      <w:r>
        <w:t xml:space="preserve">”</w:t>
      </w:r>
      <w:r>
        <w:t xml:space="preserve"> </w:t>
      </w:r>
      <w:r>
        <w:t xml:space="preserve">— AURA (knowledge orchestration), Leo (engineering problem-solving), and Marie (materials science) — built on Mistral AI’s foundation models running on Dassault’s Outscale sovereign cloud infrastructure</w:t>
      </w:r>
      <w:r>
        <w:t xml:space="preserve"> </w:t>
      </w:r>
      <w:fldSimple w:instr="NOTEREF _Ref_Footnote_55 \h \f">
        <w:r>
          <w:rPr>
            <w:vertAlign w:val="superscript"/>
          </w:rPr>
          <w:t>55</w:t>
        </w:r>
      </w:fldSimple>
      <w:r>
        <w:t xml:space="preserve">. The partnership with Mistral, announced in July 2024, reflects a deliberate strategy to align with European AI sovereignty rather than defaulting to US-based providers</w:t>
      </w:r>
      <w:r>
        <w:t xml:space="preserve"> </w:t>
      </w:r>
      <w:r>
        <w:rPr>
          <w:vertAlign w:val="superscript"/>
        </w:rPr>
        <w:footnoteReference w:id="75"/>
      </w:r>
      <w:r>
        <w:t xml:space="preserve">.</w:t>
      </w:r>
    </w:p>
    <w:p>
      <w:pPr>
        <w:pStyle w:val="BodyText"/>
      </w:pPr>
      <w:r>
        <w:t xml:space="preserve">The differentiation Dassault pursues is vertical depth over horizontal integration. CEO Pascal Daloz emphasized that</w:t>
      </w:r>
      <w:r>
        <w:t xml:space="preserve"> </w:t>
      </w:r>
      <w:r>
        <w:t xml:space="preserve">“</w:t>
      </w:r>
      <w:r>
        <w:t xml:space="preserve">the real world doesn’t consist of text and images — it consists of physics, materials, energy and constraints</w:t>
      </w:r>
      <w:r>
        <w:t xml:space="preserve">”</w:t>
      </w:r>
      <w:r>
        <w:t xml:space="preserve"> </w:t>
      </w:r>
      <w:r>
        <w:rPr>
          <w:vertAlign w:val="superscript"/>
        </w:rPr>
        <w:footnoteReference w:id="76"/>
      </w:r>
      <w:r>
        <w:t xml:space="preserve">. The companions train on customer-specific data, positioning Dassault’s offering as physics-aware rather than generically prompt-driven. However, the strategy carries execution risks: AURA shipped as a documentation chatbot rather than the generative design tool demonstrated on stage — it cannot generate CAD files or access PDM/PLM data</w:t>
      </w:r>
      <w:r>
        <w:t xml:space="preserve"> </w:t>
      </w:r>
      <w:r>
        <w:rPr>
          <w:vertAlign w:val="superscript"/>
        </w:rPr>
        <w:footnoteReference w:id="77"/>
      </w:r>
      <w:r>
        <w:t xml:space="preserve">. Leo and Marie, promised for mid-2026, had not reached general availability as of mid-year. Dassault’s licensing model also faces disruption, with Daloz acknowledging that</w:t>
      </w:r>
      <w:r>
        <w:t xml:space="preserve"> </w:t>
      </w:r>
      <w:r>
        <w:t xml:space="preserve">“</w:t>
      </w:r>
      <w:r>
        <w:t xml:space="preserve">virtual companions aren’t real users</w:t>
      </w:r>
      <w:r>
        <w:t xml:space="preserve">”</w:t>
      </w:r>
      <w:r>
        <w:t xml:space="preserve"> </w:t>
      </w:r>
      <w:r>
        <w:t xml:space="preserve">and signaling a transition from per-seat licensing to consumption-based models around</w:t>
      </w:r>
      <w:r>
        <w:t xml:space="preserve"> </w:t>
      </w:r>
      <w:r>
        <w:t xml:space="preserve">“</w:t>
      </w:r>
      <w:r>
        <w:t xml:space="preserve">units of know-how</w:t>
      </w:r>
      <w:r>
        <w:t xml:space="preserve">”</w:t>
      </w:r>
      <w:r>
        <w:t xml:space="preserve"> </w:t>
      </w:r>
      <w:fldSimple w:instr="NOTEREF _Ref_Footnote_76 \h \f">
        <w:r>
          <w:rPr>
            <w:vertAlign w:val="superscript"/>
          </w:rPr>
          <w:t>76</w:t>
        </w:r>
      </w:fldSimple>
      <w:r>
        <w:t xml:space="preserve">.</w:t>
      </w:r>
    </w:p>
    <w:bookmarkEnd w:id="92"/>
    <w:bookmarkEnd w:id="93"/>
    <w:bookmarkStart w:id="96" w:name="production-deployment-patterns"/>
    <w:p>
      <w:pPr>
        <w:pStyle w:val="Heading3"/>
      </w:pPr>
      <w:r>
        <w:t xml:space="preserve">5.4 Production Deployment Patterns</w:t>
      </w:r>
    </w:p>
    <w:bookmarkStart w:id="94" w:name="X8a2300acd73bafbe324f33ea458e1d1e4167e62"/>
    <w:p>
      <w:pPr>
        <w:pStyle w:val="Heading4"/>
      </w:pPr>
      <w:r>
        <w:t xml:space="preserve">5.4.1 Headless Blender with MCP: Server-Side Pipeline Architecture</w:t>
      </w:r>
    </w:p>
    <w:p>
      <w:pPr>
        <w:pStyle w:val="FirstParagraph"/>
      </w:pPr>
      <w:r>
        <w:t xml:space="preserve">Production deployments of MCP-connected Blender follow a consistent architectural pattern. The headless Blender instance runs via</w:t>
      </w:r>
      <w:r>
        <w:t xml:space="preserve"> </w:t>
      </w:r>
      <w:r>
        <w:rPr>
          <w:rStyle w:val="VerbatimChar"/>
        </w:rPr>
        <w:t xml:space="preserve">blender --background --python script.py</w:t>
      </w:r>
      <w:r>
        <w:t xml:space="preserve">, executing without a window manager or GPU display requirement</w:t>
      </w:r>
      <w:r>
        <w:t xml:space="preserve"> </w:t>
      </w:r>
      <w:r>
        <w:rPr>
          <w:vertAlign w:val="superscript"/>
        </w:rPr>
        <w:footnoteReference w:id="78"/>
      </w:r>
      <w:r>
        <w:t xml:space="preserve">. The MCP server bridges between the LLM client and Blender’s Python API, translating protocol messages into</w:t>
      </w:r>
      <w:r>
        <w:t xml:space="preserve"> </w:t>
      </w:r>
      <w:r>
        <w:rPr>
          <w:rStyle w:val="VerbatimChar"/>
        </w:rPr>
        <w:t xml:space="preserve">bpy</w:t>
      </w:r>
      <w:r>
        <w:t xml:space="preserve"> </w:t>
      </w:r>
      <w:r>
        <w:t xml:space="preserve">operations and streaming results back to the requesting agent.</w:t>
      </w:r>
    </w:p>
    <w:p>
      <w:pPr>
        <w:pStyle w:val="BodyText"/>
      </w:pPr>
      <w:r>
        <w:t xml:space="preserve">The Vibrante-Node framework implements this pattern through an action-list abstraction:</w:t>
      </w:r>
      <w:r>
        <w:t xml:space="preserve"> </w:t>
      </w:r>
      <w:r>
        <w:rPr>
          <w:rStyle w:val="VerbatimChar"/>
        </w:rPr>
        <w:t xml:space="preserve">blender_action_*</w:t>
      </w:r>
      <w:r>
        <w:t xml:space="preserve"> </w:t>
      </w:r>
      <w:r>
        <w:t xml:space="preserve">nodes define operations and</w:t>
      </w:r>
      <w:r>
        <w:t xml:space="preserve"> </w:t>
      </w:r>
      <w:r>
        <w:rPr>
          <w:rStyle w:val="VerbatimChar"/>
        </w:rPr>
        <w:t xml:space="preserve">blender_headless</w:t>
      </w:r>
      <w:r>
        <w:t xml:space="preserve"> </w:t>
      </w:r>
      <w:r>
        <w:t xml:space="preserve">executes them in background mode, supporting Alembic, FBX, glTF, OBJ, USD, and rendered output formats</w:t>
      </w:r>
      <w:r>
        <w:t xml:space="preserve"> </w:t>
      </w:r>
      <w:fldSimple w:instr="NOTEREF _Ref_Footnote_72 \h \f">
        <w:r>
          <w:rPr>
            <w:vertAlign w:val="superscript"/>
          </w:rPr>
          <w:t>72</w:t>
        </w:r>
      </w:fldSimple>
      <w:r>
        <w:t xml:space="preserve">. The</w:t>
      </w:r>
      <w:r>
        <w:t xml:space="preserve"> </w:t>
      </w:r>
      <w:r>
        <w:rPr>
          <w:rStyle w:val="VerbatimChar"/>
        </w:rPr>
        <w:t xml:space="preserve">djeada/blender-mcp-server</w:t>
      </w:r>
      <w:r>
        <w:t xml:space="preserve"> </w:t>
      </w:r>
      <w:r>
        <w:t xml:space="preserve">provides a reference implementation with safe mode (restricting file I/O operations), async bake and poll capabilities, custom port binding, and a reusable script library for CI/CD integration</w:t>
      </w:r>
      <w:r>
        <w:t xml:space="preserve"> </w:t>
      </w:r>
      <w:fldSimple w:instr="NOTEREF _Ref_Footnote_70 \h \f">
        <w:r>
          <w:rPr>
            <w:vertAlign w:val="superscript"/>
          </w:rPr>
          <w:t>70</w:t>
        </w:r>
      </w:fldSimple>
      <w:r>
        <w:t xml:space="preserve">.</w:t>
      </w:r>
    </w:p>
    <w:p>
      <w:pPr>
        <w:pStyle w:val="BodyText"/>
      </w:pPr>
      <w:r>
        <w:t xml:space="preserve">A typical server-side deployment containerizes the Blender+MCP stack in Docker, mounts asset directories as volumes, and exposes the MCP transport endpoint via stdio or TCP. GPU passthrough enables hardware-accelerated rendering where available. Latency budgets from prompt to mesh vary substantially: simple primitives complete in 2–5 seconds, while complex multi-operation generation with viewport feedback can require 30–120 seconds.</w:t>
      </w:r>
    </w:p>
    <w:p>
      <w:pPr>
        <w:pStyle w:val="BodyText"/>
      </w:pPr>
      <w:r>
        <w:t xml:space="preserve">The</w:t>
      </w:r>
      <w:r>
        <w:t xml:space="preserve"> </w:t>
      </w:r>
      <w:r>
        <w:rPr>
          <w:rStyle w:val="VerbatimChar"/>
        </w:rPr>
        <w:t xml:space="preserve">patrykiti/blender-ai-mcp</w:t>
      </w:r>
      <w:r>
        <w:t xml:space="preserve"> </w:t>
      </w:r>
      <w:r>
        <w:t xml:space="preserve">extends this architecture with a vision layer that captures viewport screenshots and routes them to a VLM for spatial quality assessment, enabling autonomous self-correction loops</w:t>
      </w:r>
      <w:r>
        <w:t xml:space="preserve"> </w:t>
      </w:r>
      <w:fldSimple w:instr="NOTEREF _Ref_Footnote_71 \h \f">
        <w:r>
          <w:rPr>
            <w:vertAlign w:val="superscript"/>
          </w:rPr>
          <w:t>71</w:t>
        </w:r>
      </w:fldSimple>
      <w:r>
        <w:t xml:space="preserve">. This aligns with research showing that render-critique-refine loops improve output quality by 45.1% CLIP score over text-only baselines</w:t>
      </w:r>
      <w:r>
        <w:t xml:space="preserve"> </w:t>
      </w:r>
      <w:r>
        <w:rPr>
          <w:vertAlign w:val="superscript"/>
        </w:rPr>
        <w:footnoteReference w:id="79"/>
      </w:r>
      <w:r>
        <w:t xml:space="preserve">.</w:t>
      </w:r>
    </w:p>
    <w:bookmarkEnd w:id="94"/>
    <w:bookmarkStart w:id="95" w:name="X59fecd6cbbed2eb3c141e2aae08669e094322c7"/>
    <w:p>
      <w:pPr>
        <w:pStyle w:val="Heading4"/>
      </w:pPr>
      <w:r>
        <w:t xml:space="preserve">5.4.2 Case Study: 3D-Agent Production MCP Plugin</w:t>
      </w:r>
    </w:p>
    <w:p>
      <w:pPr>
        <w:pStyle w:val="FirstParagraph"/>
      </w:pPr>
      <w:r>
        <w:t xml:space="preserve">3D-Agent represents the most commercially mature MCP-based Blender plugin as of mid-2026, differentiating itself through topology-aware generation rather than raw mesh output</w:t>
      </w:r>
      <w:r>
        <w:t xml:space="preserve"> </w:t>
      </w:r>
      <w:fldSimple w:instr="NOTEREF _Ref_Footnote_8 \h \f">
        <w:r>
          <w:rPr>
            <w:vertAlign w:val="superscript"/>
          </w:rPr>
          <w:t>8</w:t>
        </w:r>
      </w:fldSimple>
      <w:r>
        <w:t xml:space="preserve">. Where most AI 3D generators produce</w:t>
      </w:r>
      <w:r>
        <w:t xml:space="preserve"> </w:t>
      </w:r>
      <w:r>
        <w:t xml:space="preserve">“</w:t>
      </w:r>
      <w:r>
        <w:t xml:space="preserve">triangle soup</w:t>
      </w:r>
      <w:r>
        <w:t xml:space="preserve">”</w:t>
      </w:r>
      <w:r>
        <w:t xml:space="preserve"> </w:t>
      </w:r>
      <w:r>
        <w:t xml:space="preserve">requiring 20–45 minutes of cleanup per model</w:t>
      </w:r>
      <w:r>
        <w:t xml:space="preserve"> </w:t>
      </w:r>
      <w:fldSimple w:instr="NOTEREF _Ref_Footnote_20 \h \f">
        <w:r>
          <w:rPr>
            <w:vertAlign w:val="superscript"/>
          </w:rPr>
          <w:t>20</w:t>
        </w:r>
      </w:fldSimple>
      <w:r>
        <w:t xml:space="preserve">, 3D-Agent generates actual Blender Python operations —</w:t>
      </w:r>
      <w:r>
        <w:t xml:space="preserve"> </w:t>
      </w:r>
      <w:r>
        <w:rPr>
          <w:rStyle w:val="VerbatimChar"/>
        </w:rPr>
        <w:t xml:space="preserve">bpy.ops.mesh.primitive_cube_add()</w:t>
      </w:r>
      <w:r>
        <w:t xml:space="preserve">, modifier applications, edge loop maintenance — that produce clean, quad-dominant geometry suitable for subdivision surfaces and game engine export</w:t>
      </w:r>
      <w:r>
        <w:t xml:space="preserve"> </w:t>
      </w:r>
      <w:fldSimple w:instr="NOTEREF _Ref_Footnote_8 \h \f">
        <w:r>
          <w:rPr>
            <w:vertAlign w:val="superscript"/>
          </w:rPr>
          <w:t>8</w:t>
        </w:r>
      </w:fldSimple>
      <w:r>
        <w:t xml:space="preserve">.</w:t>
      </w:r>
    </w:p>
    <w:p>
      <w:pPr>
        <w:pStyle w:val="BodyText"/>
      </w:pPr>
      <w:r>
        <w:t xml:space="preserve">The architecture employs a multi-agent design where the primary agent interprets prompts and delegates to sub-agents for mesh generation, material assignment, and quality validation. A post-processing pipeline enforces mesh integrity: merge duplicate vertices, remove non-manifold edges, optimize face orientation, and validate watertightness</w:t>
      </w:r>
      <w:r>
        <w:t xml:space="preserve"> </w:t>
      </w:r>
      <w:fldSimple w:instr="NOTEREF _Ref_Footnote_8 \h \f">
        <w:r>
          <w:rPr>
            <w:vertAlign w:val="superscript"/>
          </w:rPr>
          <w:t>8</w:t>
        </w:r>
      </w:fldSimple>
      <w:r>
        <w:t xml:space="preserve">. The plugin reads the active viewport, enabling follow-up modifications that build on existing geometry</w:t>
      </w:r>
      <w:r>
        <w:t xml:space="preserve"> </w:t>
      </w:r>
      <w:fldSimple w:instr="NOTEREF _Ref_Footnote_10 \h \f">
        <w:r>
          <w:rPr>
            <w:vertAlign w:val="superscript"/>
          </w:rPr>
          <w:t>10</w:t>
        </w:r>
      </w:fldSimple>
      <w:r>
        <w:t xml:space="preserve">.</w:t>
      </w:r>
    </w:p>
    <w:p>
      <w:pPr>
        <w:pStyle w:val="BodyText"/>
      </w:pPr>
      <w:r>
        <w:t xml:space="preserve">Performance benchmarks from the developer (self-reported) claim ~5x speed improvement over raw</w:t>
      </w:r>
      <w:r>
        <w:t xml:space="preserve"> </w:t>
      </w:r>
      <w:r>
        <w:rPr>
          <w:rStyle w:val="VerbatimChar"/>
        </w:rPr>
        <w:t xml:space="preserve">blender-mcp</w:t>
      </w:r>
      <w:r>
        <w:t xml:space="preserve"> </w:t>
      </w:r>
      <w:r>
        <w:t xml:space="preserve">workflows: a spiral staircase that required 45 minutes with the community server took 8 minutes with 3D-Agent, exporting directly to FBX</w:t>
      </w:r>
      <w:r>
        <w:t xml:space="preserve"> </w:t>
      </w:r>
      <w:r>
        <w:rPr>
          <w:vertAlign w:val="superscript"/>
        </w:rPr>
        <w:footnoteReference w:id="80"/>
      </w:r>
      <w:r>
        <w:t xml:space="preserve">. Pricing ranges from free (15 generations/month) to Starter (~$10/month, 100 generations), Advanced (~$50/month, 500 generations), and Pro (~$100/month, 1,000 generations)</w:t>
      </w:r>
      <w:r>
        <w:t xml:space="preserve"> </w:t>
      </w:r>
      <w:r>
        <w:rPr>
          <w:vertAlign w:val="superscript"/>
        </w:rPr>
        <w:footnoteReference w:id="81"/>
      </w:r>
      <w:r>
        <w:t xml:space="preserve">.</w:t>
      </w:r>
    </w:p>
    <w:p>
      <w:pPr>
        <w:pStyle w:val="BodyText"/>
      </w:pPr>
      <w:r>
        <w:t xml:space="preserve">The 3D-Agent model illustrates a key business pattern in the MCP ecosystem: value capture occurs not at the protocol layer (MCP is open and free) but at the application layer, where specialized agents add topology intelligence and production-safe tooling that generic MCP servers lack. As the ecosystem matures, competitive differentiation will shift from protocol connectivity to domain-specific intelligence — topology quality, manufacturing constraint awareness, and physics validation — that transforms AI-generated drafts into production-ready assets.</w:t>
      </w:r>
    </w:p>
    <w:p>
      <w:r>
        <w:pict>
          <v:rect style="width:0;height:1.5pt" o:hralign="center" o:hrstd="t" o:hr="t"/>
        </w:pict>
      </w:r>
    </w:p>
    <w:bookmarkEnd w:id="95"/>
    <w:bookmarkEnd w:id="96"/>
    <w:bookmarkEnd w:id="97"/>
    <w:bookmarkStart w:id="107" w:name="X46522b40ed949d1a5f2c08ac38f5aa0887d05a1"/>
    <w:p>
      <w:pPr>
        <w:pStyle w:val="Heading2"/>
      </w:pPr>
      <w:r>
        <w:t xml:space="preserve">6. State-of-the-Art 2026: Models, Benchmarks, and Commercial Tools</w:t>
      </w:r>
    </w:p>
    <w:p>
      <w:pPr>
        <w:pStyle w:val="FirstParagraph"/>
      </w:pPr>
      <w:r>
        <w:t xml:space="preserve">The gap between laboratory benchmarks and production reality defines the current landscape of AI-driven 3D modeling. Academic papers report remarkable metrics — 100% valid syntax rates, 59.7% Chamfer Distance reductions, billion-parameter mesh models — yet independent testing reveals that even the best commercial tools score only 4 out of 5 stars for geometric accuracy. This chapter provides a practitioner-grounded assessment of what actually exists in mid-2026: the fine-tuned models shipping from research labs, the evaluation benchmarks that measure (and often exaggerate) their capabilities, and the commercial tools attempting to bridge the divide between research promise and engineering workflow.</w:t>
      </w:r>
    </w:p>
    <w:bookmarkStart w:id="98" w:name="fine-tuned-models-shipping-in-2026"/>
    <w:p>
      <w:pPr>
        <w:pStyle w:val="Heading3"/>
      </w:pPr>
      <w:r>
        <w:t xml:space="preserve">6.1 Fine-Tuned Models Shipping in 2026</w:t>
      </w:r>
    </w:p>
    <w:p>
      <w:pPr>
        <w:pStyle w:val="FirstParagraph"/>
      </w:pPr>
      <w:r>
        <w:t xml:space="preserve">The academic community has converged on a remarkably consistent recipe for text-to-CAD generation: fine-tune a 7-14B parameter language model (overwhelmingly Qwen2.5) on 100K-200K CAD code-image pairs, then optionally apply reinforcement learning (RL) with geometric-validity rewards. The result is a family of domain-specialized models that consistently outperform zero-shot frontier LLMs on narrow CAD benchmarks — but with generalization limits that practitioners must understand.</w:t>
      </w:r>
    </w:p>
    <w:p>
      <w:pPr>
        <w:pStyle w:val="BodyText"/>
      </w:pPr>
      <w:r>
        <w:rPr>
          <w:bCs/>
          <w:b/>
        </w:rPr>
        <w:t xml:space="preserve">CAD-Coder</w:t>
      </w:r>
      <w:r>
        <w:t xml:space="preserve">, developed at MIT’s DECODE Lab, exemplifies both the promise and the peril of academic benchmarking. Fine-tuned on the LLaVA 1.5 architecture with a Vicuna-13B backbone, CAD-Coder achieves a 100% Valid Syntax Rate (VSR) and an Intersection-over-Union (IOU) of 0.675 — approximately 60% better than the next-best open-source model and 0.151 higher than GPT-4.5</w:t>
      </w:r>
      <w:r>
        <w:t xml:space="preserve"> </w:t>
      </w:r>
      <w:r>
        <w:rPr>
          <w:vertAlign w:val="superscript"/>
        </w:rPr>
        <w:footnoteReference w:id="82"/>
      </w:r>
      <w:r>
        <w:t xml:space="preserve"> </w:t>
      </w:r>
      <w:fldSimple w:instr="NOTEREF _Ref_Footnote_48 \h \f">
        <w:r>
          <w:rPr>
            <w:vertAlign w:val="superscript"/>
          </w:rPr>
          <w:t>48</w:t>
        </w:r>
      </w:fldSimple>
      <w:r>
        <w:t xml:space="preserve">. The critical caveats: this is measured on a 100-sample test set from the same distribution as training data, and generalization to unseen operations (notably filleting and chamfering) remains heavily prompt-dependent. A Qwen2.5-14B variant achieves only 95% VSR due to context-length truncation</w:t>
      </w:r>
      <w:r>
        <w:t xml:space="preserve"> </w:t>
      </w:r>
      <w:fldSimple w:instr="NOTEREF _Ref_Footnote_48 \h \f">
        <w:r>
          <w:rPr>
            <w:vertAlign w:val="superscript"/>
          </w:rPr>
          <w:t>48</w:t>
        </w:r>
      </w:fldSimple>
      <w:r>
        <w:t xml:space="preserve">. The 100% VSR headline measures syntactic correctness (code compiles), not geometric fidelity (the solid matches design intent).</w:t>
      </w:r>
    </w:p>
    <w:p>
      <w:pPr>
        <w:pStyle w:val="BodyText"/>
      </w:pPr>
      <w:r>
        <w:rPr>
          <w:bCs/>
          <w:b/>
        </w:rPr>
        <w:t xml:space="preserve">FutureCAD / BRepGround</w:t>
      </w:r>
      <w:r>
        <w:t xml:space="preserve">, published at ICML 2026, addresses the B-Rep generation gap. Prior approaches generated parametric code but struggled with operations requiring geometric primitive selection — filleting an edge, shelling a face, mirroring a feature. FutureCAD pairs a Qwen2.5-7B-Instruct LLM (generating CadQuery scripts with natural-language primitive queries) with a transformer-based BRepGround model that grounds those queries to actual geometric primitives in the transient B-Rep</w:t>
      </w:r>
      <w:r>
        <w:t xml:space="preserve"> </w:t>
      </w:r>
      <w:fldSimple w:instr="NOTEREF _Ref_Footnote_8 \h \f">
        <w:r>
          <w:rPr>
            <w:vertAlign w:val="superscript"/>
          </w:rPr>
          <w:t>8</w:t>
        </w:r>
      </w:fldSimple>
      <w:r>
        <w:t xml:space="preserve"> </w:t>
      </w:r>
      <w:fldSimple w:instr="NOTEREF _Ref_Footnote_24 \h \f">
        <w:r>
          <w:rPr>
            <w:vertAlign w:val="superscript"/>
          </w:rPr>
          <w:t>24</w:t>
        </w:r>
      </w:fldSimple>
      <w:r>
        <w:t xml:space="preserve">. Trained on 140K models via supervised fine-tuning (3 epochs, lr</w:t>
      </w:r>
      <w:r>
        <w:t xml:space="preserve"> </w:t>
      </w:r>
      <m:oMath>
        <m:sSup>
          <m:e>
            <m:r>
              <m:t>10</m:t>
            </m:r>
          </m:e>
          <m:sup>
            <m:r>
              <m:rPr>
                <m:sty m:val="p"/>
              </m:rPr>
              <m:t>−</m:t>
            </m:r>
            <m:r>
              <m:t>5</m:t>
            </m:r>
          </m:sup>
        </m:sSup>
      </m:oMath>
      <w:r>
        <w:t xml:space="preserve">) followed by RL with Group Similarity Policy Optimization (lr</w:t>
      </w:r>
      <w:r>
        <w:t xml:space="preserve"> </w:t>
      </w:r>
      <m:oMath>
        <m:sSup>
          <m:e>
            <m:r>
              <m:t>10</m:t>
            </m:r>
          </m:e>
          <m:sup>
            <m:r>
              <m:rPr>
                <m:sty m:val="p"/>
              </m:rPr>
              <m:t>−</m:t>
            </m:r>
            <m:r>
              <m:t>6</m:t>
            </m:r>
          </m:sup>
        </m:sSup>
      </m:oMath>
      <w:r>
        <w:t xml:space="preserve">), it achieves state-of-the-art results in- and out-of-distribution</w:t>
      </w:r>
      <w:r>
        <w:t xml:space="preserve"> </w:t>
      </w:r>
      <w:fldSimple w:instr="NOTEREF _Ref_Footnote_1 \h \f">
        <w:r>
          <w:rPr>
            <w:vertAlign w:val="superscript"/>
          </w:rPr>
          <w:t>1</w:t>
        </w:r>
      </w:fldSimple>
      <w:r>
        <w:t xml:space="preserve"> </w:t>
      </w:r>
      <w:fldSimple w:instr="NOTEREF _Ref_Footnote_10 \h \f">
        <w:r>
          <w:rPr>
            <w:vertAlign w:val="superscript"/>
          </w:rPr>
          <w:t>10</w:t>
        </w:r>
      </w:fldSimple>
      <w:r>
        <w:t xml:space="preserve">. GSPO samples 8 candidate programs per prompt, rewarding geometric similarity via Chamfer Distance — effective but computationally expensive for real-time use.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Venue</w:t>
            </w:r>
          </w:p>
        </w:tc>
        <w:tc>
          <w:tcPr/>
          <w:p>
            <w:pPr>
              <w:pStyle w:val="Compact"/>
              <w:jc w:val="left"/>
            </w:pPr>
            <w:r>
              <w:t xml:space="preserve">Base Model</w:t>
            </w:r>
          </w:p>
        </w:tc>
        <w:tc>
          <w:tcPr/>
          <w:p>
            <w:pPr>
              <w:pStyle w:val="Compact"/>
              <w:jc w:val="left"/>
            </w:pPr>
            <w:r>
              <w:t xml:space="preserve">VSR</w:t>
            </w:r>
          </w:p>
        </w:tc>
        <w:tc>
          <w:tcPr/>
          <w:p>
            <w:pPr>
              <w:pStyle w:val="Compact"/>
              <w:jc w:val="left"/>
            </w:pPr>
            <w:r>
              <w:t xml:space="preserve">IOU</w:t>
            </w:r>
          </w:p>
        </w:tc>
        <w:tc>
          <w:tcPr/>
          <w:p>
            <w:pPr>
              <w:pStyle w:val="Compact"/>
              <w:jc w:val="left"/>
            </w:pPr>
            <w:r>
              <w:t xml:space="preserve">CD Reduction</w:t>
            </w:r>
          </w:p>
        </w:tc>
        <w:tc>
          <w:tcPr/>
          <w:p>
            <w:pPr>
              <w:pStyle w:val="Compact"/>
              <w:jc w:val="left"/>
            </w:pPr>
            <w:r>
              <w:t xml:space="preserve">Key Limitation</w:t>
            </w:r>
          </w:p>
        </w:tc>
      </w:tr>
      <w:tr>
        <w:tc>
          <w:tcPr/>
          <w:p>
            <w:pPr>
              <w:pStyle w:val="Compact"/>
              <w:jc w:val="left"/>
            </w:pPr>
            <w:r>
              <w:t xml:space="preserve">CAD-Coder</w:t>
            </w:r>
          </w:p>
        </w:tc>
        <w:tc>
          <w:tcPr/>
          <w:p>
            <w:pPr>
              <w:pStyle w:val="Compact"/>
              <w:jc w:val="left"/>
            </w:pPr>
            <w:r>
              <w:t xml:space="preserve">arXiv 2025</w:t>
            </w:r>
          </w:p>
        </w:tc>
        <w:tc>
          <w:tcPr/>
          <w:p>
            <w:pPr>
              <w:pStyle w:val="Compact"/>
              <w:jc w:val="left"/>
            </w:pPr>
            <w:r>
              <w:t xml:space="preserve">Vicuna-13B</w:t>
            </w:r>
          </w:p>
        </w:tc>
        <w:tc>
          <w:tcPr/>
          <w:p>
            <w:pPr>
              <w:pStyle w:val="Compact"/>
              <w:jc w:val="left"/>
            </w:pPr>
            <w:r>
              <w:t xml:space="preserve">100%</w:t>
            </w:r>
            <w:r>
              <w:t xml:space="preserve"> </w:t>
            </w:r>
            <w:fldSimple w:instr="NOTEREF _Ref_Footnote_48 \h \f">
              <w:r>
                <w:rPr>
                  <w:vertAlign w:val="superscript"/>
                </w:rPr>
                <w:t>48</w:t>
              </w:r>
            </w:fldSimple>
          </w:p>
        </w:tc>
        <w:tc>
          <w:tcPr/>
          <w:p>
            <w:pPr>
              <w:pStyle w:val="Compact"/>
              <w:jc w:val="left"/>
            </w:pPr>
            <w:r>
              <w:t xml:space="preserve">0.675</w:t>
            </w:r>
            <w:r>
              <w:t xml:space="preserve"> </w:t>
            </w:r>
            <w:fldSimple w:instr="NOTEREF _Ref_Footnote_82 \h \f">
              <w:r>
                <w:rPr>
                  <w:vertAlign w:val="superscript"/>
                </w:rPr>
                <w:t>82</w:t>
              </w:r>
            </w:fldSimple>
          </w:p>
        </w:tc>
        <w:tc>
          <w:tcPr/>
          <w:p>
            <w:pPr>
              <w:pStyle w:val="Compact"/>
              <w:jc w:val="left"/>
            </w:pPr>
            <w:r>
              <w:t xml:space="preserve">—</w:t>
            </w:r>
          </w:p>
        </w:tc>
        <w:tc>
          <w:tcPr/>
          <w:p>
            <w:pPr>
              <w:pStyle w:val="Compact"/>
              <w:jc w:val="left"/>
            </w:pPr>
            <w:r>
              <w:t xml:space="preserve">100-sample test; limited generalization to unseen ops</w:t>
            </w:r>
          </w:p>
        </w:tc>
      </w:tr>
      <w:tr>
        <w:tc>
          <w:tcPr/>
          <w:p>
            <w:pPr>
              <w:pStyle w:val="Compact"/>
              <w:jc w:val="left"/>
            </w:pPr>
            <w:r>
              <w:t xml:space="preserve">CAD-Coder (Qwen)</w:t>
            </w:r>
          </w:p>
        </w:tc>
        <w:tc>
          <w:tcPr/>
          <w:p>
            <w:pPr>
              <w:pStyle w:val="Compact"/>
              <w:jc w:val="left"/>
            </w:pPr>
            <w:r>
              <w:t xml:space="preserve">arXiv 2025</w:t>
            </w:r>
          </w:p>
        </w:tc>
        <w:tc>
          <w:tcPr/>
          <w:p>
            <w:pPr>
              <w:pStyle w:val="Compact"/>
              <w:jc w:val="left"/>
            </w:pPr>
            <w:r>
              <w:t xml:space="preserve">Qwen2.5-14B</w:t>
            </w:r>
          </w:p>
        </w:tc>
        <w:tc>
          <w:tcPr/>
          <w:p>
            <w:pPr>
              <w:pStyle w:val="Compact"/>
              <w:jc w:val="left"/>
            </w:pPr>
            <w:r>
              <w:t xml:space="preserve">95%</w:t>
            </w:r>
            <w:r>
              <w:t xml:space="preserve"> </w:t>
            </w:r>
            <w:fldSimple w:instr="NOTEREF _Ref_Footnote_48 \h \f">
              <w:r>
                <w:rPr>
                  <w:vertAlign w:val="superscript"/>
                </w:rPr>
                <w:t>48</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Context truncation; lower IOU (0.592)</w:t>
            </w:r>
          </w:p>
        </w:tc>
      </w:tr>
      <w:tr>
        <w:tc>
          <w:tcPr/>
          <w:p>
            <w:pPr>
              <w:pStyle w:val="Compact"/>
              <w:jc w:val="left"/>
            </w:pPr>
            <w:r>
              <w:t xml:space="preserve">FutureCAD/BRepGround</w:t>
            </w:r>
          </w:p>
        </w:tc>
        <w:tc>
          <w:tcPr/>
          <w:p>
            <w:pPr>
              <w:pStyle w:val="Compact"/>
              <w:jc w:val="left"/>
            </w:pPr>
            <w:r>
              <w:t xml:space="preserve">ICML 2026</w:t>
            </w:r>
          </w:p>
        </w:tc>
        <w:tc>
          <w:tcPr/>
          <w:p>
            <w:pPr>
              <w:pStyle w:val="Compact"/>
              <w:jc w:val="left"/>
            </w:pPr>
            <w:r>
              <w:t xml:space="preserve">Qwen2.5-7B</w:t>
            </w:r>
          </w:p>
        </w:tc>
        <w:tc>
          <w:tcPr/>
          <w:p>
            <w:pPr>
              <w:pStyle w:val="Compact"/>
              <w:jc w:val="left"/>
            </w:pPr>
            <w:r>
              <w:t xml:space="preserve">—</w:t>
            </w:r>
          </w:p>
        </w:tc>
        <w:tc>
          <w:tcPr/>
          <w:p>
            <w:pPr>
              <w:pStyle w:val="Compact"/>
              <w:jc w:val="left"/>
            </w:pPr>
            <w:r>
              <w:t xml:space="preserve">SOTA ID/OOD</w:t>
            </w:r>
            <w:r>
              <w:t xml:space="preserve"> </w:t>
            </w:r>
            <w:fldSimple w:instr="NOTEREF _Ref_Footnote_10 \h \f">
              <w:r>
                <w:rPr>
                  <w:vertAlign w:val="superscript"/>
                </w:rPr>
                <w:t>10</w:t>
              </w:r>
            </w:fldSimple>
          </w:p>
        </w:tc>
        <w:tc>
          <w:tcPr/>
          <w:p>
            <w:pPr>
              <w:pStyle w:val="Compact"/>
              <w:jc w:val="left"/>
            </w:pPr>
            <w:r>
              <w:t xml:space="preserve">GSPO RL</w:t>
            </w:r>
            <w:r>
              <w:t xml:space="preserve"> </w:t>
            </w:r>
            <w:fldSimple w:instr="NOTEREF _Ref_Footnote_1 \h \f">
              <w:r>
                <w:rPr>
                  <w:vertAlign w:val="superscript"/>
                </w:rPr>
                <w:t>1</w:t>
              </w:r>
            </w:fldSimple>
          </w:p>
        </w:tc>
        <w:tc>
          <w:tcPr/>
          <w:p>
            <w:pPr>
              <w:pStyle w:val="Compact"/>
              <w:jc w:val="left"/>
            </w:pPr>
            <w:r>
              <w:t xml:space="preserve">8-rollout RL: high compute per generation</w:t>
            </w:r>
          </w:p>
        </w:tc>
      </w:tr>
      <w:tr>
        <w:tc>
          <w:tcPr/>
          <w:p>
            <w:pPr>
              <w:pStyle w:val="Compact"/>
              <w:jc w:val="left"/>
            </w:pPr>
            <w:r>
              <w:t xml:space="preserve">ReCAD</w:t>
            </w:r>
          </w:p>
        </w:tc>
        <w:tc>
          <w:tcPr/>
          <w:p>
            <w:pPr>
              <w:pStyle w:val="Compact"/>
              <w:jc w:val="left"/>
            </w:pPr>
            <w:r>
              <w:t xml:space="preserve">AAAI 2026</w:t>
            </w:r>
          </w:p>
        </w:tc>
        <w:tc>
          <w:tcPr/>
          <w:p>
            <w:pPr>
              <w:pStyle w:val="Compact"/>
              <w:jc w:val="left"/>
            </w:pPr>
            <w:r>
              <w:t xml:space="preserve">Qwen2.5-VL-7B</w:t>
            </w:r>
          </w:p>
        </w:tc>
        <w:tc>
          <w:tcPr/>
          <w:p>
            <w:pPr>
              <w:pStyle w:val="Compact"/>
              <w:jc w:val="left"/>
            </w:pPr>
            <w:r>
              <w:t xml:space="preserve">—</w:t>
            </w:r>
          </w:p>
        </w:tc>
        <w:tc>
          <w:tcPr/>
          <w:p>
            <w:pPr>
              <w:pStyle w:val="Compact"/>
              <w:jc w:val="left"/>
            </w:pPr>
            <w:r>
              <w:t xml:space="preserve">—</w:t>
            </w:r>
          </w:p>
        </w:tc>
        <w:tc>
          <w:tcPr/>
          <w:p>
            <w:pPr>
              <w:pStyle w:val="Compact"/>
              <w:jc w:val="left"/>
            </w:pPr>
            <w:r>
              <w:t xml:space="preserve">59.7% ID</w:t>
            </w:r>
            <w:r>
              <w:t xml:space="preserve"> </w:t>
            </w:r>
            <w:fldSimple w:instr="NOTEREF _Ref_Footnote_26 \h \f">
              <w:r>
                <w:rPr>
                  <w:vertAlign w:val="superscript"/>
                </w:rPr>
                <w:t>26</w:t>
              </w:r>
            </w:fldSimple>
          </w:p>
        </w:tc>
        <w:tc>
          <w:tcPr/>
          <w:p>
            <w:pPr>
              <w:pStyle w:val="Compact"/>
              <w:jc w:val="left"/>
            </w:pPr>
            <w:r>
              <w:t xml:space="preserve">VLM-based: slower than text-only</w:t>
            </w:r>
          </w:p>
        </w:tc>
      </w:tr>
      <w:tr>
        <w:tc>
          <w:tcPr/>
          <w:p>
            <w:pPr>
              <w:pStyle w:val="Compact"/>
              <w:jc w:val="left"/>
            </w:pPr>
            <w:r>
              <w:t xml:space="preserve">ReCAD (OOD)</w:t>
            </w:r>
          </w:p>
        </w:tc>
        <w:tc>
          <w:tcPr/>
          <w:p>
            <w:pPr>
              <w:pStyle w:val="Compact"/>
              <w:jc w:val="left"/>
            </w:pPr>
            <w:r>
              <w:t xml:space="preserve">AAAI 2026</w:t>
            </w:r>
          </w:p>
        </w:tc>
        <w:tc>
          <w:tcPr/>
          <w:p>
            <w:pPr>
              <w:pStyle w:val="Compact"/>
              <w:jc w:val="left"/>
            </w:pPr>
            <w:r>
              <w:t xml:space="preserve">Qwen2.5-VL-7B</w:t>
            </w:r>
          </w:p>
        </w:tc>
        <w:tc>
          <w:tcPr/>
          <w:p>
            <w:pPr>
              <w:pStyle w:val="Compact"/>
              <w:jc w:val="left"/>
            </w:pPr>
            <w:r>
              <w:t xml:space="preserve">—</w:t>
            </w:r>
          </w:p>
        </w:tc>
        <w:tc>
          <w:tcPr/>
          <w:p>
            <w:pPr>
              <w:pStyle w:val="Compact"/>
              <w:jc w:val="left"/>
            </w:pPr>
            <w:r>
              <w:t xml:space="preserve">—</w:t>
            </w:r>
          </w:p>
        </w:tc>
        <w:tc>
          <w:tcPr/>
          <w:p>
            <w:pPr>
              <w:pStyle w:val="Compact"/>
              <w:jc w:val="left"/>
            </w:pPr>
            <w:r>
              <w:t xml:space="preserve">70.5% OOD</w:t>
            </w:r>
            <w:r>
              <w:t xml:space="preserve"> </w:t>
            </w:r>
            <w:fldSimple w:instr="NOTEREF _Ref_Footnote_26 \h \f">
              <w:r>
                <w:rPr>
                  <w:vertAlign w:val="superscript"/>
                </w:rPr>
                <w:t>26</w:t>
              </w:r>
            </w:fldSimple>
          </w:p>
        </w:tc>
        <w:tc>
          <w:tcPr/>
          <w:p>
            <w:pPr>
              <w:pStyle w:val="Compact"/>
              <w:jc w:val="left"/>
            </w:pPr>
            <w:r>
              <w:t xml:space="preserve">OOD gains may reflect baseline weakness</w:t>
            </w:r>
          </w:p>
        </w:tc>
      </w:tr>
      <w:tr>
        <w:tc>
          <w:tcPr/>
          <w:p>
            <w:pPr>
              <w:pStyle w:val="Compact"/>
              <w:jc w:val="left"/>
            </w:pPr>
            <w:r>
              <w:t xml:space="preserve">MeshCoder</w:t>
            </w:r>
          </w:p>
        </w:tc>
        <w:tc>
          <w:tcPr/>
          <w:p>
            <w:pPr>
              <w:pStyle w:val="Compact"/>
              <w:jc w:val="left"/>
            </w:pPr>
            <w:r>
              <w:t xml:space="preserve">NeurIPS 2025</w:t>
            </w:r>
          </w:p>
        </w:tc>
        <w:tc>
          <w:tcPr/>
          <w:p>
            <w:pPr>
              <w:pStyle w:val="Compact"/>
              <w:jc w:val="left"/>
            </w:pPr>
            <w:r>
              <w:t xml:space="preserve">Llama-3.2-1B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Mesh output only; no parametric editability</w:t>
            </w:r>
          </w:p>
        </w:tc>
      </w:tr>
      <w:tr>
        <w:tc>
          <w:tcPr/>
          <w:p>
            <w:pPr>
              <w:pStyle w:val="Compact"/>
              <w:jc w:val="left"/>
            </w:pPr>
            <w:r>
              <w:t xml:space="preserve">DeepMesh</w:t>
            </w:r>
          </w:p>
        </w:tc>
        <w:tc>
          <w:tcPr/>
          <w:p>
            <w:pPr>
              <w:pStyle w:val="Compact"/>
              <w:jc w:val="left"/>
            </w:pPr>
            <w:r>
              <w:t xml:space="preserve">ICCV 2025</w:t>
            </w:r>
          </w:p>
        </w:tc>
        <w:tc>
          <w:tcPr/>
          <w:p>
            <w:pPr>
              <w:pStyle w:val="Compact"/>
              <w:jc w:val="left"/>
            </w:pPr>
            <w:r>
              <w:t xml:space="preserve">500M–1B param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30K faces max; creative meshes, not engineering</w:t>
            </w:r>
          </w:p>
        </w:tc>
      </w:tr>
      <w:tr>
        <w:tc>
          <w:tcPr/>
          <w:p>
            <w:pPr>
              <w:pStyle w:val="Compact"/>
              <w:jc w:val="left"/>
            </w:pPr>
            <w:r>
              <w:t xml:space="preserve">PR-CAD</w:t>
            </w:r>
          </w:p>
        </w:tc>
        <w:tc>
          <w:tcPr/>
          <w:p>
            <w:pPr>
              <w:pStyle w:val="Compact"/>
              <w:jc w:val="left"/>
            </w:pPr>
            <w:r>
              <w:t xml:space="preserve">arXiv 2026</w:t>
            </w:r>
          </w:p>
        </w:tc>
        <w:tc>
          <w:tcPr/>
          <w:p>
            <w:pPr>
              <w:pStyle w:val="Compact"/>
              <w:jc w:val="left"/>
            </w:pPr>
            <w:r>
              <w:t xml:space="preserve">Qwen2.5-7B</w:t>
            </w:r>
          </w:p>
        </w:tc>
        <w:tc>
          <w:tcPr/>
          <w:p>
            <w:pPr>
              <w:pStyle w:val="Compact"/>
              <w:jc w:val="left"/>
            </w:pPr>
            <w:r>
              <w:t xml:space="preserve">—</w:t>
            </w:r>
          </w:p>
        </w:tc>
        <w:tc>
          <w:tcPr/>
          <w:p>
            <w:pPr>
              <w:pStyle w:val="Compact"/>
              <w:jc w:val="left"/>
            </w:pPr>
            <w:r>
              <w:t xml:space="preserve">IR 0.62</w:t>
            </w:r>
            <w:r>
              <w:t xml:space="preserve"> </w:t>
            </w:r>
            <w:fldSimple w:instr="NOTEREF _Ref_Footnote_58 \h \f">
              <w:r>
                <w:rPr>
                  <w:vertAlign w:val="superscript"/>
                </w:rPr>
                <w:t>58</w:t>
              </w:r>
            </w:fldSimple>
          </w:p>
        </w:tc>
        <w:tc>
          <w:tcPr/>
          <w:p>
            <w:pPr>
              <w:pStyle w:val="Compact"/>
              <w:jc w:val="left"/>
            </w:pPr>
            <w:r>
              <w:t xml:space="preserve">GRPO</w:t>
            </w:r>
            <w:r>
              <w:t xml:space="preserve"> </w:t>
            </w:r>
            <w:fldSimple w:instr="NOTEREF _Ref_Footnote_58 \h \f">
              <w:r>
                <w:rPr>
                  <w:vertAlign w:val="superscript"/>
                </w:rPr>
                <w:t>58</w:t>
              </w:r>
            </w:fldSimple>
          </w:p>
        </w:tc>
        <w:tc>
          <w:tcPr/>
          <w:p>
            <w:pPr>
              <w:pStyle w:val="Compact"/>
              <w:jc w:val="left"/>
            </w:pPr>
            <w:r>
              <w:t xml:space="preserve">LogoUp 3D DSL; narrower API than CadQuery</w:t>
            </w:r>
          </w:p>
        </w:tc>
      </w:tr>
    </w:tbl>
    <w:p>
      <w:pPr>
        <w:pStyle w:val="BodyText"/>
      </w:pPr>
      <w:r>
        <w:t xml:space="preserve">The neural mesh family occupies a parallel track.</w:t>
      </w:r>
      <w:r>
        <w:t xml:space="preserve"> </w:t>
      </w:r>
      <w:r>
        <w:rPr>
          <w:bCs/>
          <w:b/>
        </w:rPr>
        <w:t xml:space="preserve">MeshCoder</w:t>
      </w:r>
      <w:r>
        <w:t xml:space="preserve"> </w:t>
      </w:r>
      <w:r>
        <w:t xml:space="preserve">(NeurIPS 2025) translates point clouds into executable Blender Python scripts via a triplane-based shape tokenizer and a LoRA-fine-tuned Llama-3.2-1B, trained on ~1 million objects across 41 categories</w:t>
      </w:r>
      <w:r>
        <w:t xml:space="preserve"> </w:t>
      </w:r>
      <w:r>
        <w:rPr>
          <w:vertAlign w:val="superscript"/>
        </w:rPr>
        <w:footnoteReference w:id="83"/>
      </w:r>
      <w:r>
        <w:t xml:space="preserve"> </w:t>
      </w:r>
      <w:fldSimple w:instr="NOTEREF _Ref_Footnote_29 \h \f">
        <w:r>
          <w:rPr>
            <w:vertAlign w:val="superscript"/>
          </w:rPr>
          <w:t>29</w:t>
        </w:r>
      </w:fldSimple>
      <w:r>
        <w:t xml:space="preserve">. Its key insight: code-based representations enhance LLM spatial reasoning compared to visual inputs alone</w:t>
      </w:r>
      <w:r>
        <w:t xml:space="preserve"> </w:t>
      </w:r>
      <w:fldSimple w:instr="NOTEREF _Ref_Footnote_29 \h \f">
        <w:r>
          <w:rPr>
            <w:vertAlign w:val="superscript"/>
          </w:rPr>
          <w:t>29</w:t>
        </w:r>
      </w:fldSimple>
      <w:r>
        <w:t xml:space="preserve">.</w:t>
      </w:r>
      <w:r>
        <w:t xml:space="preserve"> </w:t>
      </w:r>
      <w:r>
        <w:rPr>
          <w:bCs/>
          <w:b/>
        </w:rPr>
        <w:t xml:space="preserve">DeepMesh</w:t>
      </w:r>
      <w:r>
        <w:t xml:space="preserve"> </w:t>
      </w:r>
      <w:r>
        <w:t xml:space="preserve">(ICCV 2025) scales this to 500M–1B parameters, generating meshes with up to 30,000 faces at 512 resolution</w:t>
      </w:r>
      <w:r>
        <w:t xml:space="preserve"> </w:t>
      </w:r>
      <w:r>
        <w:rPr>
          <w:vertAlign w:val="superscript"/>
        </w:rPr>
        <w:footnoteReference w:id="84"/>
      </w:r>
      <w:r>
        <w:t xml:space="preserve">. These models target creative industries, not engineering: their outputs are polygonal meshes, not parametric solids, and cannot be edited by changing a dimension.</w:t>
      </w:r>
    </w:p>
    <w:p>
      <w:pPr>
        <w:pStyle w:val="BodyText"/>
      </w:pPr>
      <w:r>
        <w:rPr>
          <w:bCs/>
          <w:b/>
        </w:rPr>
        <w:t xml:space="preserve">ReCAD</w:t>
      </w:r>
      <w:r>
        <w:t xml:space="preserve"> </w:t>
      </w:r>
      <w:r>
        <w:t xml:space="preserve">(AAAI 2026) introduces the most aggressive RL strategy in the current generation. Using Group Relative Policy Optimization (GRPO) — which eliminates the need for a separate value network — ReCAD reduces mean Chamfer Distance from 73.47 to 29.61 in-distribution (59.7% improvement) and from 272.06 to 80.23 out-of-distribution (70.5% improvement)</w:t>
      </w:r>
      <w:r>
        <w:t xml:space="preserve"> </w:t>
      </w:r>
      <w:fldSimple w:instr="NOTEREF _Ref_Footnote_26 \h \f">
        <w:r>
          <w:rPr>
            <w:vertAlign w:val="superscript"/>
          </w:rPr>
          <w:t>26</w:t>
        </w:r>
      </w:fldSimple>
      <w:r>
        <w:t xml:space="preserve">. The reward function combines IOU, cosine similarity between rendered images, and formatting rewards</w:t>
      </w:r>
      <w:r>
        <w:t xml:space="preserve"> </w:t>
      </w:r>
      <w:fldSimple w:instr="NOTEREF _Ref_Footnote_27 \h \f">
        <w:r>
          <w:rPr>
            <w:vertAlign w:val="superscript"/>
          </w:rPr>
          <w:t>27</w:t>
        </w:r>
      </w:fldSimple>
      <w:r>
        <w:t xml:space="preserve"> </w:t>
      </w:r>
      <w:fldSimple w:instr="NOTEREF _Ref_Footnote_11 \h \f">
        <w:r>
          <w:rPr>
            <w:vertAlign w:val="superscript"/>
          </w:rPr>
          <w:t>11</w:t>
        </w:r>
      </w:fldSimple>
      <w:r>
        <w:t xml:space="preserve">. A hierarchical primitive learning curriculum progressively teaches compositional skills from curves through multi-sketch-extrude assemblies, enabling emergent capabilities like circular pattern and mirror operations without explicit training.</w:t>
      </w:r>
    </w:p>
    <w:bookmarkEnd w:id="98"/>
    <w:bookmarkStart w:id="102" w:name="evaluation-benchmarks"/>
    <w:p>
      <w:pPr>
        <w:pStyle w:val="Heading3"/>
      </w:pPr>
      <w:r>
        <w:t xml:space="preserve">6.2 Evaluation Benchmarks</w:t>
      </w:r>
    </w:p>
    <w:p>
      <w:pPr>
        <w:pStyle w:val="FirstParagraph"/>
      </w:pPr>
      <w:r>
        <w:t xml:space="preserve">Benchmarks in this field serve two purposes: they drive research progress and they create a common language for comparing approaches. But they also create perverse incentives — models are optimized for benchmark metrics that correlate imperfectly with real-world utility.</w:t>
      </w:r>
    </w:p>
    <w:p>
      <w:pPr>
        <w:pStyle w:val="BodyText"/>
      </w:pPr>
      <w:r>
        <w:rPr>
          <w:bCs/>
          <w:b/>
        </w:rPr>
        <w:t xml:space="preserve">MUSE: The Multi-Dimensional Standard.</w:t>
      </w:r>
      <w:r>
        <w:t xml:space="preserve"> </w:t>
      </w:r>
      <w:r>
        <w:t xml:space="preserve">Developed at Hong Kong Polytechnic University, the MUSE benchmark evaluates text-to-CAD across five cascading dimensions, revealing what the authors term a</w:t>
      </w:r>
      <w:r>
        <w:t xml:space="preserve"> </w:t>
      </w:r>
      <w:r>
        <w:t xml:space="preserve">“</w:t>
      </w:r>
      <w:r>
        <w:t xml:space="preserve">failure cascade in practical CAD generation</w:t>
      </w:r>
      <w:r>
        <w:t xml:space="preserve">”</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w:t>
      </w:r>
    </w:p>
    <w:p>
      <w:pPr>
        <w:pStyle w:val="CaptionedFigure"/>
      </w:pPr>
      <w:r>
        <w:drawing>
          <wp:inline>
            <wp:extent cx="5334000" cy="2888499"/>
            <wp:effectExtent b="0" l="0" r="0" t="0"/>
            <wp:docPr descr="MUSE Failure Cascade" title="" id="100" name="Picture"/>
            <a:graphic>
              <a:graphicData uri="http://schemas.openxmlformats.org/drawingml/2006/picture">
                <pic:pic>
                  <pic:nvPicPr>
                    <pic:cNvPr descr="muse_cascade_chart.png" id="101" name="Picture"/>
                    <pic:cNvPicPr>
                      <a:picLocks noChangeArrowheads="1" noChangeAspect="1"/>
                    </pic:cNvPicPr>
                  </pic:nvPicPr>
                  <pic:blipFill>
                    <a:blip r:embed="rId99"/>
                    <a:stretch>
                      <a:fillRect/>
                    </a:stretch>
                  </pic:blipFill>
                  <pic:spPr bwMode="auto">
                    <a:xfrm>
                      <a:off x="0" y="0"/>
                      <a:ext cx="5334000" cy="2888499"/>
                    </a:xfrm>
                    <a:prstGeom prst="rect">
                      <a:avLst/>
                    </a:prstGeom>
                    <a:noFill/>
                    <a:ln w="9525">
                      <a:noFill/>
                      <a:headEnd/>
                      <a:tailEnd/>
                    </a:ln>
                  </pic:spPr>
                </pic:pic>
              </a:graphicData>
            </a:graphic>
          </wp:inline>
        </w:drawing>
      </w:r>
    </w:p>
    <w:p>
      <w:pPr>
        <w:pStyle w:val="ImageCaption"/>
      </w:pPr>
      <w:r>
        <w:t xml:space="preserve">MUSE Failure Cascade</w:t>
      </w:r>
    </w:p>
    <w:p>
      <w:pPr>
        <w:pStyle w:val="BodyText"/>
      </w:pPr>
      <w:r>
        <w:t xml:space="preserve">The cascade pattern is stark: 68% of generated programs are syntactically executable; of those, only 54% produce geometrically valid solids (manifold, watertight, no self-intersections); of those, only 42% align with the stated design intent; of those, only 35% satisfy basic manufacturability constraints; and only 28% are assemblable into multi-part systems. Each stage filters out some failures while introducing new ones, and the cumulative effect is that fewer than one in three generated models passes even the functionality threshold, let alone manufacturing or assembly requirements</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Benchmark</w:t>
            </w:r>
          </w:p>
        </w:tc>
        <w:tc>
          <w:tcPr/>
          <w:p>
            <w:pPr>
              <w:pStyle w:val="Compact"/>
              <w:jc w:val="left"/>
            </w:pPr>
            <w:r>
              <w:t xml:space="preserve">Dimensions</w:t>
            </w:r>
          </w:p>
        </w:tc>
        <w:tc>
          <w:tcPr/>
          <w:p>
            <w:pPr>
              <w:pStyle w:val="Compact"/>
              <w:jc w:val="left"/>
            </w:pPr>
            <w:r>
              <w:t xml:space="preserve">Tasks</w:t>
            </w:r>
          </w:p>
        </w:tc>
        <w:tc>
          <w:tcPr/>
          <w:p>
            <w:pPr>
              <w:pStyle w:val="Compact"/>
              <w:jc w:val="left"/>
            </w:pPr>
            <w:r>
              <w:t xml:space="preserve">Best-Model Score</w:t>
            </w:r>
          </w:p>
        </w:tc>
        <w:tc>
          <w:tcPr/>
          <w:p>
            <w:pPr>
              <w:pStyle w:val="Compact"/>
              <w:jc w:val="left"/>
            </w:pPr>
            <w:r>
              <w:t xml:space="preserve">Key Finding</w:t>
            </w:r>
          </w:p>
        </w:tc>
      </w:tr>
      <w:tr>
        <w:tc>
          <w:tcPr/>
          <w:p>
            <w:pPr>
              <w:pStyle w:val="Compact"/>
              <w:jc w:val="left"/>
            </w:pPr>
            <w:r>
              <w:t xml:space="preserve">MUSE</w:t>
            </w:r>
          </w:p>
        </w:tc>
        <w:tc>
          <w:tcPr/>
          <w:p>
            <w:pPr>
              <w:pStyle w:val="Compact"/>
              <w:jc w:val="left"/>
            </w:pPr>
            <w:r>
              <w:t xml:space="preserve">5: syntax, geometry, function, mfg, assembly</w:t>
            </w:r>
          </w:p>
        </w:tc>
        <w:tc>
          <w:tcPr/>
          <w:p>
            <w:pPr>
              <w:pStyle w:val="Compact"/>
              <w:jc w:val="left"/>
            </w:pPr>
            <w:r>
              <w:t xml:space="preserve">Text-to-CAD (code)</w:t>
            </w:r>
          </w:p>
        </w:tc>
        <w:tc>
          <w:tcPr/>
          <w:p>
            <w:pPr>
              <w:pStyle w:val="Compact"/>
              <w:jc w:val="left"/>
            </w:pPr>
            <w:r>
              <w:t xml:space="preserve">28% assemblability</w:t>
            </w:r>
            <w:r>
              <w:t xml:space="preserve"> </w:t>
            </w:r>
            <w:fldSimple w:instr="NOTEREF _Ref_Footnote_12 \h \f">
              <w:r>
                <w:rPr>
                  <w:vertAlign w:val="superscript"/>
                </w:rPr>
                <w:t>12</w:t>
              </w:r>
            </w:fldSimple>
          </w:p>
        </w:tc>
        <w:tc>
          <w:tcPr/>
          <w:p>
            <w:pPr>
              <w:pStyle w:val="Compact"/>
              <w:jc w:val="left"/>
            </w:pPr>
            <w:r>
              <w:t xml:space="preserve">Failure cascade: each stage compounds errors</w:t>
            </w:r>
          </w:p>
        </w:tc>
      </w:tr>
      <w:tr>
        <w:tc>
          <w:tcPr/>
          <w:p>
            <w:pPr>
              <w:pStyle w:val="Compact"/>
              <w:jc w:val="left"/>
            </w:pPr>
            <w:r>
              <w:t xml:space="preserve">VoxelCode</w:t>
            </w:r>
          </w:p>
        </w:tc>
        <w:tc>
          <w:tcPr/>
          <w:p>
            <w:pPr>
              <w:pStyle w:val="Compact"/>
              <w:jc w:val="left"/>
            </w:pPr>
            <w:r>
              <w:t xml:space="preserve">3: syntax, shape, reasoning</w:t>
            </w:r>
          </w:p>
        </w:tc>
        <w:tc>
          <w:tcPr/>
          <w:p>
            <w:pPr>
              <w:pStyle w:val="Compact"/>
              <w:jc w:val="left"/>
            </w:pPr>
            <w:r>
              <w:t xml:space="preserve">Voxel manipulation API</w:t>
            </w:r>
          </w:p>
        </w:tc>
        <w:tc>
          <w:tcPr/>
          <w:p>
            <w:pPr>
              <w:pStyle w:val="Compact"/>
              <w:jc w:val="left"/>
            </w:pPr>
            <w:r>
              <w:t xml:space="preserve">GPT-5: 87.9% shape</w:t>
            </w:r>
            <w:r>
              <w:t xml:space="preserve"> </w:t>
            </w:r>
            <w:fldSimple w:instr="NOTEREF _Ref_Footnote_4 \h \f">
              <w:r>
                <w:rPr>
                  <w:vertAlign w:val="superscript"/>
                </w:rPr>
                <w:t>4</w:t>
              </w:r>
            </w:fldSimple>
          </w:p>
        </w:tc>
        <w:tc>
          <w:tcPr/>
          <w:p>
            <w:pPr>
              <w:pStyle w:val="Compact"/>
              <w:jc w:val="left"/>
            </w:pPr>
            <w:r>
              <w:t xml:space="preserve">68pp gap between GPT-5 and Gemini Pro</w:t>
            </w:r>
          </w:p>
        </w:tc>
      </w:tr>
      <w:tr>
        <w:tc>
          <w:tcPr/>
          <w:p>
            <w:pPr>
              <w:pStyle w:val="Compact"/>
              <w:jc w:val="left"/>
            </w:pPr>
            <w:r>
              <w:t xml:space="preserve">FEABench</w:t>
            </w:r>
          </w:p>
        </w:tc>
        <w:tc>
          <w:tcPr/>
          <w:p>
            <w:pPr>
              <w:pStyle w:val="Compact"/>
              <w:jc w:val="left"/>
            </w:pPr>
            <w:r>
              <w:t xml:space="preserve">Physics validation</w:t>
            </w:r>
          </w:p>
        </w:tc>
        <w:tc>
          <w:tcPr/>
          <w:p>
            <w:pPr>
              <w:pStyle w:val="Compact"/>
              <w:jc w:val="left"/>
            </w:pPr>
            <w:r>
              <w:t xml:space="preserve">FEA problem-solving</w:t>
            </w:r>
          </w:p>
        </w:tc>
        <w:tc>
          <w:tcPr/>
          <w:p>
            <w:pPr>
              <w:pStyle w:val="Compact"/>
              <w:jc w:val="left"/>
            </w:pPr>
            <w:r>
              <w:t xml:space="preserve">0% fully solved</w:t>
            </w:r>
            <w:r>
              <w:t xml:space="preserve"> </w:t>
            </w:r>
            <w:fldSimple w:instr="NOTEREF _Ref_Footnote_18 \h \f">
              <w:r>
                <w:rPr>
                  <w:vertAlign w:val="superscript"/>
                </w:rPr>
                <w:t>18</w:t>
              </w:r>
            </w:fldSimple>
          </w:p>
        </w:tc>
        <w:tc>
          <w:tcPr/>
          <w:p>
            <w:pPr>
              <w:pStyle w:val="Compact"/>
              <w:jc w:val="left"/>
            </w:pPr>
            <w:r>
              <w:t xml:space="preserve">88% API executability; 0% correct solutions</w:t>
            </w:r>
          </w:p>
        </w:tc>
      </w:tr>
      <w:tr>
        <w:tc>
          <w:tcPr/>
          <w:p>
            <w:pPr>
              <w:pStyle w:val="Compact"/>
              <w:jc w:val="left"/>
            </w:pPr>
            <w:r>
              <w:t xml:space="preserve">Text2CAD-Bench</w:t>
            </w:r>
          </w:p>
        </w:tc>
        <w:tc>
          <w:tcPr/>
          <w:p>
            <w:pPr>
              <w:pStyle w:val="Compact"/>
              <w:jc w:val="left"/>
            </w:pPr>
            <w:r>
              <w:t xml:space="preserve">4 complexity levels</w:t>
            </w:r>
          </w:p>
        </w:tc>
        <w:tc>
          <w:tcPr/>
          <w:p>
            <w:pPr>
              <w:pStyle w:val="Compact"/>
              <w:jc w:val="left"/>
            </w:pPr>
            <w:r>
              <w:t xml:space="preserve">Text-to-CAD (4 levels)</w:t>
            </w:r>
          </w:p>
        </w:tc>
        <w:tc>
          <w:tcPr/>
          <w:p>
            <w:pPr>
              <w:pStyle w:val="Compact"/>
              <w:jc w:val="left"/>
            </w:pPr>
            <w:r>
              <w:t xml:space="preserve">Degrades at L3</w:t>
            </w:r>
            <w:r>
              <w:t xml:space="preserve"> </w:t>
            </w:r>
            <w:fldSimple w:instr="NOTEREF _Ref_Footnote_60 \h \f">
              <w:r>
                <w:rPr>
                  <w:vertAlign w:val="superscript"/>
                </w:rPr>
                <w:t>60</w:t>
              </w:r>
            </w:fldSimple>
          </w:p>
        </w:tc>
        <w:tc>
          <w:tcPr/>
          <w:p>
            <w:pPr>
              <w:pStyle w:val="Compact"/>
              <w:jc w:val="left"/>
            </w:pPr>
            <w:r>
              <w:t xml:space="preserve">“</w:t>
            </w:r>
            <w:r>
              <w:t xml:space="preserve">Largely unsolved beyond basic geometry</w:t>
            </w:r>
            <w:r>
              <w:t xml:space="preserve">”</w:t>
            </w:r>
          </w:p>
        </w:tc>
      </w:tr>
    </w:tbl>
    <w:p>
      <w:pPr>
        <w:pStyle w:val="BodyText"/>
      </w:pPr>
      <w:r>
        <w:rPr>
          <w:bCs/>
          <w:b/>
        </w:rPr>
        <w:t xml:space="preserve">VoxelCode</w:t>
      </w:r>
      <w:r>
        <w:t xml:space="preserve">, released by Meta FAIR and UT Austin in April 2026, takes a different approach. It evaluates LLMs on 220 voxel manipulation tasks across three reasoning dimensions — syntax correctness, shape correctness, and multi-step reasoning — testing 8 state-of-the-art LLMs including GPT-5, Claude 4, Gemini Pro, and DeepSeek-V4</w:t>
      </w:r>
      <w:r>
        <w:t xml:space="preserve"> </w:t>
      </w:r>
      <w:fldSimple w:instr="NOTEREF _Ref_Footnote_4 \h \f">
        <w:r>
          <w:rPr>
            <w:vertAlign w:val="superscript"/>
          </w:rPr>
          <w:t>4</w:t>
        </w:r>
      </w:fldSimple>
      <w:r>
        <w:t xml:space="preserve">. GPT-5 leads at 87.9% shape correctness, but the distribution is bimodal: Gemini Pro achieves only 19.5%, a 68-percentage-point gap that suggests fundamental differences in how models internalize spatial operations</w:t>
      </w:r>
      <w:r>
        <w:t xml:space="preserve"> </w:t>
      </w:r>
      <w:fldSimple w:instr="NOTEREF _Ref_Footnote_4 \h \f">
        <w:r>
          <w:rPr>
            <w:vertAlign w:val="superscript"/>
          </w:rPr>
          <w:t>4</w:t>
        </w:r>
      </w:fldSimple>
      <w:r>
        <w:t xml:space="preserve">. VoxelCode’s insight is that voxel APIs eliminate coordinate hallucination (a common failure mode in direct coordinate generation) but introduce axis-aligned shape bias — models struggle with diagonal features, curved surfaces, and non-axis-aligned geometries.</w:t>
      </w:r>
    </w:p>
    <w:p>
      <w:pPr>
        <w:pStyle w:val="BodyText"/>
      </w:pPr>
      <w:r>
        <w:rPr>
          <w:bCs/>
          <w:b/>
        </w:rPr>
        <w:t xml:space="preserve">FEABench</w:t>
      </w:r>
      <w:r>
        <w:t xml:space="preserve"> </w:t>
      </w:r>
      <w:r>
        <w:t xml:space="preserve">provides the most sobering reality check. Developed jointly by Google Research and Harvard, it tests whether LLMs can solve finite element analysis (FEA) problems — the physics simulation that validates whether a part will survive real-world loads. The result: no LLM tested was able to completely and correctly solve any FEA problem</w:t>
      </w:r>
      <w:r>
        <w:t xml:space="preserve"> </w:t>
      </w:r>
      <w:fldSimple w:instr="NOTEREF _Ref_Footnote_18 \h \f">
        <w:r>
          <w:rPr>
            <w:vertAlign w:val="superscript"/>
          </w:rPr>
          <w:t>18</w:t>
        </w:r>
      </w:fldSimple>
      <w:r>
        <w:t xml:space="preserve">. The best-performing strategy achieved 88% API call executability (the LLM could invoke the simulation API), but full problem-solving — correctly setting boundary conditions, meshing, interpreting stress results, and iterating on geometry — remained beyond all models. This benchmark exposes the fundamental gap between geometric generation and physics-validated design: a model can produce a visually perfect bracket that fails catastrophically under load, and current LLMs have no mechanism to detect or correct such failures</w:t>
      </w:r>
      <w:r>
        <w:t xml:space="preserve"> </w:t>
      </w:r>
      <w:fldSimple w:instr="NOTEREF _Ref_Footnote_18 \h \f">
        <w:r>
          <w:rPr>
            <w:vertAlign w:val="superscript"/>
          </w:rPr>
          <w:t>18</w:t>
        </w:r>
      </w:fldSimple>
      <w:r>
        <w:t xml:space="preserve">.</w:t>
      </w:r>
    </w:p>
    <w:p>
      <w:pPr>
        <w:pStyle w:val="BodyText"/>
      </w:pPr>
      <w:r>
        <w:t xml:space="preserve">The divergence between these benchmarks matters for practitioners. MUSE evaluates the CAD generation pipeline; VoxelCode evaluates raw LLM spatial reasoning; FEABench evaluates physics awareness. A model that scores well on MUSE may still fail VoxelCode tasks requiring non-CAD spatial manipulation, and no model currently scores acceptably on FEABench. The implication is that benchmark selection determines apparent progress — and no single benchmark captures the full complexity of engineering design.</w:t>
      </w:r>
    </w:p>
    <w:bookmarkEnd w:id="102"/>
    <w:bookmarkStart w:id="106" w:name="commercial-tools-in-production"/>
    <w:p>
      <w:pPr>
        <w:pStyle w:val="Heading3"/>
      </w:pPr>
      <w:r>
        <w:t xml:space="preserve">6.3 Commercial Tools in Production</w:t>
      </w:r>
    </w:p>
    <w:p>
      <w:pPr>
        <w:pStyle w:val="FirstParagraph"/>
      </w:pPr>
      <w:r>
        <w:t xml:space="preserve">While academic labs optimize Chamfer Distance, commercial vendors optimize revenue. The two are not the same thing.</w:t>
      </w:r>
    </w:p>
    <w:bookmarkStart w:id="103" w:name="the-top-tier-tripo-ai-and-meshy"/>
    <w:p>
      <w:pPr>
        <w:pStyle w:val="Heading4"/>
      </w:pPr>
      <w:r>
        <w:t xml:space="preserve">6.3.1 The Top Tier: Tripo AI and Meshy</w:t>
      </w:r>
    </w:p>
    <w:p>
      <w:pPr>
        <w:pStyle w:val="FirstParagraph"/>
      </w:pPr>
      <w:r>
        <w:rPr>
          <w:bCs/>
          <w:b/>
        </w:rPr>
        <w:t xml:space="preserve">Tripo AI</w:t>
      </w:r>
      <w:r>
        <w:t xml:space="preserve"> </w:t>
      </w:r>
      <w:r>
        <w:t xml:space="preserve">(parent: Vast) became the first text-to-3D unicorn in June 2026, reaching ~$1.5 billion valuation after raising nearly $200 million, including a $50 million Series A led by Alibaba Group</w:t>
      </w:r>
      <w:r>
        <w:t xml:space="preserve"> </w:t>
      </w:r>
      <w:fldSimple w:instr="NOTEREF _Ref_Footnote_1 \h \f">
        <w:r>
          <w:rPr>
            <w:vertAlign w:val="superscript"/>
          </w:rPr>
          <w:t>1</w:t>
        </w:r>
      </w:fldSimple>
      <w:r>
        <w:t xml:space="preserve"> </w:t>
      </w:r>
      <w:fldSimple w:instr="NOTEREF _Ref_Footnote_24 \h \f">
        <w:r>
          <w:rPr>
            <w:vertAlign w:val="superscript"/>
          </w:rPr>
          <w:t>24</w:t>
        </w:r>
      </w:fldSimple>
      <w:r>
        <w:t xml:space="preserve">. The platform claims 10-20 million users globally, primarily from the US, Europe, Japan, and South Korea</w:t>
      </w:r>
      <w:r>
        <w:t xml:space="preserve"> </w:t>
      </w:r>
      <w:fldSimple w:instr="NOTEREF _Ref_Footnote_10 \h \f">
        <w:r>
          <w:rPr>
            <w:vertAlign w:val="superscript"/>
          </w:rPr>
          <w:t>10</w:t>
        </w:r>
      </w:fldSimple>
      <w:r>
        <w:t xml:space="preserve"> </w:t>
      </w:r>
      <w:fldSimple w:instr="NOTEREF _Ref_Footnote_58 \h \f">
        <w:r>
          <w:rPr>
            <w:vertAlign w:val="superscript"/>
          </w:rPr>
          <w:t>58</w:t>
        </w:r>
      </w:fldSimple>
      <w:r>
        <w:t xml:space="preserve">. Tripo’s P-series model generates game-ready assets with low-polygon frameworks, targeting game development and animation where visual fidelity matters more than parametric editability. Pricing: $19.90-$49.90 per month.</w:t>
      </w:r>
    </w:p>
    <w:p>
      <w:pPr>
        <w:pStyle w:val="BodyText"/>
      </w:pPr>
      <w:r>
        <w:rPr>
          <w:bCs/>
          <w:b/>
        </w:rPr>
        <w:t xml:space="preserve">Meshy AI</w:t>
      </w:r>
      <w:r>
        <w:t xml:space="preserve"> </w:t>
      </w:r>
      <w:r>
        <w:t xml:space="preserve">is the revenue leader by absolute dollars, exceeding $40 million ARR in April 2026 with 14x revenue growth in 2025</w:t>
      </w:r>
      <w:r>
        <w:t xml:space="preserve"> </w:t>
      </w:r>
      <w:fldSimple w:instr="NOTEREF _Ref_Footnote_11 \h \f">
        <w:r>
          <w:rPr>
            <w:vertAlign w:val="superscript"/>
          </w:rPr>
          <w:t>11</w:t>
        </w:r>
      </w:fldSimple>
      <w:r>
        <w:t xml:space="preserve">. Ranked in the top 2% of fastest-growing AI companies in Silicon Valley, Meshy claims ~60% market share in developed countries</w:t>
      </w:r>
      <w:r>
        <w:t xml:space="preserve"> </w:t>
      </w:r>
      <w:fldSimple w:instr="NOTEREF _Ref_Footnote_11 \h \f">
        <w:r>
          <w:rPr>
            <w:vertAlign w:val="superscript"/>
          </w:rPr>
          <w:t>11</w:t>
        </w:r>
      </w:fldSimple>
      <w:r>
        <w:t xml:space="preserve"> </w:t>
      </w:r>
      <w:r>
        <w:rPr>
          <w:vertAlign w:val="superscript"/>
        </w:rPr>
        <w:footnoteReference w:id="85"/>
      </w:r>
      <w:r>
        <w:t xml:space="preserve">. The platform focuses on text-to-3D, image-to-3D, and PBR texturing for games, film, and 3D printing. Founder Hu Yuanming (Tsinghua Yao Class, MIT PhD) previously founded Taichi Graphics ($50 million raised)</w:t>
      </w:r>
      <w:r>
        <w:t xml:space="preserve"> </w:t>
      </w:r>
      <w:fldSimple w:instr="NOTEREF _Ref_Footnote_85 \h \f">
        <w:r>
          <w:rPr>
            <w:vertAlign w:val="superscript"/>
          </w:rPr>
          <w:t>85</w:t>
        </w:r>
      </w:fldSimple>
      <w:r>
        <w:t xml:space="preserve">.</w:t>
      </w:r>
    </w:p>
    <w:p>
      <w:pPr>
        <w:pStyle w:val="BlockText"/>
      </w:pPr>
      <w:r>
        <w:rPr>
          <w:bCs/>
          <w:b/>
        </w:rPr>
        <w:t xml:space="preserve">Case Study: Tripo AI’s Unicorn Trajectory — What Technical Capability Buys</w:t>
      </w:r>
    </w:p>
    <w:p>
      <w:pPr>
        <w:pStyle w:val="BlockText"/>
      </w:pPr>
      <w:r>
        <w:t xml:space="preserve">Tripo AI’s path to unicorn status in under three years illustrates the divergence between technical sophistication and commercial success. Its ~$1.5 billion valuation</w:t>
      </w:r>
      <w:r>
        <w:t xml:space="preserve"> </w:t>
      </w:r>
      <w:fldSimple w:instr="NOTEREF _Ref_Footnote_1 \h \f">
        <w:r>
          <w:rPr>
            <w:vertAlign w:val="superscript"/>
          </w:rPr>
          <w:t>1</w:t>
        </w:r>
      </w:fldSimple>
      <w:r>
        <w:t xml:space="preserve">comes despite independent testing (Xometry, August 2025) rating AdamCAD, not Tripo, as the most accurate tool — Tripo was not even included, likely because its outputs target game-ready meshes rather than engineering solids. The market has valued speed (~10 seconds per asset), user experience, and distribution over geometric precision. Tripo’s 20 million users</w:t>
      </w:r>
      <w:r>
        <w:t xml:space="preserve"> </w:t>
      </w:r>
      <w:fldSimple w:instr="NOTEREF _Ref_Footnote_10 \h \f">
        <w:r>
          <w:rPr>
            <w:vertAlign w:val="superscript"/>
          </w:rPr>
          <w:t>10</w:t>
        </w:r>
      </w:fldSimple>
      <w:r>
        <w:t xml:space="preserve">generate assets for animation and game prototyping — workflows where</w:t>
      </w:r>
      <w:r>
        <w:t xml:space="preserve"> </w:t>
      </w:r>
      <w:r>
        <w:t xml:space="preserve">“</w:t>
      </w:r>
      <w:r>
        <w:t xml:space="preserve">good enough</w:t>
      </w:r>
      <w:r>
        <w:t xml:space="preserve">”</w:t>
      </w:r>
      <w:r>
        <w:t xml:space="preserve"> </w:t>
      </w:r>
      <w:r>
        <w:t xml:space="preserve">mesh quality is sufficient because the cost of failure is a re-generation, not a product recall. The $40M ARR that Meshy commands</w:t>
      </w:r>
      <w:r>
        <w:t xml:space="preserve"> </w:t>
      </w:r>
      <w:fldSimple w:instr="NOTEREF _Ref_Footnote_11 \h \f">
        <w:r>
          <w:rPr>
            <w:vertAlign w:val="superscript"/>
          </w:rPr>
          <w:t>11</w:t>
        </w:r>
      </w:fldSimple>
      <w:r>
        <w:t xml:space="preserve">comes from game asset pipelines and 3D printing hobbyists, not aerospace or medical device manufacturers. This market bifurcation — visual 3D AI versus engineering 3D AI — is the central structural feature of the 2026 landscape.</w:t>
      </w:r>
    </w:p>
    <w:bookmarkEnd w:id="103"/>
    <w:bookmarkStart w:id="104" w:name="X67bfc744ac2c92a90c89f4ea6265158272c74eb"/>
    <w:p>
      <w:pPr>
        <w:pStyle w:val="Heading4"/>
      </w:pPr>
      <w:r>
        <w:t xml:space="preserve">6.3.2 The Workflow Layer: AdamCAD, DraftAid, Leo AI</w:t>
      </w:r>
    </w:p>
    <w:p>
      <w:pPr>
        <w:pStyle w:val="FirstParagraph"/>
      </w:pPr>
      <w:r>
        <w:t xml:space="preserve">Below the top tier, a second layer of tools targets specific workflow bottlenecks rather than general-purpose generation.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Tool</w:t>
            </w:r>
          </w:p>
        </w:tc>
        <w:tc>
          <w:tcPr/>
          <w:p>
            <w:pPr>
              <w:pStyle w:val="Compact"/>
              <w:jc w:val="left"/>
            </w:pPr>
            <w:r>
              <w:t xml:space="preserve">Funding</w:t>
            </w:r>
          </w:p>
        </w:tc>
        <w:tc>
          <w:tcPr/>
          <w:p>
            <w:pPr>
              <w:pStyle w:val="Compact"/>
              <w:jc w:val="left"/>
            </w:pPr>
            <w:r>
              <w:t xml:space="preserve">Users/Revenue</w:t>
            </w:r>
          </w:p>
        </w:tc>
        <w:tc>
          <w:tcPr/>
          <w:p>
            <w:pPr>
              <w:pStyle w:val="Compact"/>
              <w:jc w:val="left"/>
            </w:pPr>
            <w:r>
              <w:t xml:space="preserve">Output Format</w:t>
            </w:r>
          </w:p>
        </w:tc>
        <w:tc>
          <w:tcPr/>
          <w:p>
            <w:pPr>
              <w:pStyle w:val="Compact"/>
              <w:jc w:val="left"/>
            </w:pPr>
            <w:r>
              <w:t xml:space="preserve">Pricing</w:t>
            </w:r>
          </w:p>
        </w:tc>
        <w:tc>
          <w:tcPr/>
          <w:p>
            <w:pPr>
              <w:pStyle w:val="Compact"/>
              <w:jc w:val="left"/>
            </w:pPr>
            <w:r>
              <w:t xml:space="preserve">Independent Accuracy</w:t>
            </w:r>
          </w:p>
        </w:tc>
        <w:tc>
          <w:tcPr/>
          <w:p>
            <w:pPr>
              <w:pStyle w:val="Compact"/>
              <w:jc w:val="left"/>
            </w:pPr>
            <w:r>
              <w:t xml:space="preserve">Workflow Target</w:t>
            </w:r>
          </w:p>
        </w:tc>
      </w:tr>
      <w:tr>
        <w:tc>
          <w:tcPr/>
          <w:p>
            <w:pPr>
              <w:pStyle w:val="Compact"/>
              <w:jc w:val="left"/>
            </w:pPr>
            <w:r>
              <w:t xml:space="preserve">Tripo AI</w:t>
            </w:r>
          </w:p>
        </w:tc>
        <w:tc>
          <w:tcPr/>
          <w:p>
            <w:pPr>
              <w:pStyle w:val="Compact"/>
              <w:jc w:val="left"/>
            </w:pPr>
            <w:r>
              <w:t xml:space="preserve">~$200M</w:t>
            </w:r>
            <w:r>
              <w:t xml:space="preserve"> </w:t>
            </w:r>
            <w:fldSimple w:instr="NOTEREF _Ref_Footnote_24 \h \f">
              <w:r>
                <w:rPr>
                  <w:vertAlign w:val="superscript"/>
                </w:rPr>
                <w:t>24</w:t>
              </w:r>
            </w:fldSimple>
          </w:p>
        </w:tc>
        <w:tc>
          <w:tcPr/>
          <w:p>
            <w:pPr>
              <w:pStyle w:val="Compact"/>
              <w:jc w:val="left"/>
            </w:pPr>
            <w:r>
              <w:t xml:space="preserve">20M users</w:t>
            </w:r>
            <w:r>
              <w:t xml:space="preserve"> </w:t>
            </w:r>
            <w:fldSimple w:instr="NOTEREF _Ref_Footnote_10 \h \f">
              <w:r>
                <w:rPr>
                  <w:vertAlign w:val="superscript"/>
                </w:rPr>
                <w:t>10</w:t>
              </w:r>
            </w:fldSimple>
          </w:p>
        </w:tc>
        <w:tc>
          <w:tcPr/>
          <w:p>
            <w:pPr>
              <w:pStyle w:val="Compact"/>
              <w:jc w:val="left"/>
            </w:pPr>
            <w:r>
              <w:t xml:space="preserve">Game-ready meshes</w:t>
            </w:r>
          </w:p>
        </w:tc>
        <w:tc>
          <w:tcPr/>
          <w:p>
            <w:pPr>
              <w:pStyle w:val="Compact"/>
              <w:jc w:val="left"/>
            </w:pPr>
            <w:r>
              <w:t xml:space="preserve">$19.90-49.90/mo</w:t>
            </w:r>
          </w:p>
        </w:tc>
        <w:tc>
          <w:tcPr/>
          <w:p>
            <w:pPr>
              <w:pStyle w:val="Compact"/>
              <w:jc w:val="left"/>
            </w:pPr>
            <w:r>
              <w:t xml:space="preserve">Not independently tested</w:t>
            </w:r>
          </w:p>
        </w:tc>
        <w:tc>
          <w:tcPr/>
          <w:p>
            <w:pPr>
              <w:pStyle w:val="Compact"/>
              <w:jc w:val="left"/>
            </w:pPr>
            <w:r>
              <w:t xml:space="preserve">Game/film asset creation</w:t>
            </w:r>
          </w:p>
        </w:tc>
      </w:tr>
      <w:tr>
        <w:tc>
          <w:tcPr/>
          <w:p>
            <w:pPr>
              <w:pStyle w:val="Compact"/>
              <w:jc w:val="left"/>
            </w:pPr>
            <w:r>
              <w:t xml:space="preserve">Meshy AI</w:t>
            </w:r>
          </w:p>
        </w:tc>
        <w:tc>
          <w:tcPr/>
          <w:p>
            <w:pPr>
              <w:pStyle w:val="Compact"/>
              <w:jc w:val="left"/>
            </w:pPr>
            <w:r>
              <w:t xml:space="preserve">$20M+</w:t>
            </w:r>
            <w:r>
              <w:t xml:space="preserve"> </w:t>
            </w:r>
            <w:fldSimple w:instr="NOTEREF _Ref_Footnote_26 \h \f">
              <w:r>
                <w:rPr>
                  <w:vertAlign w:val="superscript"/>
                </w:rPr>
                <w:t>26</w:t>
              </w:r>
            </w:fldSimple>
          </w:p>
        </w:tc>
        <w:tc>
          <w:tcPr/>
          <w:p>
            <w:pPr>
              <w:pStyle w:val="Compact"/>
              <w:jc w:val="left"/>
            </w:pPr>
            <w:r>
              <w:t xml:space="preserve">$40M ARR</w:t>
            </w:r>
            <w:r>
              <w:t xml:space="preserve"> </w:t>
            </w:r>
            <w:fldSimple w:instr="NOTEREF _Ref_Footnote_11 \h \f">
              <w:r>
                <w:rPr>
                  <w:vertAlign w:val="superscript"/>
                </w:rPr>
                <w:t>11</w:t>
              </w:r>
            </w:fldSimple>
          </w:p>
        </w:tc>
        <w:tc>
          <w:tcPr/>
          <w:p>
            <w:pPr>
              <w:pStyle w:val="Compact"/>
              <w:jc w:val="left"/>
            </w:pPr>
            <w:r>
              <w:t xml:space="preserve">STL + textures</w:t>
            </w:r>
          </w:p>
        </w:tc>
        <w:tc>
          <w:tcPr/>
          <w:p>
            <w:pPr>
              <w:pStyle w:val="Compact"/>
              <w:jc w:val="left"/>
            </w:pPr>
            <w:r>
              <w:t xml:space="preserve">Free-$60/mo</w:t>
            </w:r>
          </w:p>
        </w:tc>
        <w:tc>
          <w:tcPr/>
          <w:p>
            <w:pPr>
              <w:pStyle w:val="Compact"/>
              <w:jc w:val="left"/>
            </w:pPr>
            <w:r>
              <w:t xml:space="preserve">Not independently tested</w:t>
            </w:r>
          </w:p>
        </w:tc>
        <w:tc>
          <w:tcPr/>
          <w:p>
            <w:pPr>
              <w:pStyle w:val="Compact"/>
              <w:jc w:val="left"/>
            </w:pPr>
            <w:r>
              <w:t xml:space="preserve">3D printing + game assets</w:t>
            </w:r>
          </w:p>
        </w:tc>
      </w:tr>
      <w:tr>
        <w:tc>
          <w:tcPr/>
          <w:p>
            <w:pPr>
              <w:pStyle w:val="Compact"/>
              <w:jc w:val="left"/>
            </w:pPr>
            <w:r>
              <w:t xml:space="preserve">AdamCAD</w:t>
            </w:r>
          </w:p>
        </w:tc>
        <w:tc>
          <w:tcPr/>
          <w:p>
            <w:pPr>
              <w:pStyle w:val="Compact"/>
              <w:jc w:val="left"/>
            </w:pPr>
            <w:r>
              <w:t xml:space="preserve">$8.5M</w:t>
            </w:r>
            <w:r>
              <w:t xml:space="preserve"> </w:t>
            </w:r>
            <w:fldSimple w:instr="NOTEREF _Ref_Footnote_28 \h \f">
              <w:r>
                <w:rPr>
                  <w:vertAlign w:val="superscript"/>
                </w:rPr>
                <w:t>28</w:t>
              </w:r>
            </w:fldSimple>
          </w:p>
        </w:tc>
        <w:tc>
          <w:tcPr/>
          <w:p>
            <w:pPr>
              <w:pStyle w:val="Compact"/>
              <w:jc w:val="left"/>
            </w:pPr>
            <w:r>
              <w:t xml:space="preserve">1M+ models</w:t>
            </w:r>
            <w:r>
              <w:t xml:space="preserve"> </w:t>
            </w:r>
            <w:fldSimple w:instr="NOTEREF _Ref_Footnote_23 \h \f">
              <w:r>
                <w:rPr>
                  <w:vertAlign w:val="superscript"/>
                </w:rPr>
                <w:t>23</w:t>
              </w:r>
            </w:fldSimple>
          </w:p>
        </w:tc>
        <w:tc>
          <w:tcPr/>
          <w:p>
            <w:pPr>
              <w:pStyle w:val="Compact"/>
              <w:jc w:val="left"/>
            </w:pPr>
            <w:r>
              <w:t xml:space="preserve">Parametric STL/SCAD</w:t>
            </w:r>
          </w:p>
        </w:tc>
        <w:tc>
          <w:tcPr/>
          <w:p>
            <w:pPr>
              <w:pStyle w:val="Compact"/>
              <w:jc w:val="left"/>
            </w:pPr>
            <w:r>
              <w:t xml:space="preserve">$9.99-29.99/mo</w:t>
            </w:r>
          </w:p>
        </w:tc>
        <w:tc>
          <w:tcPr/>
          <w:p>
            <w:pPr>
              <w:pStyle w:val="Compact"/>
              <w:jc w:val="left"/>
            </w:pPr>
            <w:r>
              <w:t xml:space="preserve">4/5 stars (Xometry)</w:t>
            </w:r>
            <w:r>
              <w:t xml:space="preserve"> </w:t>
            </w:r>
            <w:fldSimple w:instr="NOTEREF _Ref_Footnote_14 \h \f">
              <w:r>
                <w:rPr>
                  <w:vertAlign w:val="superscript"/>
                </w:rPr>
                <w:t>14</w:t>
              </w:r>
            </w:fldSimple>
          </w:p>
        </w:tc>
        <w:tc>
          <w:tcPr/>
          <w:p>
            <w:pPr>
              <w:pStyle w:val="Compact"/>
              <w:jc w:val="left"/>
            </w:pPr>
            <w:r>
              <w:t xml:space="preserve">Prototyping, single parts</w:t>
            </w:r>
          </w:p>
        </w:tc>
      </w:tr>
      <w:tr>
        <w:tc>
          <w:tcPr/>
          <w:p>
            <w:pPr>
              <w:pStyle w:val="Compact"/>
              <w:jc w:val="left"/>
            </w:pPr>
            <w:r>
              <w:t xml:space="preserve">Zoo.dev</w:t>
            </w:r>
          </w:p>
        </w:tc>
        <w:tc>
          <w:tcPr/>
          <w:p>
            <w:pPr>
              <w:pStyle w:val="Compact"/>
              <w:jc w:val="left"/>
            </w:pPr>
            <w:r>
              <w:t xml:space="preserve">~$27M</w:t>
            </w:r>
            <w:r>
              <w:t xml:space="preserve"> </w:t>
            </w:r>
            <w:fldSimple w:instr="NOTEREF _Ref_Footnote_15 \h \f">
              <w:r>
                <w:rPr>
                  <w:vertAlign w:val="superscript"/>
                </w:rPr>
                <w:t>15</w:t>
              </w:r>
            </w:fldSimple>
          </w:p>
        </w:tc>
        <w:tc>
          <w:tcPr/>
          <w:p>
            <w:pPr>
              <w:pStyle w:val="Compact"/>
              <w:jc w:val="left"/>
            </w:pPr>
            <w:r>
              <w:t xml:space="preserve">N/A</w:t>
            </w:r>
          </w:p>
        </w:tc>
        <w:tc>
          <w:tcPr/>
          <w:p>
            <w:pPr>
              <w:pStyle w:val="Compact"/>
              <w:jc w:val="left"/>
            </w:pPr>
            <w:r>
              <w:t xml:space="preserve">B-Rep (STEP/KCL)</w:t>
            </w:r>
          </w:p>
        </w:tc>
        <w:tc>
          <w:tcPr/>
          <w:p>
            <w:pPr>
              <w:pStyle w:val="Compact"/>
              <w:jc w:val="left"/>
            </w:pPr>
            <w:r>
              <w:t xml:space="preserve">$20-399/mo</w:t>
            </w:r>
          </w:p>
        </w:tc>
        <w:tc>
          <w:tcPr/>
          <w:p>
            <w:pPr>
              <w:pStyle w:val="Compact"/>
              <w:jc w:val="left"/>
            </w:pPr>
            <w:r>
              <w:t xml:space="preserve">2/5 stars (Xometry)</w:t>
            </w:r>
            <w:r>
              <w:t xml:space="preserve"> </w:t>
            </w:r>
            <w:fldSimple w:instr="NOTEREF _Ref_Footnote_14 \h \f">
              <w:r>
                <w:rPr>
                  <w:vertAlign w:val="superscript"/>
                </w:rPr>
                <w:t>14</w:t>
              </w:r>
            </w:fldSimple>
          </w:p>
        </w:tc>
        <w:tc>
          <w:tcPr/>
          <w:p>
            <w:pPr>
              <w:pStyle w:val="Compact"/>
              <w:jc w:val="left"/>
            </w:pPr>
            <w:r>
              <w:t xml:space="preserve">API-first mechanical CAD</w:t>
            </w:r>
          </w:p>
        </w:tc>
      </w:tr>
      <w:tr>
        <w:tc>
          <w:tcPr/>
          <w:p>
            <w:pPr>
              <w:pStyle w:val="Compact"/>
              <w:jc w:val="left"/>
            </w:pPr>
            <w:r>
              <w:t xml:space="preserve">DraftAid</w:t>
            </w:r>
          </w:p>
        </w:tc>
        <w:tc>
          <w:tcPr/>
          <w:p>
            <w:pPr>
              <w:pStyle w:val="Compact"/>
              <w:jc w:val="left"/>
            </w:pPr>
            <w:r>
              <w:t xml:space="preserve">$3M</w:t>
            </w:r>
            <w:r>
              <w:t xml:space="preserve"> </w:t>
            </w:r>
            <w:r>
              <w:rPr>
                <w:vertAlign w:val="superscript"/>
              </w:rPr>
              <w:footnoteReference w:id="86"/>
            </w:r>
          </w:p>
        </w:tc>
        <w:tc>
          <w:tcPr/>
          <w:p>
            <w:pPr>
              <w:pStyle w:val="Compact"/>
              <w:jc w:val="left"/>
            </w:pPr>
            <w:r>
              <w:t xml:space="preserve">High 7-fig ARR</w:t>
            </w:r>
            <w:r>
              <w:t xml:space="preserve"> </w:t>
            </w:r>
            <w:fldSimple w:instr="NOTEREF _Ref_Footnote_86 \h \f">
              <w:r>
                <w:rPr>
                  <w:vertAlign w:val="superscript"/>
                </w:rPr>
                <w:t>86</w:t>
              </w:r>
            </w:fldSimple>
          </w:p>
        </w:tc>
        <w:tc>
          <w:tcPr/>
          <w:p>
            <w:pPr>
              <w:pStyle w:val="Compact"/>
              <w:jc w:val="left"/>
            </w:pPr>
            <w:r>
              <w:t xml:space="preserve">2D manufacturing drawings</w:t>
            </w:r>
          </w:p>
        </w:tc>
        <w:tc>
          <w:tcPr/>
          <w:p>
            <w:pPr>
              <w:pStyle w:val="Compact"/>
              <w:jc w:val="left"/>
            </w:pPr>
            <w:r>
              <w:t xml:space="preserve">Usage-based SaaS</w:t>
            </w:r>
          </w:p>
        </w:tc>
        <w:tc>
          <w:tcPr/>
          <w:p>
            <w:pPr>
              <w:pStyle w:val="Compact"/>
              <w:jc w:val="left"/>
            </w:pPr>
            <w:r>
              <w:t xml:space="preserve">Not rated (different workflow)</w:t>
            </w:r>
          </w:p>
        </w:tc>
        <w:tc>
          <w:tcPr/>
          <w:p>
            <w:pPr>
              <w:pStyle w:val="Compact"/>
              <w:jc w:val="left"/>
            </w:pPr>
            <w:r>
              <w:t xml:space="preserve">Drawing extraction from 3D</w:t>
            </w:r>
          </w:p>
        </w:tc>
      </w:tr>
      <w:tr>
        <w:tc>
          <w:tcPr/>
          <w:p>
            <w:pPr>
              <w:pStyle w:val="Compact"/>
              <w:jc w:val="left"/>
            </w:pPr>
            <w:r>
              <w:t xml:space="preserve">Leo AI</w:t>
            </w:r>
          </w:p>
        </w:tc>
        <w:tc>
          <w:tcPr/>
          <w:p>
            <w:pPr>
              <w:pStyle w:val="Compact"/>
              <w:jc w:val="left"/>
            </w:pPr>
            <w:r>
              <w:t xml:space="preserve">$5M</w:t>
            </w:r>
            <w:r>
              <w:t xml:space="preserve"> </w:t>
            </w:r>
            <w:r>
              <w:rPr>
                <w:vertAlign w:val="superscript"/>
              </w:rPr>
              <w:footnoteReference w:id="87"/>
            </w:r>
          </w:p>
        </w:tc>
        <w:tc>
          <w:tcPr/>
          <w:p>
            <w:pPr>
              <w:pStyle w:val="Compact"/>
              <w:jc w:val="left"/>
            </w:pPr>
            <w:r>
              <w:t xml:space="preserve">Enterprise pilots</w:t>
            </w:r>
          </w:p>
        </w:tc>
        <w:tc>
          <w:tcPr/>
          <w:p>
            <w:pPr>
              <w:pStyle w:val="Compact"/>
              <w:jc w:val="left"/>
            </w:pPr>
            <w:r>
              <w:t xml:space="preserve">Full assemblies</w:t>
            </w:r>
          </w:p>
        </w:tc>
        <w:tc>
          <w:tcPr/>
          <w:p>
            <w:pPr>
              <w:pStyle w:val="Compact"/>
              <w:jc w:val="left"/>
            </w:pPr>
            <w:r>
              <w:t xml:space="preserve">$39/mo-$1,800/yr</w:t>
            </w:r>
          </w:p>
        </w:tc>
        <w:tc>
          <w:tcPr/>
          <w:p>
            <w:pPr>
              <w:pStyle w:val="Compact"/>
              <w:jc w:val="left"/>
            </w:pPr>
            <w:r>
              <w:t xml:space="preserve">2/5 stars (Xometry)</w:t>
            </w:r>
            <w:r>
              <w:t xml:space="preserve"> </w:t>
            </w:r>
            <w:fldSimple w:instr="NOTEREF _Ref_Footnote_14 \h \f">
              <w:r>
                <w:rPr>
                  <w:vertAlign w:val="superscript"/>
                </w:rPr>
                <w:t>14</w:t>
              </w:r>
            </w:fldSimple>
          </w:p>
        </w:tc>
        <w:tc>
          <w:tcPr/>
          <w:p>
            <w:pPr>
              <w:pStyle w:val="Compact"/>
              <w:jc w:val="left"/>
            </w:pPr>
            <w:r>
              <w:t xml:space="preserve">Part search, PLM integration</w:t>
            </w:r>
          </w:p>
        </w:tc>
      </w:tr>
    </w:tbl>
    <w:p>
      <w:pPr>
        <w:pStyle w:val="BodyText"/>
      </w:pPr>
      <w:r>
        <w:rPr>
          <w:bCs/>
          <w:b/>
        </w:rPr>
        <w:t xml:space="preserve">AdamCAD</w:t>
      </w:r>
      <w:r>
        <w:t xml:space="preserve">, a YC W25 graduate with $8.5 million raised, generated over 1 million 3D models and 10 million social media impressions in its first months — consumer virality unprecedented in CAD</w:t>
      </w:r>
      <w:r>
        <w:t xml:space="preserve"> </w:t>
      </w:r>
      <w:fldSimple w:instr="NOTEREF _Ref_Footnote_28 \h \f">
        <w:r>
          <w:rPr>
            <w:vertAlign w:val="superscript"/>
          </w:rPr>
          <w:t>28</w:t>
        </w:r>
      </w:fldSimple>
      <w:r>
        <w:t xml:space="preserve"> </w:t>
      </w:r>
      <w:fldSimple w:instr="NOTEREF _Ref_Footnote_23 \h \f">
        <w:r>
          <w:rPr>
            <w:vertAlign w:val="superscript"/>
          </w:rPr>
          <w:t>23</w:t>
        </w:r>
      </w:fldSimple>
      <w:r>
        <w:t xml:space="preserve">. Its open-source CADAM repository (3,523 GitHub stars) builds community trust, while a dual-mode interface offers parametric engineering and creative generation</w:t>
      </w:r>
      <w:r>
        <w:t xml:space="preserve"> </w:t>
      </w:r>
      <w:fldSimple w:instr="NOTEREF _Ref_Footnote_83 \h \f">
        <w:r>
          <w:rPr>
            <w:vertAlign w:val="superscript"/>
          </w:rPr>
          <w:t>83</w:t>
        </w:r>
      </w:fldSimple>
      <w:r>
        <w:t xml:space="preserve">. Xometry rated AdamCAD 4/5 stars — the highest of seven tools tested — on simple and medium-complexity parts</w:t>
      </w:r>
      <w:r>
        <w:t xml:space="preserve"> </w:t>
      </w:r>
      <w:fldSimple w:instr="NOTEREF _Ref_Footnote_14 \h \f">
        <w:r>
          <w:rPr>
            <w:vertAlign w:val="superscript"/>
          </w:rPr>
          <w:t>14</w:t>
        </w:r>
      </w:fldSimple>
      <w:r>
        <w:t xml:space="preserve">. It excels on single parts (gears, brackets, screws) but struggles on assemblies with 8-10+ components</w:t>
      </w:r>
      <w:r>
        <w:t xml:space="preserve"> </w:t>
      </w:r>
      <w:fldSimple w:instr="NOTEREF _Ref_Footnote_83 \h \f">
        <w:r>
          <w:rPr>
            <w:vertAlign w:val="superscript"/>
          </w:rPr>
          <w:t>83</w:t>
        </w:r>
      </w:fldSimple>
      <w:r>
        <w:t xml:space="preserve">.</w:t>
      </w:r>
    </w:p>
    <w:p>
      <w:pPr>
        <w:pStyle w:val="BodyText"/>
      </w:pPr>
      <w:r>
        <w:rPr>
          <w:bCs/>
          <w:b/>
        </w:rPr>
        <w:t xml:space="preserve">DraftAid</w:t>
      </w:r>
      <w:r>
        <w:t xml:space="preserve"> </w:t>
      </w:r>
      <w:r>
        <w:t xml:space="preserve">is the only tool with proven seven-figure ARR in an engineering workflow, achieved by deliberately avoiding generative 3D. Instead, it automates 2D manufacturing drawing extraction from existing 3D models — reducing drafting time by up to 86-90%, with one case study showing a drop from 150 to 20 hours</w:t>
      </w:r>
      <w:r>
        <w:t xml:space="preserve"> </w:t>
      </w:r>
      <w:fldSimple w:instr="NOTEREF _Ref_Footnote_86 \h \f">
        <w:r>
          <w:rPr>
            <w:vertAlign w:val="superscript"/>
          </w:rPr>
          <w:t>86</w:t>
        </w:r>
      </w:fldSimple>
      <w:r>
        <w:t xml:space="preserve">. Drawings grew 20x year-over-year. The insight: the highest-value AI application in mechanical design is not generating geometry but automating documentation of existing geometry — a workflow with lower technical risk and clearer ROI.</w:t>
      </w:r>
    </w:p>
    <w:p>
      <w:pPr>
        <w:pStyle w:val="BodyText"/>
      </w:pPr>
      <w:r>
        <w:rPr>
          <w:bCs/>
          <w:b/>
        </w:rPr>
        <w:t xml:space="preserve">Leo AI</w:t>
      </w:r>
      <w:r>
        <w:t xml:space="preserve"> </w:t>
      </w:r>
      <w:r>
        <w:t xml:space="preserve">targets part search, using a proprietary Large Mechanical Model to enable natural-language search across part libraries. It claims 8.3 hours saved per engineer per week</w:t>
      </w:r>
      <w:r>
        <w:t xml:space="preserve"> </w:t>
      </w:r>
      <w:fldSimple w:instr="NOTEREF _Ref_Footnote_87 \h \f">
        <w:r>
          <w:rPr>
            <w:vertAlign w:val="superscript"/>
          </w:rPr>
          <w:t>87</w:t>
        </w:r>
      </w:fldSimple>
      <w:r>
        <w:t xml:space="preserve">. However, Xometry rated it 2/5 stars, noting it excels at</w:t>
      </w:r>
      <w:r>
        <w:t xml:space="preserve"> </w:t>
      </w:r>
      <w:r>
        <w:t xml:space="preserve">“</w:t>
      </w:r>
      <w:r>
        <w:t xml:space="preserve">fast visual ideation</w:t>
      </w:r>
      <w:r>
        <w:t xml:space="preserve">”</w:t>
      </w:r>
      <w:r>
        <w:t xml:space="preserve"> </w:t>
      </w:r>
      <w:r>
        <w:t xml:space="preserve">but falls short on</w:t>
      </w:r>
      <w:r>
        <w:t xml:space="preserve"> </w:t>
      </w:r>
      <w:r>
        <w:t xml:space="preserve">“</w:t>
      </w:r>
      <w:r>
        <w:t xml:space="preserve">dimensioned, CAD-ready geometry</w:t>
      </w:r>
      <w:r>
        <w:t xml:space="preserve">”</w:t>
      </w:r>
      <w:r>
        <w:t xml:space="preserve"> </w:t>
      </w:r>
      <w:fldSimple w:instr="NOTEREF _Ref_Footnote_14 \h \f">
        <w:r>
          <w:rPr>
            <w:vertAlign w:val="superscript"/>
          </w:rPr>
          <w:t>14</w:t>
        </w:r>
      </w:fldSimple>
      <w:r>
        <w:t xml:space="preserve">.</w:t>
      </w:r>
    </w:p>
    <w:bookmarkEnd w:id="104"/>
    <w:bookmarkStart w:id="105" w:name="the-independent-verification-gap"/>
    <w:p>
      <w:pPr>
        <w:pStyle w:val="Heading4"/>
      </w:pPr>
      <w:r>
        <w:t xml:space="preserve">6.3.3 The Independent Verification Gap</w:t>
      </w:r>
    </w:p>
    <w:p>
      <w:pPr>
        <w:pStyle w:val="BlockText"/>
      </w:pPr>
      <w:r>
        <w:rPr>
          <w:bCs/>
          <w:b/>
        </w:rPr>
        <w:t xml:space="preserve">Case Study: Xometry Blind Test — Vendor Claims vs. Independent Reality</w:t>
      </w:r>
    </w:p>
    <w:p>
      <w:pPr>
        <w:pStyle w:val="BlockText"/>
      </w:pPr>
      <w:r>
        <w:t xml:space="preserve">In August 2025, Xometry Pro — a manufacturing services marketplace with no affiliation to any AI tool vendor — conducted the most rigorous independent evaluation of text-to-CAD tools to date</w:t>
      </w:r>
      <w:r>
        <w:t xml:space="preserve"> </w:t>
      </w:r>
      <w:fldSimple w:instr="NOTEREF _Ref_Footnote_14 \h \f">
        <w:r>
          <w:rPr>
            <w:vertAlign w:val="superscript"/>
          </w:rPr>
          <w:t>14</w:t>
        </w:r>
      </w:fldSimple>
      <w:r>
        <w:t xml:space="preserve">. Seven tools were tested with practical prompts across three complexity tiers: simple parts (20mm cylinder), medium complexity (24-tooth gear), and high complexity (manifold block with ports and channels).</w:t>
      </w:r>
    </w:p>
    <w:p>
      <w:pPr>
        <w:pStyle w:val="BlockText"/>
      </w:pPr>
      <w:r>
        <w:rPr>
          <w:bCs/>
          <w:b/>
        </w:rPr>
        <w:t xml:space="preserve">Results:</w:t>
      </w:r>
      <w:r>
        <w:t xml:space="preserve"> </w:t>
      </w:r>
      <w:r>
        <w:t xml:space="preserve">AdamCAD scored highest at 4/5 stars, handling simple and medium parts accurately but simplifying the high-complexity manifold. Zoo scored 2/5, failing on the 24-tooth gear and producing no result for the manifold block. Leo AI scored 2/5, excelling in creative ideation but failing on dimensioned geometry. CADGPT and CADScribe scored 3/5; Vondy scored 2/5. The overall verdict:</w:t>
      </w:r>
      <w:r>
        <w:t xml:space="preserve"> </w:t>
      </w:r>
      <w:r>
        <w:t xml:space="preserve">“</w:t>
      </w:r>
      <w:r>
        <w:t xml:space="preserve">These tools aren’t yet a substitute for professional CAD software — but for quick prototyping, visual exploration, or teaching purposes, several are genuinely useful today</w:t>
      </w:r>
      <w:r>
        <w:t xml:space="preserve">”</w:t>
      </w:r>
      <w:r>
        <w:t xml:space="preserve"> </w:t>
      </w:r>
      <w:fldSimple w:instr="NOTEREF _Ref_Footnote_14 \h \f">
        <w:r>
          <w:rPr>
            <w:vertAlign w:val="superscript"/>
          </w:rPr>
          <w:t>14</w:t>
        </w:r>
      </w:fldSimple>
      <w:r>
        <w:t xml:space="preserve">.</w:t>
      </w:r>
    </w:p>
    <w:p>
      <w:pPr>
        <w:pStyle w:val="BlockText"/>
      </w:pPr>
      <w:r>
        <w:t xml:space="preserve">The critical observation is the gap between these results and vendor claims. Industry assessments suggest AI 3D models achieve 85-95% accuracy for standard objects and 60-75% for complex items</w:t>
      </w:r>
      <w:r>
        <w:t xml:space="preserve"> </w:t>
      </w:r>
      <w:r>
        <w:rPr>
          <w:vertAlign w:val="superscript"/>
        </w:rPr>
        <w:footnoteReference w:id="88"/>
      </w:r>
      <w:r>
        <w:t xml:space="preserve">, yet the only independent test found the best tool scored 4/5 — and that was for relatively simple parts. An MIT study published in January 2026 found that only about 26% of AI-modified 3D models remained structurally viable; combining FEA simulation with generative AI improved this to 100%, but required physics-aware validation that no commercial tool currently integrates</w:t>
      </w:r>
      <w:r>
        <w:t xml:space="preserve"> </w:t>
      </w:r>
      <w:fldSimple w:instr="NOTEREF _Ref_Footnote_19 \h \f">
        <w:r>
          <w:rPr>
            <w:vertAlign w:val="superscript"/>
          </w:rPr>
          <w:t>19</w:t>
        </w:r>
      </w:fldSimple>
      <w:r>
        <w:t xml:space="preserve">. This verification gap — the difference between vendor-claimed accuracy and independently measured accuracy — is the single largest risk factor for enterprise buyers evaluating AI 3D tools in 2026.</w:t>
      </w:r>
    </w:p>
    <w:p>
      <w:pPr>
        <w:pStyle w:val="FirstParagraph"/>
      </w:pPr>
      <w:r>
        <w:t xml:space="preserve">The Xometry test exposes a structural asymmetry: the most commercially successful products (Tripo AI at $1.5B valuation, Meshy at $40M ARR) operate in domains where independent accuracy testing is rare because the cost of failure is low. Products with the most independent validation (AdamCAD at 4/5 stars, Zoo at 2/5) serve engineering workflows but have not achieved comparable revenue. The MUSE benchmark confirms why: even the best models achieve only 42/100 functionality and 28/100 assemblability</w:t>
      </w:r>
      <w:r>
        <w:t xml:space="preserve"> </w:t>
      </w:r>
      <w:fldSimple w:instr="NOTEREF _Ref_Footnote_12 \h \f">
        <w:r>
          <w:rPr>
            <w:vertAlign w:val="superscript"/>
          </w:rPr>
          <w:t>12</w:t>
        </w:r>
      </w:fldSimple>
      <w:r>
        <w:t xml:space="preserve">— unacceptable for safety-critical engineering, irrelevant for game prototyping.</w:t>
      </w:r>
    </w:p>
    <w:p>
      <w:pPr>
        <w:pStyle w:val="BodyText"/>
      </w:pPr>
      <w:r>
        <w:t xml:space="preserve">This divergence defines the state of the art in mid-2026. For visualization, gaming, and concept exploration, AI-driven 3D generation is a commercial reality. For parametric engineering, manufacturing-validated design, and physics-aware generation, the field remains in research — with fine-tuned models showing impressive narrow benchmarks but failing the broader cascade of constraints that defines professional CAD.</w:t>
      </w:r>
    </w:p>
    <w:p>
      <w:r>
        <w:pict>
          <v:rect style="width:0;height:1.5pt" o:hralign="center" o:hrstd="t" o:hr="t"/>
        </w:pict>
      </w:r>
    </w:p>
    <w:bookmarkEnd w:id="105"/>
    <w:bookmarkEnd w:id="106"/>
    <w:bookmarkEnd w:id="107"/>
    <w:bookmarkStart w:id="121" w:name="X5828dd07a8ed888c622ac172e182d357754332f"/>
    <w:p>
      <w:pPr>
        <w:pStyle w:val="Heading2"/>
      </w:pPr>
      <w:r>
        <w:t xml:space="preserve">7. Physics-Awareness and the Creative-Engineering Divide</w:t>
      </w:r>
    </w:p>
    <w:p>
      <w:pPr>
        <w:pStyle w:val="FirstParagraph"/>
      </w:pPr>
      <w:r>
        <w:t xml:space="preserve">The most consequential fault line in AI-driven 3D modeling separates two domains that share a vocabulary but operate under fundamentally different rules. On one side sits creative 3D generation—game assets, visualization, concept art—where success means geometry that</w:t>
      </w:r>
      <w:r>
        <w:t xml:space="preserve"> </w:t>
      </w:r>
      <w:r>
        <w:rPr>
          <w:iCs/>
          <w:i/>
        </w:rPr>
        <w:t xml:space="preserve">looks right</w:t>
      </w:r>
      <w:r>
        <w:t xml:space="preserve">. On the other sits engineering design, where success means geometry that</w:t>
      </w:r>
      <w:r>
        <w:t xml:space="preserve"> </w:t>
      </w:r>
      <w:r>
        <w:rPr>
          <w:iCs/>
          <w:i/>
        </w:rPr>
        <w:t xml:space="preserve">performs right</w:t>
      </w:r>
      <w:r>
        <w:t xml:space="preserve">: sustaining loads without yielding, dissipating heat without failing, surviving millions of fatigue cycles. The former has generated billions in commercial value; the latter remains largely unsolved. This chapter examines why physics awareness is the gatekeeper to engineering-grade AI generation, surveys approaches attempting to bridge this gap, and analyzes the structural granularity mismatch that makes the problem harder than it appears.</w:t>
      </w:r>
    </w:p>
    <w:bookmarkStart w:id="110" w:name="Xba785eb7eb8fea102435207157cc2b7bd3cb9db"/>
    <w:p>
      <w:pPr>
        <w:pStyle w:val="Heading3"/>
      </w:pPr>
      <w:r>
        <w:t xml:space="preserve">7.1 The Dividing Line: Looks Right vs. Performs Right</w:t>
      </w:r>
    </w:p>
    <w:p>
      <w:pPr>
        <w:pStyle w:val="FirstParagraph"/>
      </w:pPr>
      <w:r>
        <w:t xml:space="preserve">The divide is not merely a difference in domain expertise—it is a difference in the nature of correctness itself. A game character’s armor can clip through the body mesh with no consequences; an aircraft bracket that clips through a fuel line destroys the airframe. AI systems optimized for visual fidelity have no inherent concept of stress concentrations, thermal gradients, or fatigue propagation. When they modify engineering geometry, they treat it as sculpture.</w:t>
      </w:r>
    </w:p>
    <w:bookmarkStart w:id="108" w:name="Xe38eca678785b0013688eddbd96138bfa630a8b"/>
    <w:p>
      <w:pPr>
        <w:pStyle w:val="Heading4"/>
      </w:pPr>
      <w:r>
        <w:t xml:space="preserve">7.1.1 MIT Structural Viability Study: The 26% Threshold</w:t>
      </w:r>
    </w:p>
    <w:p>
      <w:pPr>
        <w:pStyle w:val="FirstParagraph"/>
      </w:pPr>
      <w:r>
        <w:t xml:space="preserve">A formative study from MIT’s MechStyle project, published in January 2026, quantified this gap with precision. Researchers found that only approximately 26% of 3D models remained structurally viable after AI modification—meaning the AI system altered geometry without understanding the physics governing its performance</w:t>
      </w:r>
      <w:r>
        <w:t xml:space="preserve"> </w:t>
      </w:r>
      <w:fldSimple w:instr="NOTEREF _Ref_Footnote_19 \h \f">
        <w:r>
          <w:rPr>
            <w:vertAlign w:val="superscript"/>
          </w:rPr>
          <w:t>19</w:t>
        </w:r>
      </w:fldSimple>
      <w:r>
        <w:t xml:space="preserve">. The failures were not cosmetic: unsupported cantilevers, stress concentrations at sharp corners, material removed from load-bearing sections. The system was optimizing for something—likely visual or geometric similarity to a target description—but that objective function had no relationship to structural mechanics.</w:t>
      </w:r>
    </w:p>
    <w:p>
      <w:pPr>
        <w:pStyle w:val="BodyText"/>
      </w:pPr>
      <w:r>
        <w:t xml:space="preserve">The critical finding was that integrating finite element analysis (FEA) directly into the generative loop raised structural viability to 100% in testing</w:t>
      </w:r>
      <w:r>
        <w:t xml:space="preserve"> </w:t>
      </w:r>
      <w:fldSimple w:instr="NOTEREF _Ref_Footnote_19 \h \f">
        <w:r>
          <w:rPr>
            <w:vertAlign w:val="superscript"/>
          </w:rPr>
          <w:t>19</w:t>
        </w:r>
      </w:fldSimple>
      <w:r>
        <w:t xml:space="preserve">. This is a binary threshold, not incremental improvement. Without physics feedback, three-quarters of AI-modified engineering geometry is dangerous. The implication is stark: physics awareness is a foundational requirement, not a feature to be added later.</w:t>
      </w:r>
    </w:p>
    <w:p>
      <w:pPr>
        <w:pStyle w:val="BodyText"/>
      </w:pPr>
      <w:r>
        <w:t xml:space="preserve">The MIT study also illuminated what</w:t>
      </w:r>
      <w:r>
        <w:t xml:space="preserve"> </w:t>
      </w:r>
      <w:r>
        <w:t xml:space="preserve">“</w:t>
      </w:r>
      <w:r>
        <w:t xml:space="preserve">looks right</w:t>
      </w:r>
      <w:r>
        <w:t xml:space="preserve">”</w:t>
      </w:r>
      <w:r>
        <w:t xml:space="preserve"> </w:t>
      </w:r>
      <w:r>
        <w:t xml:space="preserve">misses. Visual assessment cannot detect stress concentrations at fillet transitions, fatigue initiation points at surface imperfections, or thermal gradient distributions across complex geometries. These are continuous field phenomena that exist independently of visual appearance. An AI-generated bracket may look plausible yet fail at 12% of its rated load—a failure mode invisible to any visual critique mechanism.</w:t>
      </w:r>
    </w:p>
    <w:bookmarkEnd w:id="108"/>
    <w:bookmarkStart w:id="109" w:name="X2258839a34635fdaba5dd6c8f1aeaaab175dd5c"/>
    <w:p>
      <w:pPr>
        <w:pStyle w:val="Heading4"/>
      </w:pPr>
      <w:r>
        <w:t xml:space="preserve">7.1.2 FEABench: No LLM Solves Any FEA Problem End-to-End</w:t>
      </w:r>
    </w:p>
    <w:p>
      <w:pPr>
        <w:pStyle w:val="FirstParagraph"/>
      </w:pPr>
      <w:r>
        <w:t xml:space="preserve">If the MIT study exposed the gap in geometry modification, FEABench—developed by Google Research and Harvard and published in April 2025—exposed the even deeper gap in physics reasoning itself. FEABench evaluates LLMs and LLM agents on their ability to simulate and solve physics, mathematics, and engineering problems using FEA software (COMSOL Multiphysics). The benchmark includes two tiers: FEABench Gold, comprising 15 manually verified problems, and FEABench Large, with 200 algorithmically parsed problems spanning structural mechanics, heat transfer, and fluid dynamics</w:t>
      </w:r>
      <w:r>
        <w:t xml:space="preserve"> </w:t>
      </w:r>
      <w:r>
        <w:rPr>
          <w:vertAlign w:val="superscript"/>
        </w:rPr>
        <w:footnoteReference w:id="89"/>
      </w:r>
      <w:r>
        <w:t xml:space="preserve">.</w:t>
      </w:r>
    </w:p>
    <w:p>
      <w:pPr>
        <w:pStyle w:val="BodyText"/>
      </w:pPr>
      <w:r>
        <w:t xml:space="preserve">The results are sobering. The best-performing strategy, using a multi-agent system with ControllerAgent, CorrectorSubAgent, and ToolLookupAgent, generated executable API calls 88% of the time</w:t>
      </w:r>
      <w:r>
        <w:t xml:space="preserve"> </w:t>
      </w:r>
      <w:r>
        <w:rPr>
          <w:vertAlign w:val="superscript"/>
        </w:rPr>
        <w:footnoteReference w:id="90"/>
      </w:r>
      <w:r>
        <w:t xml:space="preserve">. Yet not a single model completely and correctly solved even one problem end-to-end</w:t>
      </w:r>
      <w:r>
        <w:t xml:space="preserve"> </w:t>
      </w:r>
      <w:fldSimple w:instr="NOTEREF _Ref_Footnote_89 \h \f">
        <w:r>
          <w:rPr>
            <w:vertAlign w:val="superscript"/>
          </w:rPr>
          <w:t>89</w:t>
        </w:r>
      </w:fldSimple>
      <w:r>
        <w:t xml:space="preserve">. Claude 3.5 led executability at 79% but achieved only 1 of 15 valid target solutions. Open-source models struggled particularly with boundary condition specification, revealing that the problem is not API syntax but conceptual understanding of physical systems</w:t>
      </w:r>
      <w:r>
        <w:t xml:space="preserve"> </w:t>
      </w:r>
      <w:fldSimple w:instr="NOTEREF _Ref_Footnote_90 \h \f">
        <w:r>
          <w:rPr>
            <w:vertAlign w:val="superscript"/>
          </w:rPr>
          <w:t>90</w:t>
        </w:r>
      </w:fldSimple>
      <w:r>
        <w:t xml:space="preserve">.</w:t>
      </w:r>
    </w:p>
    <w:p>
      <w:pPr>
        <w:pStyle w:val="BodyText"/>
      </w:pPr>
      <w:r>
        <w:t xml:space="preserve">FEABench exposes a critical distinction between</w:t>
      </w:r>
      <w:r>
        <w:t xml:space="preserve"> </w:t>
      </w:r>
      <w:r>
        <w:rPr>
          <w:iCs/>
          <w:i/>
        </w:rPr>
        <w:t xml:space="preserve">physics-aware</w:t>
      </w:r>
      <w:r>
        <w:t xml:space="preserve"> </w:t>
      </w:r>
      <w:r>
        <w:t xml:space="preserve">and</w:t>
      </w:r>
      <w:r>
        <w:t xml:space="preserve"> </w:t>
      </w:r>
      <w:r>
        <w:rPr>
          <w:iCs/>
          <w:i/>
        </w:rPr>
        <w:t xml:space="preserve">physics-capable</w:t>
      </w:r>
      <w:r>
        <w:t xml:space="preserve">. An LLM that can name Newton’s laws is not physics-capable. An LLM that can define boundary conditions, select element types, interpret convergence criteria, and extract meaningful results from an FEA solver is physics-capable. Current systems sit between these categories—nowhere near the latter.</w:t>
      </w:r>
    </w:p>
    <w:bookmarkEnd w:id="109"/>
    <w:bookmarkEnd w:id="110"/>
    <w:bookmarkStart w:id="117" w:name="approaches-to-physics-aware-generation"/>
    <w:p>
      <w:pPr>
        <w:pStyle w:val="Heading3"/>
      </w:pPr>
      <w:r>
        <w:t xml:space="preserve">7.2 Approaches to Physics-Aware Generation</w:t>
      </w:r>
    </w:p>
    <w:p>
      <w:pPr>
        <w:pStyle w:val="FirstParagraph"/>
      </w:pPr>
      <w:r>
        <w:t xml:space="preserve">Despite these limitations, a convergent research and commercial front is emerging around physics-aware generation. Three approaches, spanning the commercial-to-academic spectrum, illustrate the state of the art in embedding physical correctness into AI-driven design loops.</w:t>
      </w:r>
    </w:p>
    <w:bookmarkStart w:id="111" w:name="neural-concept-the-physics-aware-copilot"/>
    <w:p>
      <w:pPr>
        <w:pStyle w:val="Heading4"/>
      </w:pPr>
      <w:r>
        <w:t xml:space="preserve">7.2.1 Neural Concept: The Physics-Aware Copilot</w:t>
      </w:r>
    </w:p>
    <w:p>
      <w:pPr>
        <w:pStyle w:val="FirstParagraph"/>
      </w:pPr>
      <w:r>
        <w:t xml:space="preserve">Neural Concept represents the most commercially mature entrant in physics-aware AI design. Its AI Design Copilot, unveiled at CES 2026, is the first enterprise-scale solution combining spatial reasoning, physics awareness, and CAD-ready geometry generation</w:t>
      </w:r>
      <w:r>
        <w:t xml:space="preserve"> </w:t>
      </w:r>
      <w:r>
        <w:rPr>
          <w:vertAlign w:val="superscript"/>
        </w:rPr>
        <w:footnoteReference w:id="91"/>
      </w:r>
      <w:r>
        <w:t xml:space="preserve">. The platform enables engineers to explore 10 to 1,000 times more design variants per iteration, compressing weeks of manual modeling into minutes</w:t>
      </w:r>
      <w:r>
        <w:t xml:space="preserve"> </w:t>
      </w:r>
      <w:r>
        <w:rPr>
          <w:vertAlign w:val="superscript"/>
        </w:rPr>
        <w:footnoteReference w:id="92"/>
      </w:r>
      <w:r>
        <w:t xml:space="preserve">. The system integrates with multi-physics simulations spanning thermal analysis, CFD, crash simulation, and electromagnetics</w:t>
      </w:r>
      <w:r>
        <w:t xml:space="preserve"> </w:t>
      </w:r>
      <w:fldSimple w:instr="NOTEREF _Ref_Footnote_92 \h \f">
        <w:r>
          <w:rPr>
            <w:vertAlign w:val="superscript"/>
          </w:rPr>
          <w:t>92</w:t>
        </w:r>
      </w:fldSimple>
      <w:r>
        <w:t xml:space="preserve">.</w:t>
      </w:r>
    </w:p>
    <w:p>
      <w:pPr>
        <w:pStyle w:val="BodyText"/>
      </w:pPr>
      <w:r>
        <w:t xml:space="preserve">Neural Concept raised $100 million in a Series C led by Goldman Sachs and serves 50+ enterprise customers including Subaru, GM, JLR, GE, Leonardo Aerospace, and four Formula 1 teams</w:t>
      </w:r>
      <w:r>
        <w:t xml:space="preserve"> </w:t>
      </w:r>
      <w:fldSimple w:instr="NOTEREF _Ref_Footnote_91 \h \f">
        <w:r>
          <w:rPr>
            <w:vertAlign w:val="superscript"/>
          </w:rPr>
          <w:t>91</w:t>
        </w:r>
      </w:fldSimple>
      <w:r>
        <w:t xml:space="preserve">. Every client operates in domains where physics failure carries catastrophic costs. This is not a rapid prototyping tool; it is a system for engineering decisions.</w:t>
      </w:r>
    </w:p>
    <w:p>
      <w:pPr>
        <w:pStyle w:val="BodyText"/>
      </w:pPr>
      <w:r>
        <w:rPr>
          <w:bCs/>
          <w:b/>
        </w:rPr>
        <w:t xml:space="preserve">Case Study: JLR’s Evaluation Pipeline—From 50 to 1,500 Designs per Day</w:t>
      </w:r>
    </w:p>
    <w:p>
      <w:pPr>
        <w:pStyle w:val="BodyText"/>
      </w:pPr>
      <w:r>
        <w:t xml:space="preserve">Jaguar Land Rover’s deployment of Neural Concept within aerodynamic engineering workflows at production scale offers the most detailed public example of physics-aware AI in production automotive engineering. JLR reported increasing design evaluations from approximately 50 to approximately 1,500 per day—a 30-fold expansion of the design exploration envelope</w:t>
      </w:r>
      <w:r>
        <w:t xml:space="preserve"> </w:t>
      </w:r>
      <w:r>
        <w:rPr>
          <w:vertAlign w:val="superscript"/>
        </w:rPr>
        <w:footnoteReference w:id="93"/>
      </w:r>
      <w:r>
        <w:t xml:space="preserve">.</w:t>
      </w:r>
    </w:p>
    <w:p>
      <w:pPr>
        <w:pStyle w:val="BodyText"/>
      </w:pPr>
      <w:r>
        <w:t xml:space="preserve">The deployment’s credibility rests on validation methodology. JLR’s AI-generated designs were evaluated against both CFD simulations and physical wind tunnel testing, with aligned results across both modalities</w:t>
      </w:r>
      <w:r>
        <w:t xml:space="preserve"> </w:t>
      </w:r>
      <w:fldSimple w:instr="NOTEREF _Ref_Footnote_93 \h \f">
        <w:r>
          <w:rPr>
            <w:vertAlign w:val="superscript"/>
          </w:rPr>
          <w:t>93</w:t>
        </w:r>
      </w:fldSimple>
      <w:r>
        <w:t xml:space="preserve">. The underlying models were trained on industrial-scale datasets comprising up to 20,000 simulations per case, with up to 1 billion data points per case</w:t>
      </w:r>
      <w:r>
        <w:t xml:space="preserve"> </w:t>
      </w:r>
      <w:fldSimple w:instr="NOTEREF _Ref_Footnote_93 \h \f">
        <w:r>
          <w:rPr>
            <w:vertAlign w:val="superscript"/>
          </w:rPr>
          <w:t>93</w:t>
        </w:r>
      </w:fldSimple>
      <w:r>
        <w:t xml:space="preserve">. This scale distinguishes production-grade systems from research prototypes: the models learn not from geometric patterns alone but from the mapping between geometry and physical response.</w:t>
      </w:r>
    </w:p>
    <w:p>
      <w:pPr>
        <w:pStyle w:val="BodyText"/>
      </w:pPr>
      <w:r>
        <w:t xml:space="preserve">The JLR deployment answers the trust question that blocks most AI adoption in engineering. Aerodynamic decisions affect fuel efficiency, stability, and acoustic performance—errors are expensive and visible. By validating AI-generated candidates against both CFD and wind tunnel data, JLR established a closed-loop verification chain that makes AI output actionable for real engineering decisions. Neural Concept reports this approach cuts manual workload by up to 90% while maintaining production fidelity standards</w:t>
      </w:r>
      <w:r>
        <w:t xml:space="preserve"> </w:t>
      </w:r>
      <w:fldSimple w:instr="NOTEREF _Ref_Footnote_91 \h \f">
        <w:r>
          <w:rPr>
            <w:vertAlign w:val="superscript"/>
          </w:rPr>
          <w:t>91</w:t>
        </w:r>
      </w:fldSimple>
      <w:r>
        <w:t xml:space="preserve">.</w:t>
      </w:r>
    </w:p>
    <w:p>
      <w:pPr>
        <w:pStyle w:val="BodyText"/>
      </w:pPr>
      <w:r>
        <w:t xml:space="preserve">The taxonomy of physics-aware generation (PAG) classifies Neural Concept’s approach as PAG-E (physics-aware generation with explicit physical simulation), specifically following the Generation and Simulation (GnS) paradigm, where generation and simulation operate as coupled processes in an iterative loop</w:t>
      </w:r>
      <w:r>
        <w:t xml:space="preserve"> </w:t>
      </w:r>
      <w:r>
        <w:rPr>
          <w:vertAlign w:val="superscript"/>
        </w:rPr>
        <w:footnoteReference w:id="94"/>
      </w:r>
      <w:r>
        <w:t xml:space="preserve">. This contrasts with the Generation to Simulation (GtS) approach, where geometry is generated first and analyzed second—a pipeline that the MIT study showed fails 74% of the time.</w:t>
      </w:r>
    </w:p>
    <w:bookmarkEnd w:id="111"/>
    <w:bookmarkStart w:id="112" w:name="X59cc1973e72d2ab062b1943984258e32f4b6ca0"/>
    <w:p>
      <w:pPr>
        <w:pStyle w:val="Heading4"/>
      </w:pPr>
      <w:r>
        <w:t xml:space="preserve">7.2.2 FeaGPT: The GMSA Pipeline for Structural Analysis</w:t>
      </w:r>
    </w:p>
    <w:p>
      <w:pPr>
        <w:pStyle w:val="FirstParagraph"/>
      </w:pPr>
      <w:r>
        <w:t xml:space="preserve">Where Neural Concept operates at the commercial engineering tier, FeaGPT (October 2025) represents the academic frontier in physics-aware automation. FeaGPT is the first framework to achieve complete geometry-mesh-simulation workflows through conversational interfaces, implementing a fully integrated Geometry-Mesh-Simulation-Analysis (GMSA) pipeline that transforms engineering specifications into validated computational results without manual intervention</w:t>
      </w:r>
      <w:r>
        <w:t xml:space="preserve"> </w:t>
      </w:r>
      <w:r>
        <w:rPr>
          <w:vertAlign w:val="superscript"/>
        </w:rPr>
        <w:footnoteReference w:id="95"/>
      </w:r>
      <w:r>
        <w:t xml:space="preserve">.</w:t>
      </w:r>
    </w:p>
    <w:p>
      <w:pPr>
        <w:pStyle w:val="BodyText"/>
      </w:pPr>
      <w:r>
        <w:t xml:space="preserve">The GMSA pipeline decomposes the FEA workflow into four stages orchestrated by LLM agents: geometry interpretation from natural language descriptions, automatic generation of physics-aware adaptive meshes, configuration of complete simulations with boundary condition inference, and multi-objective analysis through closed-loop iteration</w:t>
      </w:r>
      <w:r>
        <w:t xml:space="preserve"> </w:t>
      </w:r>
      <w:fldSimple w:instr="NOTEREF _Ref_Footnote_95 \h \f">
        <w:r>
          <w:rPr>
            <w:vertAlign w:val="superscript"/>
          </w:rPr>
          <w:t>95</w:t>
        </w:r>
      </w:fldSimple>
      <w:r>
        <w:t xml:space="preserve">. The system validated on industrial turbocharger cases—including a 7-blade compressor and 12-blade turbine at 110,000 RPM—producing physically realistic results via CalculiX simulations. Additionally, FeaGPT explored 432 NACA airfoil configurations for parametric design exploration</w:t>
      </w:r>
      <w:r>
        <w:t xml:space="preserve"> </w:t>
      </w:r>
      <w:fldSimple w:instr="NOTEREF _Ref_Footnote_95 \h \f">
        <w:r>
          <w:rPr>
            <w:vertAlign w:val="superscript"/>
          </w:rPr>
          <w:t>95</w:t>
        </w:r>
      </w:fldSimple>
      <w:r>
        <w:t xml:space="preserve">.</w:t>
      </w:r>
    </w:p>
    <w:p>
      <w:pPr>
        <w:pStyle w:val="BodyText"/>
      </w:pPr>
      <w:r>
        <w:t xml:space="preserve">FeaGPT’s significance lies in its architecture. By embedding simulation feedback into every iteration, the GMSA pipeline treats physical correctness as a constraint rather than a post-hoc check—the same principle that raised structural viability from 26% to 100% in the MIT study</w:t>
      </w:r>
      <w:r>
        <w:t xml:space="preserve"> </w:t>
      </w:r>
      <w:fldSimple w:instr="NOTEREF _Ref_Footnote_19 \h \f">
        <w:r>
          <w:rPr>
            <w:vertAlign w:val="superscript"/>
          </w:rPr>
          <w:t>19</w:t>
        </w:r>
      </w:fldSimple>
      <w:r>
        <w:t xml:space="preserve">, generalized across a broader class of physics problems. The framework demonstrates that natural language interfaces can democratize access to advanced engineering tools while preserving analytical rigor</w:t>
      </w:r>
      <w:r>
        <w:t xml:space="preserve"> </w:t>
      </w:r>
      <w:fldSimple w:instr="NOTEREF _Ref_Footnote_95 \h \f">
        <w:r>
          <w:rPr>
            <w:vertAlign w:val="superscript"/>
          </w:rPr>
          <w:t>95</w:t>
        </w:r>
      </w:fldSimple>
      <w:r>
        <w:t xml:space="preserve">.</w:t>
      </w:r>
    </w:p>
    <w:bookmarkEnd w:id="112"/>
    <w:bookmarkStart w:id="116" w:name="X9974b3c38f6e7a45d4b384dfb480a078a5212e0"/>
    <w:p>
      <w:pPr>
        <w:pStyle w:val="Heading4"/>
      </w:pPr>
      <w:r>
        <w:t xml:space="preserve">7.2.3 SEG: Support-Effective Generation for Additive Manufacturing</w:t>
      </w:r>
    </w:p>
    <w:p>
      <w:pPr>
        <w:pStyle w:val="FirstParagraph"/>
      </w:pPr>
      <w:r>
        <w:t xml:space="preserve">The third approach addresses physics awareness at the manufacturing-process level rather than the structural-performance level. SEG (Support-Effective Generation), introduced in late 2025, is the first framework to refine generative models for support-efficient design in additive manufacturing</w:t>
      </w:r>
      <w:r>
        <w:t xml:space="preserve"> </w:t>
      </w:r>
      <w:fldSimple w:instr="NOTEREF _Ref_Footnote_14 \h \f">
        <w:r>
          <w:rPr>
            <w:vertAlign w:val="superscript"/>
          </w:rPr>
          <w:t>14</w:t>
        </w:r>
      </w:fldSimple>
      <w:r>
        <w:t xml:space="preserve">. Current text-to-3D models ignore printability constraints, producing geometries with excessive overhangs that require wasteful support structures</w:t>
      </w:r>
      <w:r>
        <w:t xml:space="preserve"> </w:t>
      </w:r>
      <w:fldSimple w:instr="NOTEREF _Ref_Footnote_14 \h \f">
        <w:r>
          <w:rPr>
            <w:vertAlign w:val="superscript"/>
          </w:rPr>
          <w:t>14</w:t>
        </w:r>
      </w:fldSimple>
      <w:r>
        <w:t xml:space="preserve">. SEG embeds slicer-awareness—specifically overhang angle constraints, typically 45 degrees for fused deposition modeling—directly into the generation process.</w:t>
      </w:r>
    </w:p>
    <w:p>
      <w:pPr>
        <w:pStyle w:val="BodyText"/>
      </w:pPr>
      <w:r>
        <w:t xml:space="preserve">Overhang constraints are essential for minimizing supports, reducing material usage, post-processing time, and overall costs</w:t>
      </w:r>
      <w:r>
        <w:t xml:space="preserve"> </w:t>
      </w:r>
      <w:r>
        <w:rPr>
          <w:vertAlign w:val="superscript"/>
        </w:rPr>
        <w:footnoteReference w:id="96"/>
      </w:r>
      <w:r>
        <w:t xml:space="preserve">. Patent analysis across 55+ filings by Autodesk, Dassault Systemes, Boeing, Siemens, and Zhejiang University confirms that the highest-impact approaches integrate manufacturability constraints directly into the topology optimization objective, consistent with ISO design-for-manufacture guidelines</w:t>
      </w:r>
      <w:r>
        <w:t xml:space="preserve"> </w:t>
      </w:r>
      <w:r>
        <w:rPr>
          <w:vertAlign w:val="superscript"/>
        </w:rPr>
        <w:footnoteReference w:id="97"/>
      </w:r>
      <w:r>
        <w:t xml:space="preserve">. Graph Neural Network-based topology optimization has demonstrated simultaneous enforcement of self-supporting structures, stress constraints, and volume fraction in a single optimization pass</w:t>
      </w:r>
      <w:r>
        <w:t xml:space="preserve"> </w:t>
      </w:r>
      <w:r>
        <w:rPr>
          <w:vertAlign w:val="superscript"/>
        </w:rPr>
        <w:footnoteReference w:id="98"/>
      </w:r>
      <w:r>
        <w:t xml:space="preserve">.</w:t>
      </w:r>
    </w:p>
    <w:p>
      <w:pPr>
        <w:pStyle w:val="BodyText"/>
      </w:pPr>
      <w:r>
        <w:t xml:space="preserve">SEG represents a critical recognition: physics awareness must span not only</w:t>
      </w:r>
      <w:r>
        <w:t xml:space="preserve"> </w:t>
      </w:r>
      <w:r>
        <w:rPr>
          <w:iCs/>
          <w:i/>
        </w:rPr>
        <w:t xml:space="preserve">performance</w:t>
      </w:r>
      <w:r>
        <w:t xml:space="preserve"> </w:t>
      </w:r>
      <w:r>
        <w:t xml:space="preserve">physics (will it survive loading?) but also</w:t>
      </w:r>
      <w:r>
        <w:t xml:space="preserve"> </w:t>
      </w:r>
      <w:r>
        <w:rPr>
          <w:iCs/>
          <w:i/>
        </w:rPr>
        <w:t xml:space="preserve">process</w:t>
      </w:r>
      <w:r>
        <w:t xml:space="preserve"> </w:t>
      </w:r>
      <w:r>
        <w:t xml:space="preserve">physics (can it be manufactured?). These are different constraint sets, and both must be satisfied.</w:t>
      </w:r>
    </w:p>
    <w:p>
      <w:pPr>
        <w:pStyle w:val="CaptionedFigure"/>
      </w:pPr>
      <w:r>
        <w:drawing>
          <wp:inline>
            <wp:extent cx="5334000" cy="2887335"/>
            <wp:effectExtent b="0" l="0" r="0" t="0"/>
            <wp:docPr descr="Figure 7.1" title="" id="114" name="Picture"/>
            <a:graphic>
              <a:graphicData uri="http://schemas.openxmlformats.org/drawingml/2006/picture">
                <pic:pic>
                  <pic:nvPicPr>
                    <pic:cNvPr descr="fig_7_1_failure_cascade.png" id="115" name="Picture"/>
                    <pic:cNvPicPr>
                      <a:picLocks noChangeArrowheads="1" noChangeAspect="1"/>
                    </pic:cNvPicPr>
                  </pic:nvPicPr>
                  <pic:blipFill>
                    <a:blip r:embed="rId113"/>
                    <a:stretch>
                      <a:fillRect/>
                    </a:stretch>
                  </pic:blipFill>
                  <pic:spPr bwMode="auto">
                    <a:xfrm>
                      <a:off x="0" y="0"/>
                      <a:ext cx="5334000" cy="2887335"/>
                    </a:xfrm>
                    <a:prstGeom prst="rect">
                      <a:avLst/>
                    </a:prstGeom>
                    <a:noFill/>
                    <a:ln w="9525">
                      <a:noFill/>
                      <a:headEnd/>
                      <a:tailEnd/>
                    </a:ln>
                  </pic:spPr>
                </pic:pic>
              </a:graphicData>
            </a:graphic>
          </wp:inline>
        </w:drawing>
      </w:r>
    </w:p>
    <w:p>
      <w:pPr>
        <w:pStyle w:val="ImageCaption"/>
      </w:pPr>
      <w:r>
        <w:t xml:space="preserve">Figure 7.1</w:t>
      </w:r>
    </w:p>
    <w:p>
      <w:pPr>
        <w:pStyle w:val="BodyText"/>
      </w:pPr>
      <w:r>
        <w:rPr>
          <w:iCs/>
          <w:i/>
        </w:rPr>
        <w:t xml:space="preserve">Figure 7.1: The failure cascade in AI-driven CAD generation, measured by the MUSE benchmark (2026). Performance degrades at each stage—from code executability through geometric validity to functionality, manufacturability, and assemblability—with closed-source models achieving only 28% on assemblability and open-source models reaching just 4%. Data source: MUSE benchmark</w:t>
      </w:r>
      <w:r>
        <w:rPr>
          <w:iCs/>
          <w:i/>
        </w:rPr>
        <w:t xml:space="preserve"> </w:t>
      </w:r>
      <w:fldSimple w:instr="NOTEREF _Ref_Footnote_12 \h \f">
        <w:r>
          <w:rPr>
            <w:vertAlign w:val="superscript"/>
          </w:rPr>
          <w:t>12</w:t>
        </w:r>
      </w:fldSimple>
      <w:r>
        <w:rPr>
          <w:iCs/>
          <w:i/>
        </w:rPr>
        <w:t xml:space="preserve">.</w:t>
      </w:r>
    </w:p>
    <w:bookmarkEnd w:id="116"/>
    <w:bookmarkEnd w:id="117"/>
    <w:bookmarkStart w:id="120" w:name="the-granularity-mismatch-problem"/>
    <w:p>
      <w:pPr>
        <w:pStyle w:val="Heading3"/>
      </w:pPr>
      <w:r>
        <w:t xml:space="preserve">7.3 The Granularity Mismatch Problem</w:t>
      </w:r>
    </w:p>
    <w:p>
      <w:pPr>
        <w:pStyle w:val="FirstParagraph"/>
      </w:pPr>
      <w:r>
        <w:t xml:space="preserve">Physics-aware generation is not simply a matter of connecting an LLM to a simulator. A deeper structural problem limits all current approaches: the granularity mismatch between how LLMs reason and how engineering systems represent constraints.</w:t>
      </w:r>
    </w:p>
    <w:bookmarkStart w:id="118" w:name="four-levels-of-reasoning-with-no-bridge"/>
    <w:p>
      <w:pPr>
        <w:pStyle w:val="Heading4"/>
      </w:pPr>
      <w:r>
        <w:t xml:space="preserve">7.3.1 Four Levels of Reasoning with No Bridge</w:t>
      </w:r>
    </w:p>
    <w:p>
      <w:pPr>
        <w:pStyle w:val="FirstParagraph"/>
      </w:pPr>
      <w:r>
        <w:t xml:space="preserve">LLMs operate at the token level—sub-word units that carry no intrinsic geometric or physical meaning. CAD systems operate at the feature level—sketches, extrusions, fillets, and chamfers that encode constructive intent. Manufacturing operates at the tolerance level—micron-scale deviations governed by geometric dimensioning and tolerancing (GD&amp;T) standards such as those embedded in STEP AP242 Edition 2</w:t>
      </w:r>
      <w:r>
        <w:t xml:space="preserve"> </w:t>
      </w:r>
      <w:fldSimple w:instr="NOTEREF _Ref_Footnote_73 \h \f">
        <w:r>
          <w:rPr>
            <w:vertAlign w:val="superscript"/>
          </w:rPr>
          <w:t>73</w:t>
        </w:r>
      </w:fldSimple>
      <w:r>
        <w:t xml:space="preserve">. Physics operates at the continuous field level—stress distributions, thermal gradients, and velocity fields defined over infinite sets of points within a domain.</w:t>
      </w:r>
    </w:p>
    <w:p>
      <w:pPr>
        <w:pStyle w:val="BodyText"/>
      </w:pPr>
      <w:r>
        <w:rPr>
          <w:bCs/>
          <w:b/>
        </w:rPr>
        <w:t xml:space="preserve">Table 7.1: The Granularity Mismatch—Reasoning Levels and Failure Modes in AI-Driven Engineering Design</w:t>
      </w:r>
    </w:p>
    <w:tbl>
      <w:tblPr>
        <w:tblStyle w:val="Table"/>
        <w:tblW w:type="pct" w:w="5000"/>
        <w:tblLook w:firstRow="1" w:lastRow="0" w:firstColumn="0" w:lastColumn="0" w:noHBand="0" w:noVBand="0" w:val="0020"/>
      </w:tblPr>
      <w:tblGrid>
        <w:gridCol w:w="583"/>
        <w:gridCol w:w="1834"/>
        <w:gridCol w:w="1584"/>
        <w:gridCol w:w="3918"/>
      </w:tblGrid>
      <w:tr>
        <w:trPr>
          <w:tblHeader w:val="true"/>
        </w:trPr>
        <w:tc>
          <w:tcPr/>
          <w:p>
            <w:pPr>
              <w:pStyle w:val="Compact"/>
              <w:jc w:val="left"/>
            </w:pPr>
            <w:r>
              <w:t xml:space="preserve">Level</w:t>
            </w:r>
          </w:p>
        </w:tc>
        <w:tc>
          <w:tcPr/>
          <w:p>
            <w:pPr>
              <w:pStyle w:val="Compact"/>
              <w:jc w:val="left"/>
            </w:pPr>
            <w:r>
              <w:t xml:space="preserve">Native Representation</w:t>
            </w:r>
          </w:p>
        </w:tc>
        <w:tc>
          <w:tcPr/>
          <w:p>
            <w:pPr>
              <w:pStyle w:val="Compact"/>
              <w:jc w:val="left"/>
            </w:pPr>
            <w:r>
              <w:t xml:space="preserve">Typical Operations</w:t>
            </w:r>
          </w:p>
        </w:tc>
        <w:tc>
          <w:tcPr/>
          <w:p>
            <w:pPr>
              <w:pStyle w:val="Compact"/>
              <w:jc w:val="left"/>
            </w:pPr>
            <w:r>
              <w:t xml:space="preserve">Failure Mode When Transitioning to Next Level</w:t>
            </w:r>
          </w:p>
        </w:tc>
      </w:tr>
      <w:tr>
        <w:tc>
          <w:tcPr/>
          <w:p>
            <w:pPr>
              <w:pStyle w:val="Compact"/>
              <w:jc w:val="left"/>
            </w:pPr>
            <w:r>
              <w:t xml:space="preserve">Token-level (LLM)</w:t>
            </w:r>
          </w:p>
        </w:tc>
        <w:tc>
          <w:tcPr/>
          <w:p>
            <w:pPr>
              <w:pStyle w:val="Compact"/>
              <w:jc w:val="left"/>
            </w:pPr>
            <w:r>
              <w:t xml:space="preserve">Sub-word tokens (e.g.,</w:t>
            </w:r>
            <w:r>
              <w:t xml:space="preserve"> </w:t>
            </w:r>
            <w:r>
              <w:t xml:space="preserve">“</w:t>
            </w:r>
            <w:r>
              <w:t xml:space="preserve">extr</w:t>
            </w:r>
            <w:r>
              <w:t xml:space="preserve">”</w:t>
            </w:r>
            <w:r>
              <w:t xml:space="preserve">,</w:t>
            </w:r>
            <w:r>
              <w:t xml:space="preserve"> </w:t>
            </w:r>
            <w:r>
              <w:t xml:space="preserve">“</w:t>
            </w:r>
            <w:r>
              <w:t xml:space="preserve">ude</w:t>
            </w:r>
            <w:r>
              <w:t xml:space="preserve">”</w:t>
            </w:r>
            <w:r>
              <w:t xml:space="preserve">)</w:t>
            </w:r>
          </w:p>
        </w:tc>
        <w:tc>
          <w:tcPr/>
          <w:p>
            <w:pPr>
              <w:pStyle w:val="Compact"/>
              <w:jc w:val="left"/>
            </w:pPr>
            <w:r>
              <w:t xml:space="preserve">Next-token prediction, attention patterns</w:t>
            </w:r>
          </w:p>
        </w:tc>
        <w:tc>
          <w:tcPr/>
          <w:p>
            <w:pPr>
              <w:pStyle w:val="Compact"/>
              <w:jc w:val="left"/>
            </w:pPr>
            <w:r>
              <w:t xml:space="preserve">LLM produces syntactically valid code with no geometric meaning; 100% VSR can yield 0% functional parts</w:t>
            </w:r>
            <w:r>
              <w:t xml:space="preserve"> </w:t>
            </w:r>
            <w:fldSimple w:instr="NOTEREF _Ref_Footnote_12 \h \f">
              <w:r>
                <w:rPr>
                  <w:vertAlign w:val="superscript"/>
                </w:rPr>
                <w:t>12</w:t>
              </w:r>
            </w:fldSimple>
          </w:p>
        </w:tc>
      </w:tr>
      <w:tr>
        <w:tc>
          <w:tcPr/>
          <w:p>
            <w:pPr>
              <w:pStyle w:val="Compact"/>
              <w:jc w:val="left"/>
            </w:pPr>
            <w:r>
              <w:t xml:space="preserve">Feature-level (CAD)</w:t>
            </w:r>
          </w:p>
        </w:tc>
        <w:tc>
          <w:tcPr/>
          <w:p>
            <w:pPr>
              <w:pStyle w:val="Compact"/>
              <w:jc w:val="left"/>
            </w:pPr>
            <w:r>
              <w:t xml:space="preserve">Sketches, extrusions, fillets, B-Rep primitives</w:t>
            </w:r>
          </w:p>
        </w:tc>
        <w:tc>
          <w:tcPr/>
          <w:p>
            <w:pPr>
              <w:pStyle w:val="Compact"/>
              <w:jc w:val="left"/>
            </w:pPr>
            <w:r>
              <w:t xml:space="preserve">Boolean operations, parametric sweeps, chamfers</w:t>
            </w:r>
          </w:p>
        </w:tc>
        <w:tc>
          <w:tcPr/>
          <w:p>
            <w:pPr>
              <w:pStyle w:val="Compact"/>
              <w:jc w:val="left"/>
            </w:pPr>
            <w:r>
              <w:t xml:space="preserve">Topological Naming Problem creates</w:t>
            </w:r>
            <w:r>
              <w:t xml:space="preserve"> </w:t>
            </w:r>
            <m:oMath>
              <m:r>
                <m:t>O</m:t>
              </m:r>
              <m:d>
                <m:dPr>
                  <m:begChr m:val="("/>
                  <m:endChr m:val=")"/>
                  <m:sepChr m:val=""/>
                  <m:grow/>
                </m:dPr>
                <m:e>
                  <m:sSup>
                    <m:e>
                      <m:r>
                        <m:t>V</m:t>
                      </m:r>
                    </m:e>
                    <m:sup>
                      <m:r>
                        <m:t>2</m:t>
                      </m:r>
                    </m:sup>
                  </m:sSup>
                  <m:r>
                    <m:rPr>
                      <m:sty m:val="p"/>
                    </m:rPr>
                    <m:t>∥</m:t>
                  </m:r>
                  <m:r>
                    <m:t>E</m:t>
                  </m:r>
                  <m:r>
                    <m:rPr>
                      <m:sty m:val="p"/>
                    </m:rPr>
                    <m:t>∥</m:t>
                  </m:r>
                </m:e>
              </m:d>
            </m:oMath>
            <w:r>
              <w:t xml:space="preserve"> </w:t>
            </w:r>
            <w:r>
              <w:t xml:space="preserve">search space; fillets omitted due to class imbalance in training data</w:t>
            </w:r>
          </w:p>
        </w:tc>
      </w:tr>
      <w:tr>
        <w:tc>
          <w:tcPr/>
          <w:p>
            <w:pPr>
              <w:pStyle w:val="Compact"/>
              <w:jc w:val="left"/>
            </w:pPr>
            <w:r>
              <w:t xml:space="preserve">Tolerance-level (GD&amp;T)</w:t>
            </w:r>
          </w:p>
        </w:tc>
        <w:tc>
          <w:tcPr/>
          <w:p>
            <w:pPr>
              <w:pStyle w:val="Compact"/>
              <w:jc w:val="left"/>
            </w:pPr>
            <w:r>
              <w:t xml:space="preserve">Micron-scale deviations, datum references, fit classes</w:t>
            </w:r>
          </w:p>
        </w:tc>
        <w:tc>
          <w:tcPr/>
          <w:p>
            <w:pPr>
              <w:pStyle w:val="Compact"/>
              <w:jc w:val="left"/>
            </w:pPr>
            <w:r>
              <w:t xml:space="preserve">Tolerance stack analysis, manufacturability review</w:t>
            </w:r>
          </w:p>
        </w:tc>
        <w:tc>
          <w:tcPr/>
          <w:p>
            <w:pPr>
              <w:pStyle w:val="Compact"/>
              <w:jc w:val="left"/>
            </w:pPr>
            <w:r>
              <w:t xml:space="preserve">Allocation errors account for up to half of all rework and scrap costs; in some sectors these exceed 20% of revenue</w:t>
            </w:r>
            <w:r>
              <w:t xml:space="preserve"> </w:t>
            </w:r>
            <w:r>
              <w:rPr>
                <w:vertAlign w:val="superscript"/>
              </w:rPr>
              <w:footnoteReference w:id="99"/>
            </w:r>
          </w:p>
        </w:tc>
      </w:tr>
      <w:tr>
        <w:tc>
          <w:tcPr/>
          <w:p>
            <w:pPr>
              <w:pStyle w:val="Compact"/>
              <w:jc w:val="left"/>
            </w:pPr>
            <w:r>
              <w:t xml:space="preserve">Continuous field (Physics)</w:t>
            </w:r>
          </w:p>
        </w:tc>
        <w:tc>
          <w:tcPr/>
          <w:p>
            <w:pPr>
              <w:pStyle w:val="Compact"/>
              <w:jc w:val="left"/>
            </w:pPr>
            <w:r>
              <w:t xml:space="preserve">Stress/thermal/flow fields over</w:t>
            </w:r>
            <w:r>
              <w:t xml:space="preserve"> </w:t>
            </w:r>
            <m:oMath>
              <m:sSup>
                <m:e>
                  <m:r>
                    <m:rPr>
                      <m:sty m:val="p"/>
                      <m:scr m:val="double-struck"/>
                    </m:rPr>
                    <m:t>R</m:t>
                  </m:r>
                </m:e>
                <m:sup>
                  <m:r>
                    <m:t>3</m:t>
                  </m:r>
                </m:sup>
              </m:sSup>
            </m:oMath>
          </w:p>
        </w:tc>
        <w:tc>
          <w:tcPr/>
          <w:p>
            <w:pPr>
              <w:pStyle w:val="Compact"/>
              <w:jc w:val="left"/>
            </w:pPr>
            <w:r>
              <w:t xml:space="preserve">FEA, CFD, multiphysics simulation</w:t>
            </w:r>
          </w:p>
        </w:tc>
        <w:tc>
          <w:tcPr/>
          <w:p>
            <w:pPr>
              <w:pStyle w:val="Compact"/>
              <w:jc w:val="left"/>
            </w:pPr>
            <w:r>
              <w:t xml:space="preserve">No LLM solved any FEABench problem end-to-end; best models achieved 88% API executability but 0% correct solutions</w:t>
            </w:r>
            <w:r>
              <w:t xml:space="preserve"> </w:t>
            </w:r>
            <w:fldSimple w:instr="NOTEREF _Ref_Footnote_89 \h \f">
              <w:r>
                <w:rPr>
                  <w:vertAlign w:val="superscript"/>
                </w:rPr>
                <w:t>89</w:t>
              </w:r>
            </w:fldSimple>
          </w:p>
        </w:tc>
      </w:tr>
    </w:tbl>
    <w:p>
      <w:pPr>
        <w:pStyle w:val="BodyText"/>
      </w:pPr>
      <w:r>
        <w:t xml:space="preserve">Table 7.1 reveals why each transition introduces failures the previous level cannot detect. An LLM generating CadQuery code can produce syntactically perfect Python (token-level success) without understanding whether the resulting extrusion satisfies a ±0.05 mm tolerance requirement (tolerance-level failure). FutureCAD’s BRepGround component acknowledges this mismatch by separating code generation from primitive grounding, but even BRepGround operates at the feature-selection level, not the tolerance or physics level.</w:t>
      </w:r>
    </w:p>
    <w:p>
      <w:pPr>
        <w:pStyle w:val="BodyText"/>
      </w:pPr>
      <w:r>
        <w:t xml:space="preserve">The MUSE benchmark (2026) validates this cascade empirically. Performance degrades from code executability (68% for best closed-source models) through geometric validity (54%) to design-intent alignment (42/100 functionality, 35/100 manufacturability, 28/100 assemblability)</w:t>
      </w:r>
      <w:r>
        <w:t xml:space="preserve"> </w:t>
      </w:r>
      <w:fldSimple w:instr="NOTEREF _Ref_Footnote_12 \h \f">
        <w:r>
          <w:rPr>
            <w:vertAlign w:val="superscript"/>
          </w:rPr>
          <w:t>12</w:t>
        </w:r>
      </w:fldSimple>
      <w:r>
        <w:t xml:space="preserve">. Open-source models fare worse: approximately 3–4% on manufacturability and assemblability</w:t>
      </w:r>
      <w:r>
        <w:t xml:space="preserve"> </w:t>
      </w:r>
      <w:fldSimple w:instr="NOTEREF _Ref_Footnote_12 \h \f">
        <w:r>
          <w:rPr>
            <w:vertAlign w:val="superscript"/>
          </w:rPr>
          <w:t>12</w:t>
        </w:r>
      </w:fldSimple>
      <w:r>
        <w:t xml:space="preserve">. Text2CAD-Bench independently confirms that</w:t>
      </w:r>
      <w:r>
        <w:t xml:space="preserve"> </w:t>
      </w:r>
      <w:r>
        <w:t xml:space="preserve">“</w:t>
      </w:r>
      <w:r>
        <w:t xml:space="preserve">text-to-CAD remains largely unsolved beyond basic geometry,</w:t>
      </w:r>
      <w:r>
        <w:t xml:space="preserve">”</w:t>
      </w:r>
      <w:r>
        <w:t xml:space="preserve"> </w:t>
      </w:r>
      <w:r>
        <w:t xml:space="preserve">with models degrading substantially on L3 advanced features such as chamfers, fillets, sweeps, and lofts</w:t>
      </w:r>
      <w:r>
        <w:t xml:space="preserve"> </w:t>
      </w:r>
      <w:fldSimple w:instr="NOTEREF _Ref_Footnote_21 \h \f">
        <w:r>
          <w:rPr>
            <w:vertAlign w:val="superscript"/>
          </w:rPr>
          <w:t>21</w:t>
        </w:r>
      </w:fldSimple>
      <w:r>
        <w:t xml:space="preserve">.</w:t>
      </w:r>
    </w:p>
    <w:bookmarkEnd w:id="118"/>
    <w:bookmarkStart w:id="119" w:name="X6c329ba8078e7e9a996c0401f5b54861b513911"/>
    <w:p>
      <w:pPr>
        <w:pStyle w:val="Heading4"/>
      </w:pPr>
      <w:r>
        <w:t xml:space="preserve">7.3.2 Constraint Satisfaction as the True Bottleneck</w:t>
      </w:r>
    </w:p>
    <w:p>
      <w:pPr>
        <w:pStyle w:val="FirstParagraph"/>
      </w:pPr>
      <w:r>
        <w:t xml:space="preserve">The deepest insight across the physics-awareness literature is that generating 3D geometry from text is relatively easy; satisfying the constraints that make geometry useful is the hard problem. Engineering design is fundamentally an exercise in constrained optimization, and current AI systems treat constraints as afterthoughts.</w:t>
      </w:r>
    </w:p>
    <w:p>
      <w:pPr>
        <w:pStyle w:val="BodyText"/>
      </w:pPr>
      <w:r>
        <w:rPr>
          <w:bCs/>
          <w:b/>
        </w:rPr>
        <w:t xml:space="preserve">Table 7.2: Constraint Types and Current AI Handling Capability (2026)</w:t>
      </w:r>
    </w:p>
    <w:tbl>
      <w:tblPr>
        <w:tblStyle w:val="Table"/>
        <w:tblW w:type="pct" w:w="5000"/>
        <w:tblLook w:firstRow="1" w:lastRow="0" w:firstColumn="0" w:lastColumn="0" w:noHBand="0" w:noVBand="0" w:val="0020"/>
      </w:tblPr>
      <w:tblGrid>
        <w:gridCol w:w="1735"/>
        <w:gridCol w:w="1193"/>
        <w:gridCol w:w="1952"/>
        <w:gridCol w:w="3037"/>
      </w:tblGrid>
      <w:tr>
        <w:trPr>
          <w:tblHeader w:val="true"/>
        </w:trPr>
        <w:tc>
          <w:tcPr/>
          <w:p>
            <w:pPr>
              <w:pStyle w:val="Compact"/>
              <w:jc w:val="left"/>
            </w:pPr>
            <w:r>
              <w:t xml:space="preserve">Constraint Type</w:t>
            </w:r>
          </w:p>
        </w:tc>
        <w:tc>
          <w:tcPr/>
          <w:p>
            <w:pPr>
              <w:pStyle w:val="Compact"/>
              <w:jc w:val="left"/>
            </w:pPr>
            <w:r>
              <w:t xml:space="preserve">Definition</w:t>
            </w:r>
          </w:p>
        </w:tc>
        <w:tc>
          <w:tcPr/>
          <w:p>
            <w:pPr>
              <w:pStyle w:val="Compact"/>
              <w:jc w:val="left"/>
            </w:pPr>
            <w:r>
              <w:t xml:space="preserve">Current Handling</w:t>
            </w:r>
          </w:p>
        </w:tc>
        <w:tc>
          <w:tcPr/>
          <w:p>
            <w:pPr>
              <w:pStyle w:val="Compact"/>
              <w:jc w:val="left"/>
            </w:pPr>
            <w:r>
              <w:t xml:space="preserve">Representative System/Study</w:t>
            </w:r>
          </w:p>
        </w:tc>
      </w:tr>
      <w:tr>
        <w:tc>
          <w:tcPr/>
          <w:p>
            <w:pPr>
              <w:pStyle w:val="Compact"/>
              <w:jc w:val="left"/>
            </w:pPr>
            <w:r>
              <w:t xml:space="preserve">Geometric</w:t>
            </w:r>
          </w:p>
        </w:tc>
        <w:tc>
          <w:tcPr/>
          <w:p>
            <w:pPr>
              <w:pStyle w:val="Compact"/>
              <w:jc w:val="left"/>
            </w:pPr>
            <w:r>
              <w:t xml:space="preserve">Topology, watertightness, non-self-intersection</w:t>
            </w:r>
          </w:p>
        </w:tc>
        <w:tc>
          <w:tcPr/>
          <w:p>
            <w:pPr>
              <w:pStyle w:val="Compact"/>
              <w:jc w:val="left"/>
            </w:pPr>
            <w:r>
              <w:t xml:space="preserve">Partial</w:t>
            </w:r>
          </w:p>
        </w:tc>
        <w:tc>
          <w:tcPr/>
          <w:p>
            <w:pPr>
              <w:pStyle w:val="Compact"/>
              <w:jc w:val="left"/>
            </w:pPr>
            <w:r>
              <w:t xml:space="preserve">MUSE: 54% geometric validity for best closed-source models</w:t>
            </w:r>
            <w:r>
              <w:t xml:space="preserve"> </w:t>
            </w:r>
            <w:fldSimple w:instr="NOTEREF _Ref_Footnote_12 \h \f">
              <w:r>
                <w:rPr>
                  <w:vertAlign w:val="superscript"/>
                </w:rPr>
                <w:t>12</w:t>
              </w:r>
            </w:fldSimple>
          </w:p>
        </w:tc>
      </w:tr>
      <w:tr>
        <w:tc>
          <w:tcPr/>
          <w:p>
            <w:pPr>
              <w:pStyle w:val="Compact"/>
              <w:jc w:val="left"/>
            </w:pPr>
            <w:r>
              <w:t xml:space="preserve">Dimensional</w:t>
            </w:r>
          </w:p>
        </w:tc>
        <w:tc>
          <w:tcPr/>
          <w:p>
            <w:pPr>
              <w:pStyle w:val="Compact"/>
              <w:jc w:val="left"/>
            </w:pPr>
            <w:r>
              <w:t xml:space="preserve">Parametric dimensions, proportional relationships</w:t>
            </w:r>
          </w:p>
        </w:tc>
        <w:tc>
          <w:tcPr/>
          <w:p>
            <w:pPr>
              <w:pStyle w:val="Compact"/>
              <w:jc w:val="left"/>
            </w:pPr>
            <w:r>
              <w:t xml:space="preserve">Partial</w:t>
            </w:r>
          </w:p>
        </w:tc>
        <w:tc>
          <w:tcPr/>
          <w:p>
            <w:pPr>
              <w:pStyle w:val="Compact"/>
              <w:jc w:val="left"/>
            </w:pPr>
            <w:r>
              <w:t xml:space="preserve">CAD-Coder: 100% valid syntax but limited generalization to unseen operations</w:t>
            </w:r>
          </w:p>
        </w:tc>
      </w:tr>
      <w:tr>
        <w:tc>
          <w:tcPr/>
          <w:p>
            <w:pPr>
              <w:pStyle w:val="Compact"/>
              <w:jc w:val="left"/>
            </w:pPr>
            <w:r>
              <w:t xml:space="preserve">Manufacturing</w:t>
            </w:r>
          </w:p>
        </w:tc>
        <w:tc>
          <w:tcPr/>
          <w:p>
            <w:pPr>
              <w:pStyle w:val="Compact"/>
              <w:jc w:val="left"/>
            </w:pPr>
            <w:r>
              <w:t xml:space="preserve">Overhang angles, minimum feature size, build orientation</w:t>
            </w:r>
          </w:p>
        </w:tc>
        <w:tc>
          <w:tcPr/>
          <w:p>
            <w:pPr>
              <w:pStyle w:val="Compact"/>
              <w:jc w:val="left"/>
            </w:pPr>
            <w:r>
              <w:t xml:space="preserve">Early</w:t>
            </w:r>
          </w:p>
        </w:tc>
        <w:tc>
          <w:tcPr/>
          <w:p>
            <w:pPr>
              <w:pStyle w:val="Compact"/>
              <w:jc w:val="left"/>
            </w:pPr>
            <w:r>
              <w:t xml:space="preserve">SEG: first slicer-aware generation; GNN-TO enforces AM + stress constraints simultaneously</w:t>
            </w:r>
            <w:r>
              <w:t xml:space="preserve"> </w:t>
            </w:r>
            <w:fldSimple w:instr="NOTEREF _Ref_Footnote_14 \h \f">
              <w:r>
                <w:rPr>
                  <w:vertAlign w:val="superscript"/>
                </w:rPr>
                <w:t>14</w:t>
              </w:r>
            </w:fldSimple>
            <w:r>
              <w:t xml:space="preserve"> </w:t>
            </w:r>
            <w:fldSimple w:instr="NOTEREF _Ref_Footnote_98 \h \f">
              <w:r>
                <w:rPr>
                  <w:vertAlign w:val="superscript"/>
                </w:rPr>
                <w:t>98</w:t>
              </w:r>
            </w:fldSimple>
          </w:p>
        </w:tc>
      </w:tr>
      <w:tr>
        <w:tc>
          <w:tcPr/>
          <w:p>
            <w:pPr>
              <w:pStyle w:val="Compact"/>
              <w:jc w:val="left"/>
            </w:pPr>
            <w:r>
              <w:t xml:space="preserve">Assembly</w:t>
            </w:r>
          </w:p>
        </w:tc>
        <w:tc>
          <w:tcPr/>
          <w:p>
            <w:pPr>
              <w:pStyle w:val="Compact"/>
              <w:jc w:val="left"/>
            </w:pPr>
            <w:r>
              <w:t xml:space="preserve">Mate constraints, clearance fits, interference detection</w:t>
            </w:r>
          </w:p>
        </w:tc>
        <w:tc>
          <w:tcPr/>
          <w:p>
            <w:pPr>
              <w:pStyle w:val="Compact"/>
              <w:jc w:val="left"/>
            </w:pPr>
            <w:r>
              <w:t xml:space="preserve">Minimal</w:t>
            </w:r>
          </w:p>
        </w:tc>
        <w:tc>
          <w:tcPr/>
          <w:p>
            <w:pPr>
              <w:pStyle w:val="Compact"/>
              <w:jc w:val="left"/>
            </w:pPr>
            <w:r>
              <w:t xml:space="preserve">MUSE: 28/100 assemblability for closed-source, 4/100 for open-source</w:t>
            </w:r>
            <w:r>
              <w:t xml:space="preserve"> </w:t>
            </w:r>
            <w:fldSimple w:instr="NOTEREF _Ref_Footnote_12 \h \f">
              <w:r>
                <w:rPr>
                  <w:vertAlign w:val="superscript"/>
                </w:rPr>
                <w:t>12</w:t>
              </w:r>
            </w:fldSimple>
          </w:p>
        </w:tc>
      </w:tr>
      <w:tr>
        <w:tc>
          <w:tcPr/>
          <w:p>
            <w:pPr>
              <w:pStyle w:val="Compact"/>
              <w:jc w:val="left"/>
            </w:pPr>
            <w:r>
              <w:t xml:space="preserve">Physics</w:t>
            </w:r>
          </w:p>
        </w:tc>
        <w:tc>
          <w:tcPr/>
          <w:p>
            <w:pPr>
              <w:pStyle w:val="Compact"/>
              <w:jc w:val="left"/>
            </w:pPr>
            <w:r>
              <w:t xml:space="preserve">Stress limits, thermal bounds, fatigue life, FEA validity</w:t>
            </w:r>
          </w:p>
        </w:tc>
        <w:tc>
          <w:tcPr/>
          <w:p>
            <w:pPr>
              <w:pStyle w:val="Compact"/>
              <w:jc w:val="left"/>
            </w:pPr>
            <w:r>
              <w:t xml:space="preserve">Minimal</w:t>
            </w:r>
          </w:p>
        </w:tc>
        <w:tc>
          <w:tcPr/>
          <w:p>
            <w:pPr>
              <w:pStyle w:val="Compact"/>
              <w:jc w:val="left"/>
            </w:pPr>
            <w:r>
              <w:t xml:space="preserve">FEABench: 0% end-to-end solution rate across all tested LLMs</w:t>
            </w:r>
            <w:r>
              <w:t xml:space="preserve"> </w:t>
            </w:r>
            <w:fldSimple w:instr="NOTEREF _Ref_Footnote_89 \h \f">
              <w:r>
                <w:rPr>
                  <w:vertAlign w:val="superscript"/>
                </w:rPr>
                <w:t>89</w:t>
              </w:r>
            </w:fldSimple>
          </w:p>
        </w:tc>
      </w:tr>
    </w:tbl>
    <w:p>
      <w:pPr>
        <w:pStyle w:val="BodyText"/>
      </w:pPr>
      <w:r>
        <w:t xml:space="preserve">Table 7.2 reveals the constraint hierarchy that AI systems must climb to achieve engineering viability. Geometric constraints—the simplest class—are only partially solved. Dimensional constraints are handled within narrow training distributions but fail on out-of-distribution features. Manufacturing constraints have seen promising early work with SEG and GNN-based topology optimization. Assembly constraints remain largely unsolved, with the best systems achieving 28% on assemblability. Physics constraints—the most demanding class—are effectively untouched at the LLM level, as FEABench definitively demonstrated.</w:t>
      </w:r>
    </w:p>
    <w:p>
      <w:pPr>
        <w:pStyle w:val="BodyText"/>
      </w:pPr>
      <w:r>
        <w:t xml:space="preserve">The convergence of evidence points to a single architectural requirement: constraints must be embedded into the generation objective, not appended as post-processing filters. The patent literature confirms this—Autodesk’s 2023 EP patent, Zhejiang University’s 2025 JP patent, and Boeing’s 2024 filings all integrate manufacturability constraints directly into the topology optimization objective</w:t>
      </w:r>
      <w:r>
        <w:t xml:space="preserve"> </w:t>
      </w:r>
      <w:fldSimple w:instr="NOTEREF _Ref_Footnote_97 \h \f">
        <w:r>
          <w:rPr>
            <w:vertAlign w:val="superscript"/>
          </w:rPr>
          <w:t>97</w:t>
        </w:r>
      </w:fldSimple>
      <w:r>
        <w:t xml:space="preserve">. A 2025 study combining topology optimization with deep reinforcement learning achieved up to 40% weight reduction while maintaining von Mises stress (≤300 MPa) and displacement (≤0.5 mm) constraints</w:t>
      </w:r>
      <w:r>
        <w:t xml:space="preserve"> </w:t>
      </w:r>
      <w:r>
        <w:rPr>
          <w:vertAlign w:val="superscript"/>
        </w:rPr>
        <w:footnoteReference w:id="100"/>
      </w:r>
      <w:r>
        <w:t xml:space="preserve">.</w:t>
      </w:r>
    </w:p>
    <w:p>
      <w:pPr>
        <w:pStyle w:val="BodyText"/>
      </w:pPr>
      <w:r>
        <w:t xml:space="preserve">For LLM-based systems, the path forward likely requires hybrid neuro-symbolic architectures where neural networks handle pattern recognition at each granularity level and symbolic systems enforce cross-granularity consistency. The field’s focus on larger models and more training data will not resolve the structural mismatch between token-level reasoning and continuous-field physics. What is needed is not more geometry but geometry annotated with stress distributions, tolerance chains, manufacturing process constraints, and assembly mate relationships—a new class of training data that current datasets do not provide.</w:t>
      </w:r>
    </w:p>
    <w:p>
      <w:r>
        <w:pict>
          <v:rect style="width:0;height:1.5pt" o:hralign="center" o:hrstd="t" o:hr="t"/>
        </w:pict>
      </w:r>
    </w:p>
    <w:bookmarkEnd w:id="119"/>
    <w:bookmarkEnd w:id="120"/>
    <w:bookmarkEnd w:id="121"/>
    <w:bookmarkStart w:id="132" w:name="X6d7814f24bd678c38afd8de89301f520a86870c"/>
    <w:p>
      <w:pPr>
        <w:pStyle w:val="Heading2"/>
      </w:pPr>
      <w:r>
        <w:t xml:space="preserve">8. Industry Adoption, Social License, and Regulatory Barriers</w:t>
      </w:r>
    </w:p>
    <w:p>
      <w:pPr>
        <w:pStyle w:val="FirstParagraph"/>
      </w:pPr>
      <w:r>
        <w:t xml:space="preserve">AI-driven 3D generation has demonstrated compelling technical capabilities, yet the distance between possibility and institutional adoption remains substantial. This chapter examines adoption patterns across three verticals, the social resistance confronting AI integration, and the regulatory vacuum that leaves professional users exposed to unresolved liability questions.</w:t>
      </w:r>
    </w:p>
    <w:bookmarkStart w:id="125" w:name="adoption-rates-by-vertical"/>
    <w:p>
      <w:pPr>
        <w:pStyle w:val="Heading3"/>
      </w:pPr>
      <w:r>
        <w:t xml:space="preserve">8.1 Adoption Rates by Vertical</w:t>
      </w:r>
    </w:p>
    <w:p>
      <w:pPr>
        <w:pStyle w:val="FirstParagraph"/>
      </w:pPr>
      <w:r>
        <w:t xml:space="preserve">Industries where visual fidelity is the sole success criterion have embraced AI 3D tools aggressively; domains where geometry must satisfy functional or safety constraints have moved cautiously. This divergence reflects not tool availability — the same platforms serve all markets — but the alignment between what AI produces and what each domain requires.</w:t>
      </w:r>
    </w:p>
    <w:bookmarkStart w:id="122" w:name="game-development-the-early-adopter"/>
    <w:p>
      <w:pPr>
        <w:pStyle w:val="Heading4"/>
      </w:pPr>
      <w:r>
        <w:t xml:space="preserve">8.1.1 Game Development: The Early Adopter</w:t>
      </w:r>
    </w:p>
    <w:p>
      <w:pPr>
        <w:pStyle w:val="FirstParagraph"/>
      </w:pPr>
      <w:r>
        <w:t xml:space="preserve">Game development is the most forgiving domain for AI-generated 3D because the overriding criterion is visual plausibility, not dimensional precision. Indie game asset costs have fallen from $20,000–60,000 (200 models at $100–300 each) to $100–1,000 using AI generation — a 95%+ reduction</w:t>
      </w:r>
      <w:r>
        <w:t xml:space="preserve"> </w:t>
      </w:r>
      <w:fldSimple w:instr="NOTEREF _Ref_Footnote_26 \h \f">
        <w:r>
          <w:rPr>
            <w:vertAlign w:val="superscript"/>
          </w:rPr>
          <w:t>26</w:t>
        </w:r>
      </w:fldSimple>
      <w:r>
        <w:t xml:space="preserve">. Quick Turn Games, a 7–11 developer studio, reduced per-asset production time from 14 hours to 1.5 hours for over 100 magical artifacts</w:t>
      </w:r>
      <w:r>
        <w:t xml:space="preserve"> </w:t>
      </w:r>
      <w:fldSimple w:instr="NOTEREF _Ref_Footnote_27 \h \f">
        <w:r>
          <w:rPr>
            <w:vertAlign w:val="superscript"/>
          </w:rPr>
          <w:t>27</w:t>
        </w:r>
      </w:fldSimple>
      <w:r>
        <w:t xml:space="preserve">. Tripo AI’s auto-rigging compresses rigging from 3–4 hours to 15 minutes, with smart retopology collapsing 900K faces to 7K game-optimized meshes</w:t>
      </w:r>
      <w:r>
        <w:t xml:space="preserve"> </w:t>
      </w:r>
      <w:fldSimple w:instr="NOTEREF _Ref_Footnote_1 \h \f">
        <w:r>
          <w:rPr>
            <w:vertAlign w:val="superscript"/>
          </w:rPr>
          <w:t>1</w:t>
        </w:r>
      </w:fldSimple>
      <w:r>
        <w:t xml:space="preserve">. These workflow integrations explain why game development drives the primary revenue for AI 3D startups: Tripo AI reached unicorn status at ~$1.5 billion valuation by mid-2026, while Meshy AI exceeded $40 million ARR</w:t>
      </w:r>
      <w:r>
        <w:t xml:space="preserve"> </w:t>
      </w:r>
      <w:fldSimple w:instr="NOTEREF _Ref_Footnote_1 \h \f">
        <w:r>
          <w:rPr>
            <w:vertAlign w:val="superscript"/>
          </w:rPr>
          <w:t>1</w:t>
        </w:r>
      </w:fldSimple>
      <w:r>
        <w:t xml:space="preserve">. The domain’s permissiveness stems from a simple property — game assets need only look correct. An AI-generated prop that appears indistinguishable from a handcrafted model during playtesting meets the quality bar regardless of underlying topology.</w:t>
      </w:r>
    </w:p>
    <w:bookmarkEnd w:id="122"/>
    <w:bookmarkStart w:id="123" w:name="architecture-the-regional-paradox"/>
    <w:p>
      <w:pPr>
        <w:pStyle w:val="Heading4"/>
      </w:pPr>
      <w:r>
        <w:t xml:space="preserve">8.1.2 Architecture: The Regional Paradox</w:t>
      </w:r>
    </w:p>
    <w:p>
      <w:pPr>
        <w:pStyle w:val="FirstParagraph"/>
      </w:pPr>
      <w:r>
        <w:t xml:space="preserve">Architecture presents a more complicated adoption profile shaped by regional regulatory culture and survey methodology.</w:t>
      </w:r>
    </w:p>
    <w:p>
      <w:pPr>
        <w:pStyle w:val="BodyText"/>
      </w:pPr>
      <w:r>
        <w:rPr>
          <w:bCs/>
          <w:b/>
        </w:rPr>
        <w:t xml:space="preserve">Table 1: AI Adoption in Architecture — Regional Comparison with Methodology Annotations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Region/Scope</w:t>
            </w:r>
          </w:p>
        </w:tc>
        <w:tc>
          <w:tcPr/>
          <w:p>
            <w:pPr>
              <w:pStyle w:val="Compact"/>
              <w:jc w:val="left"/>
            </w:pPr>
            <w:r>
              <w:t xml:space="preserve">Adoption Rate</w:t>
            </w:r>
          </w:p>
        </w:tc>
        <w:tc>
          <w:tcPr/>
          <w:p>
            <w:pPr>
              <w:pStyle w:val="Compact"/>
              <w:jc w:val="left"/>
            </w:pPr>
            <w:r>
              <w:t xml:space="preserve">Metric Definition</w:t>
            </w:r>
          </w:p>
        </w:tc>
        <w:tc>
          <w:tcPr/>
          <w:p>
            <w:pPr>
              <w:pStyle w:val="Compact"/>
              <w:jc w:val="left"/>
            </w:pPr>
            <w:r>
              <w:t xml:space="preserve">Survey Population</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United States</w:t>
            </w:r>
          </w:p>
        </w:tc>
        <w:tc>
          <w:tcPr/>
          <w:p>
            <w:pPr>
              <w:pStyle w:val="Compact"/>
              <w:jc w:val="left"/>
            </w:pPr>
            <w:r>
              <w:t xml:space="preserve">6%</w:t>
            </w:r>
            <w:r>
              <w:t xml:space="preserve"> </w:t>
            </w:r>
            <w:fldSimple w:instr="NOTEREF _Ref_Footnote_23 \h \f">
              <w:r>
                <w:rPr>
                  <w:vertAlign w:val="superscript"/>
                </w:rPr>
                <w:t>23</w:t>
              </w:r>
            </w:fldSimple>
          </w:p>
        </w:tc>
        <w:tc>
          <w:tcPr/>
          <w:p>
            <w:pPr>
              <w:pStyle w:val="Compact"/>
              <w:jc w:val="left"/>
            </w:pPr>
            <w:r>
              <w:t xml:space="preserve">“</w:t>
            </w:r>
            <w:r>
              <w:t xml:space="preserve">Regular use</w:t>
            </w:r>
            <w:r>
              <w:t xml:space="preserve">”</w:t>
            </w:r>
            <w:r>
              <w:t xml:space="preserve"> </w:t>
            </w:r>
            <w:r>
              <w:t xml:space="preserve">for job functions</w:t>
            </w:r>
          </w:p>
        </w:tc>
        <w:tc>
          <w:tcPr/>
          <w:p>
            <w:pPr>
              <w:pStyle w:val="Compact"/>
              <w:jc w:val="left"/>
            </w:pPr>
            <w:r>
              <w:t xml:space="preserve">AIA-member architects</w:t>
            </w:r>
          </w:p>
        </w:tc>
        <w:tc>
          <w:tcPr/>
          <w:p>
            <w:pPr>
              <w:pStyle w:val="Compact"/>
              <w:jc w:val="left"/>
            </w:pPr>
            <w:r>
              <w:t xml:space="preserve">Mar 2025</w:t>
            </w:r>
          </w:p>
        </w:tc>
        <w:tc>
          <w:tcPr/>
          <w:p>
            <w:pPr>
              <w:pStyle w:val="Compact"/>
              <w:jc w:val="left"/>
            </w:pPr>
            <w:r>
              <w:t xml:space="preserve">AIA / Deltek / ConstructConnect</w:t>
            </w:r>
          </w:p>
        </w:tc>
      </w:tr>
      <w:tr>
        <w:tc>
          <w:tcPr/>
          <w:p>
            <w:pPr>
              <w:pStyle w:val="Compact"/>
              <w:jc w:val="left"/>
            </w:pPr>
            <w:r>
              <w:t xml:space="preserve">United Kingdom</w:t>
            </w:r>
          </w:p>
        </w:tc>
        <w:tc>
          <w:tcPr/>
          <w:p>
            <w:pPr>
              <w:pStyle w:val="Compact"/>
              <w:jc w:val="left"/>
            </w:pPr>
            <w:r>
              <w:t xml:space="preserve">59%</w:t>
            </w:r>
            <w:r>
              <w:t xml:space="preserve"> </w:t>
            </w:r>
            <w:fldSimple w:instr="NOTEREF _Ref_Footnote_15 \h \f">
              <w:r>
                <w:rPr>
                  <w:vertAlign w:val="superscript"/>
                </w:rPr>
                <w:t>15</w:t>
              </w:r>
            </w:fldSimple>
          </w:p>
        </w:tc>
        <w:tc>
          <w:tcPr/>
          <w:p>
            <w:pPr>
              <w:pStyle w:val="Compact"/>
              <w:jc w:val="left"/>
            </w:pPr>
            <w:r>
              <w:t xml:space="preserve">“</w:t>
            </w:r>
            <w:r>
              <w:t xml:space="preserve">Any use</w:t>
            </w:r>
            <w:r>
              <w:t xml:space="preserve">”</w:t>
            </w:r>
            <w:r>
              <w:t xml:space="preserve"> </w:t>
            </w:r>
            <w:r>
              <w:t xml:space="preserve">in practice</w:t>
            </w:r>
          </w:p>
        </w:tc>
        <w:tc>
          <w:tcPr/>
          <w:p>
            <w:pPr>
              <w:pStyle w:val="Compact"/>
              <w:jc w:val="left"/>
            </w:pPr>
            <w:r>
              <w:t xml:space="preserve">RIBA-member practices</w:t>
            </w:r>
          </w:p>
        </w:tc>
        <w:tc>
          <w:tcPr/>
          <w:p>
            <w:pPr>
              <w:pStyle w:val="Compact"/>
              <w:jc w:val="left"/>
            </w:pPr>
            <w:r>
              <w:t xml:space="preserve">2025</w:t>
            </w:r>
          </w:p>
        </w:tc>
        <w:tc>
          <w:tcPr/>
          <w:p>
            <w:pPr>
              <w:pStyle w:val="Compact"/>
              <w:jc w:val="left"/>
            </w:pPr>
            <w:r>
              <w:t xml:space="preserve">RIBA AI Report 2025</w:t>
            </w:r>
          </w:p>
        </w:tc>
      </w:tr>
      <w:tr>
        <w:tc>
          <w:tcPr/>
          <w:p>
            <w:pPr>
              <w:pStyle w:val="Compact"/>
              <w:jc w:val="left"/>
            </w:pPr>
            <w:r>
              <w:t xml:space="preserve">Global</w:t>
            </w:r>
          </w:p>
        </w:tc>
        <w:tc>
          <w:tcPr/>
          <w:p>
            <w:pPr>
              <w:pStyle w:val="Compact"/>
              <w:jc w:val="left"/>
            </w:pPr>
            <w:r>
              <w:t xml:space="preserve">46%</w:t>
            </w:r>
            <w:r>
              <w:t xml:space="preserve"> </w:t>
            </w:r>
            <w:fldSimple w:instr="NOTEREF _Ref_Footnote_86 \h \f">
              <w:r>
                <w:rPr>
                  <w:vertAlign w:val="superscript"/>
                </w:rPr>
                <w:t>86</w:t>
              </w:r>
            </w:fldSimple>
          </w:p>
        </w:tc>
        <w:tc>
          <w:tcPr/>
          <w:p>
            <w:pPr>
              <w:pStyle w:val="Compact"/>
              <w:jc w:val="left"/>
            </w:pPr>
            <w:r>
              <w:t xml:space="preserve">“</w:t>
            </w:r>
            <w:r>
              <w:t xml:space="preserve">Active use</w:t>
            </w:r>
            <w:r>
              <w:t xml:space="preserve">”</w:t>
            </w:r>
            <w:r>
              <w:t xml:space="preserve"> </w:t>
            </w:r>
            <w:r>
              <w:t xml:space="preserve">of AI tools</w:t>
            </w:r>
          </w:p>
        </w:tc>
        <w:tc>
          <w:tcPr/>
          <w:p>
            <w:pPr>
              <w:pStyle w:val="Compact"/>
              <w:jc w:val="left"/>
            </w:pPr>
            <w:r>
              <w:t xml:space="preserve">1,200+ architects; 60% small practices</w:t>
            </w:r>
          </w:p>
        </w:tc>
        <w:tc>
          <w:tcPr/>
          <w:p>
            <w:pPr>
              <w:pStyle w:val="Compact"/>
              <w:jc w:val="left"/>
            </w:pPr>
            <w:r>
              <w:t xml:space="preserve">Late 2025</w:t>
            </w:r>
          </w:p>
        </w:tc>
        <w:tc>
          <w:tcPr/>
          <w:p>
            <w:pPr>
              <w:pStyle w:val="Compact"/>
              <w:jc w:val="left"/>
            </w:pPr>
            <w:r>
              <w:t xml:space="preserve">Chaos Group / Architizer</w:t>
            </w:r>
          </w:p>
        </w:tc>
      </w:tr>
    </w:tbl>
    <w:p>
      <w:pPr>
        <w:pStyle w:val="BodyText"/>
      </w:pPr>
      <w:r>
        <w:t xml:space="preserve">Direct comparison across these figures is methodologically hazardous. The US AIA survey applied the strict</w:t>
      </w:r>
      <w:r>
        <w:t xml:space="preserve"> </w:t>
      </w:r>
      <w:r>
        <w:t xml:space="preserve">“</w:t>
      </w:r>
      <w:r>
        <w:t xml:space="preserve">regular use</w:t>
      </w:r>
      <w:r>
        <w:t xml:space="preserve">”</w:t>
      </w:r>
      <w:r>
        <w:t xml:space="preserve"> </w:t>
      </w:r>
      <w:r>
        <w:t xml:space="preserve">standard — architects employing AI as a consistent workflow component — while the UK RIBA survey used the broader</w:t>
      </w:r>
      <w:r>
        <w:t xml:space="preserve"> </w:t>
      </w:r>
      <w:r>
        <w:t xml:space="preserve">“</w:t>
      </w:r>
      <w:r>
        <w:t xml:space="preserve">any use</w:t>
      </w:r>
      <w:r>
        <w:t xml:space="preserve">”</w:t>
      </w:r>
      <w:r>
        <w:t xml:space="preserve"> </w:t>
      </w:r>
      <w:r>
        <w:t xml:space="preserve">threshold capturing experimental or occasional usage</w:t>
      </w:r>
      <w:r>
        <w:t xml:space="preserve"> </w:t>
      </w:r>
      <w:fldSimple w:instr="NOTEREF _Ref_Footnote_23 \h \f">
        <w:r>
          <w:rPr>
            <w:vertAlign w:val="superscript"/>
          </w:rPr>
          <w:t>23</w:t>
        </w:r>
      </w:fldSimple>
      <w:r>
        <w:t xml:space="preserve"> </w:t>
      </w:r>
      <w:fldSimple w:instr="NOTEREF _Ref_Footnote_15 \h \f">
        <w:r>
          <w:rPr>
            <w:vertAlign w:val="superscript"/>
          </w:rPr>
          <w:t>15</w:t>
        </w:r>
      </w:fldSimple>
      <w:r>
        <w:t xml:space="preserve">. The Chaos Group global figure (46%)</w:t>
      </w:r>
      <w:r>
        <w:t xml:space="preserve"> </w:t>
      </w:r>
      <w:fldSimple w:instr="NOTEREF _Ref_Footnote_86 \h \f">
        <w:r>
          <w:rPr>
            <w:vertAlign w:val="superscript"/>
          </w:rPr>
          <w:t>86</w:t>
        </w:r>
      </w:fldSimple>
      <w:r>
        <w:t xml:space="preserve">employs</w:t>
      </w:r>
      <w:r>
        <w:t xml:space="preserve"> </w:t>
      </w:r>
      <w:r>
        <w:t xml:space="preserve">“</w:t>
      </w:r>
      <w:r>
        <w:t xml:space="preserve">active use,</w:t>
      </w:r>
      <w:r>
        <w:t xml:space="preserve">”</w:t>
      </w:r>
      <w:r>
        <w:t xml:space="preserve"> </w:t>
      </w:r>
      <w:r>
        <w:t xml:space="preserve">though the exact definition remains underspecified. Even accounting for methodological breadth, the UK-US gap suggests genuine cultural divergence — UK practices appear more willing to experiment, possibly reflecting smaller firm sizes where practitioners have greater autonomy.</w:t>
      </w:r>
    </w:p>
    <w:p>
      <w:pPr>
        <w:pStyle w:val="BodyText"/>
      </w:pPr>
      <w:r>
        <w:t xml:space="preserve">Where AI has demonstrably delivered value is in surrounding workflows, not core 3D modeling. Studios report 25–35% overall workflow acceleration, with concept development seeing 65–75% time savings (8–12 hours to 2–4 hours), material creation 60–70%, and post-production 50–60%</w:t>
      </w:r>
      <w:r>
        <w:t xml:space="preserve"> </w:t>
      </w:r>
      <w:fldSimple w:instr="NOTEREF _Ref_Footnote_87 \h \f">
        <w:r>
          <w:rPr>
            <w:vertAlign w:val="superscript"/>
          </w:rPr>
          <w:t>87</w:t>
        </w:r>
      </w:fldSimple>
      <w:r>
        <w:t xml:space="preserve">. The critical finding:</w:t>
      </w:r>
      <w:r>
        <w:t xml:space="preserve"> </w:t>
      </w:r>
      <w:r>
        <w:rPr>
          <w:bCs/>
          <w:b/>
        </w:rPr>
        <w:t xml:space="preserve">3D modeling itself shows 0% time savings</w:t>
      </w:r>
      <w:r>
        <w:t xml:space="preserve"> </w:t>
      </w:r>
      <w:r>
        <w:t xml:space="preserve">— AI does not currently accelerate the core task of producing construction-ready models</w:t>
      </w:r>
      <w:r>
        <w:t xml:space="preserve"> </w:t>
      </w:r>
      <w:fldSimple w:instr="NOTEREF _Ref_Footnote_87 \h \f">
        <w:r>
          <w:rPr>
            <w:vertAlign w:val="superscript"/>
          </w:rPr>
          <w:t>87</w:t>
        </w:r>
      </w:fldSimple>
      <w:r>
        <w:t xml:space="preserve">. This</w:t>
      </w:r>
      <w:r>
        <w:t xml:space="preserve"> </w:t>
      </w:r>
      <w:r>
        <w:t xml:space="preserve">“</w:t>
      </w:r>
      <w:r>
        <w:t xml:space="preserve">modeling wall</w:t>
      </w:r>
      <w:r>
        <w:t xml:space="preserve">”</w:t>
      </w:r>
      <w:r>
        <w:t xml:space="preserve"> </w:t>
      </w:r>
      <w:r>
        <w:t xml:space="preserve">reflects the fundamental gap between conceptual image generation and the precision required for architectural documentation. Early adopters nonetheless see returns: 68% of early-adopting AEC firms report saving at least $50,000, and 46% have saved 500–1,000 hours</w:t>
      </w:r>
      <w:r>
        <w:t xml:space="preserve"> </w:t>
      </w:r>
      <w:fldSimple w:instr="NOTEREF _Ref_Footnote_88 \h \f">
        <w:r>
          <w:rPr>
            <w:vertAlign w:val="superscript"/>
          </w:rPr>
          <w:t>88</w:t>
        </w:r>
      </w:fldSimple>
      <w:r>
        <w:t xml:space="preserve">. These savings accrue in pre-design phases and visualization workflows rather than in construction documentation production.</w:t>
      </w:r>
    </w:p>
    <w:bookmarkEnd w:id="123"/>
    <w:bookmarkStart w:id="124" w:name="mechanical-engineering-the-trust-deficit"/>
    <w:p>
      <w:pPr>
        <w:pStyle w:val="Heading4"/>
      </w:pPr>
      <w:r>
        <w:t xml:space="preserve">8.1.3 Mechanical Engineering: The Trust Deficit</w:t>
      </w:r>
    </w:p>
    <w:p>
      <w:pPr>
        <w:pStyle w:val="FirstParagraph"/>
      </w:pPr>
      <w:r>
        <w:t xml:space="preserve">Mechanical engineering presents the most stringent barrier because geometry must satisfy functional, manufacturing, and assembly constraints — capabilities where AI generation remains demonstrably immature. The MUSE benchmark from Hong Kong Polytechnic University reveals a systematic</w:t>
      </w:r>
      <w:r>
        <w:t xml:space="preserve"> </w:t>
      </w:r>
      <w:r>
        <w:t xml:space="preserve">“</w:t>
      </w:r>
      <w:r>
        <w:t xml:space="preserve">failure cascade</w:t>
      </w:r>
      <w:r>
        <w:t xml:space="preserve">”</w:t>
      </w:r>
      <w:r>
        <w:t xml:space="preserve"> </w:t>
      </w:r>
      <w:r>
        <w:t xml:space="preserve">across all tested models: even the strongest closed-source system achieved only 68% executable success, 54% geometric validity, 42/100 functionality, 35/100 manufacturability, and 28/100 assemblability</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Independent Xometry Pro testing (August 2025) rated seven text-to-CAD tools at only 2–4 stars for accuracy, concluding they</w:t>
      </w:r>
      <w:r>
        <w:t xml:space="preserve"> </w:t>
      </w:r>
      <w:r>
        <w:t xml:space="preserve">“</w:t>
      </w:r>
      <w:r>
        <w:t xml:space="preserve">aren’t yet a substitute for professional CAD software</w:t>
      </w:r>
      <w:r>
        <w:t xml:space="preserve">”</w:t>
      </w:r>
      <w:r>
        <w:t xml:space="preserve"> </w:t>
      </w:r>
      <w:fldSimple w:instr="NOTEREF _Ref_Footnote_14 \h \f">
        <w:r>
          <w:rPr>
            <w:vertAlign w:val="superscript"/>
          </w:rPr>
          <w:t>14</w:t>
        </w:r>
      </w:fldSimple>
      <w:r>
        <w:t xml:space="preserve">.</w:t>
      </w:r>
    </w:p>
    <w:p>
      <w:pPr>
        <w:pStyle w:val="BodyText"/>
      </w:pPr>
      <w:r>
        <w:t xml:space="preserve">The professional engineering community has responded with appropriate caution. The National Society of Professional Engineers states:</w:t>
      </w:r>
      <w:r>
        <w:t xml:space="preserve"> </w:t>
      </w:r>
      <w:r>
        <w:t xml:space="preserve">“</w:t>
      </w:r>
      <w:r>
        <w:t xml:space="preserve">Technology must never be a replacement or substitute for engineering judgment</w:t>
      </w:r>
      <w:r>
        <w:t xml:space="preserve">”</w:t>
      </w:r>
      <w:r>
        <w:t xml:space="preserve"> </w:t>
      </w:r>
      <w:fldSimple w:instr="NOTEREF _Ref_Footnote_22 \h \f">
        <w:r>
          <w:rPr>
            <w:vertAlign w:val="superscript"/>
          </w:rPr>
          <w:t>22</w:t>
        </w:r>
      </w:fldSimple>
      <w:r>
        <w:t xml:space="preserve">. Engineers remain personally responsible for all AI-assisted work — a structural reality creating rational risk aversion rather than mere technological resistance. Where AI has found traction is in non-generative workflows: Leo AI’s Large Mechanical Model saves engineers 8.3 hours per week previously lost to part search, with HP Indigo reporting a cantilever beam calculation that consumed four days resolved in two minutes</w:t>
      </w:r>
      <w:r>
        <w:t xml:space="preserve"> </w:t>
      </w:r>
      <w:fldSimple w:instr="NOTEREF _Ref_Footnote_30 \h \f">
        <w:r>
          <w:rPr>
            <w:vertAlign w:val="superscript"/>
          </w:rPr>
          <w:t>30</w:t>
        </w:r>
      </w:fldSimple>
      <w:r>
        <w:t xml:space="preserve">. These applications augment engineering judgment without attempting to replace it.</w:t>
      </w:r>
    </w:p>
    <w:bookmarkEnd w:id="124"/>
    <w:bookmarkEnd w:id="125"/>
    <w:bookmarkStart w:id="128" w:name="X9651b5d9aa75aea8b8e3a8deb5ca50a54e80e3e"/>
    <w:p>
      <w:pPr>
        <w:pStyle w:val="Heading3"/>
      </w:pPr>
      <w:r>
        <w:t xml:space="preserve">8.2 Social License and Professional Resistance</w:t>
      </w:r>
    </w:p>
    <w:p>
      <w:pPr>
        <w:pStyle w:val="FirstParagraph"/>
      </w:pPr>
      <w:r>
        <w:t xml:space="preserve">Technical capability does not guarantee social acceptance. AI 3D tools confront a trust deficit that benchmark scores and time-saving metrics cannot directly address.</w:t>
      </w:r>
    </w:p>
    <w:bookmarkStart w:id="126" w:name="the-blender-community-backlash"/>
    <w:p>
      <w:pPr>
        <w:pStyle w:val="Heading4"/>
      </w:pPr>
      <w:r>
        <w:t xml:space="preserve">8.2.1 The Blender Community Backlash</w:t>
      </w:r>
    </w:p>
    <w:p>
      <w:pPr>
        <w:pStyle w:val="FirstParagraph"/>
      </w:pPr>
      <w:r>
        <w:t xml:space="preserve">The Blender ecosystem — the largest open-source 3D community — provides the clearest case study of creative professional resistance. When Anthropic joined the Blender Development Fund as a Corporate Patron at EUR 240,000+ per year and the Blender Foundation launched its official MCP server in April 2026</w:t>
      </w:r>
      <w:r>
        <w:t xml:space="preserve"> </w:t>
      </w:r>
      <w:fldSimple w:instr="NOTEREF _Ref_Footnote_17 \h \f">
        <w:r>
          <w:rPr>
            <w:vertAlign w:val="superscript"/>
          </w:rPr>
          <w:t>17</w:t>
        </w:r>
      </w:fldSimple>
      <w:r>
        <w:t xml:space="preserve">, community reactions ranged from enthusiasm to moral opposition. Members described AI integration as</w:t>
      </w:r>
      <w:r>
        <w:t xml:space="preserve"> </w:t>
      </w:r>
      <w:r>
        <w:t xml:space="preserve">“</w:t>
      </w:r>
      <w:r>
        <w:t xml:space="preserve">fundamentally unethical,</w:t>
      </w:r>
      <w:r>
        <w:t xml:space="preserve">”</w:t>
      </w:r>
      <w:r>
        <w:t xml:space="preserve"> </w:t>
      </w:r>
      <w:r>
        <w:t xml:space="preserve">and Development Fund donations were cancelled in protest.</w:t>
      </w:r>
    </w:p>
    <w:p>
      <w:pPr>
        <w:pStyle w:val="BodyText"/>
      </w:pPr>
      <w:r>
        <w:t xml:space="preserve">This resistance centers on three substantive concerns: the devaluation of skill acquisition underpinning professional identity; the opacity of training data sourcing for commercial AI models; and aesthetic homogenization from models trained on convergent datasets. These concerns are validated by the tools’ own limitations — even the most accurate systems produce geometry requiring 20–45 minutes of cleanup before production use. Yet institutional adoption proceeds because the Blender Foundation’s governance depends on corporate sponsorship that individual donations cannot replace. The official MCP server’s security warning — that it</w:t>
      </w:r>
      <w:r>
        <w:t xml:space="preserve"> </w:t>
      </w:r>
      <w:r>
        <w:t xml:space="preserve">“</w:t>
      </w:r>
      <w:r>
        <w:t xml:space="preserve">will execute LLM generated code in Blender without any guards in place</w:t>
      </w:r>
      <w:r>
        <w:t xml:space="preserve">”</w:t>
      </w:r>
      <w:r>
        <w:t xml:space="preserve"> </w:t>
      </w:r>
      <w:fldSimple w:instr="NOTEREF _Ref_Footnote_17 \h \f">
        <w:r>
          <w:rPr>
            <w:vertAlign w:val="superscript"/>
          </w:rPr>
          <w:t>17</w:t>
        </w:r>
      </w:fldSimple>
      <w:r>
        <w:t xml:space="preserve">— epitomizes the tension between rapid feature deployment and community trust.</w:t>
      </w:r>
    </w:p>
    <w:bookmarkEnd w:id="126"/>
    <w:bookmarkStart w:id="127" w:name="the-52-paper-problem"/>
    <w:p>
      <w:pPr>
        <w:pStyle w:val="Heading4"/>
      </w:pPr>
      <w:r>
        <w:t xml:space="preserve">8.2.2 The 52% Paper Problem</w:t>
      </w:r>
    </w:p>
    <w:p>
      <w:pPr>
        <w:pStyle w:val="FirstParagraph"/>
      </w:pPr>
      <w:r>
        <w:t xml:space="preserve">Resistance extends beyond creative communities into the Architecture, Engineering, and Construction (AEC) sector, where the barrier is often literal. Bluebeam’s 2025 survey of 1,000+ AEC professionals found 52% still rely on paper during design phases and 49% during planning</w:t>
      </w:r>
      <w:r>
        <w:t xml:space="preserve"> </w:t>
      </w:r>
      <w:fldSimple w:instr="NOTEREF _Ref_Footnote_22 \h \f">
        <w:r>
          <w:rPr>
            <w:vertAlign w:val="superscript"/>
          </w:rPr>
          <w:t>22</w:t>
        </w:r>
      </w:fldSimple>
      <w:r>
        <w:t xml:space="preserve">. This majority workflow in a sector generating $13 trillion in global construction volume creates a structural barrier: AI requires structured digital data, yet critical workflows begin with hand sketches and paper markups that offer no substrate for AI tools to operate upon.</w:t>
      </w:r>
    </w:p>
    <w:p>
      <w:pPr>
        <w:pStyle w:val="BodyText"/>
      </w:pPr>
      <w:r>
        <w:t xml:space="preserve">Nearly all (90%) architectural professionals express concern about AI output inaccuracies, security, authenticity, and transparency</w:t>
      </w:r>
      <w:r>
        <w:t xml:space="preserve"> </w:t>
      </w:r>
      <w:fldSimple w:instr="NOTEREF _Ref_Footnote_23 \h \f">
        <w:r>
          <w:rPr>
            <w:vertAlign w:val="superscript"/>
          </w:rPr>
          <w:t>23</w:t>
        </w:r>
      </w:fldSimple>
      <w:r>
        <w:t xml:space="preserve">, with only 8% of firms having actually implemented AI solutions</w:t>
      </w:r>
      <w:r>
        <w:t xml:space="preserve"> </w:t>
      </w:r>
      <w:fldSimple w:instr="NOTEREF _Ref_Footnote_23 \h \f">
        <w:r>
          <w:rPr>
            <w:vertAlign w:val="superscript"/>
          </w:rPr>
          <w:t>23</w:t>
        </w:r>
      </w:fldSimple>
      <w:r>
        <w:t xml:space="preserve">. The capability-acceptance gap has a temporal dimension — technical advances operate on months-long cycles, while professional norms and regulatory standards evolve on decadal timelines. The mismatch produces a paradox: the tools are improving faster than the frameworks needed to integrate them safely can adapt.</w:t>
      </w:r>
    </w:p>
    <w:bookmarkEnd w:id="127"/>
    <w:bookmarkEnd w:id="128"/>
    <w:bookmarkStart w:id="131" w:name="regulatory-and-liability-frameworks"/>
    <w:p>
      <w:pPr>
        <w:pStyle w:val="Heading3"/>
      </w:pPr>
      <w:r>
        <w:t xml:space="preserve">8.3 Regulatory and Liability Frameworks</w:t>
      </w:r>
    </w:p>
    <w:p>
      <w:pPr>
        <w:pStyle w:val="FirstParagraph"/>
      </w:pPr>
      <w:r>
        <w:t xml:space="preserve">The legal architecture governing AI-generated 3D design remains fragmented, jurisdictionally inconsistent, and — in critical areas — undefined. This uncertainty imposes a substantial drag on institutional adoption.</w:t>
      </w:r>
    </w:p>
    <w:bookmarkStart w:id="129" w:name="the-69-uncertainty-problem"/>
    <w:p>
      <w:pPr>
        <w:pStyle w:val="Heading4"/>
      </w:pPr>
      <w:r>
        <w:t xml:space="preserve">8.3.1 The 69% Uncertainty Problem</w:t>
      </w:r>
    </w:p>
    <w:p>
      <w:pPr>
        <w:pStyle w:val="FirstParagraph"/>
      </w:pPr>
      <w:r>
        <w:t xml:space="preserve">Bluebeam’s global survey found 69% of AEC professionals report regulatory uncertainty has affected their AI implementation plans</w:t>
      </w:r>
      <w:r>
        <w:t xml:space="preserve"> </w:t>
      </w:r>
      <w:fldSimple w:instr="NOTEREF _Ref_Footnote_4 \h \f">
        <w:r>
          <w:rPr>
            <w:vertAlign w:val="superscript"/>
          </w:rPr>
          <w:t>4</w:t>
        </w:r>
      </w:fldSimple>
      <w:r>
        <w:t xml:space="preserve">. This operates alongside more concrete barriers: 42% cite data-sharing security, 33% cost and complexity</w:t>
      </w:r>
      <w:r>
        <w:t xml:space="preserve"> </w:t>
      </w:r>
      <w:fldSimple w:instr="NOTEREF _Ref_Footnote_4 \h \f">
        <w:r>
          <w:rPr>
            <w:vertAlign w:val="superscript"/>
          </w:rPr>
          <w:t>4</w:t>
        </w:r>
      </w:fldSimple>
      <w:r>
        <w:t xml:space="preserve">. The regulatory landscape varies dramatically across jurisdictions.</w:t>
      </w:r>
    </w:p>
    <w:p>
      <w:pPr>
        <w:pStyle w:val="BodyText"/>
      </w:pPr>
      <w:r>
        <w:rPr>
          <w:bCs/>
          <w:b/>
        </w:rPr>
        <w:t xml:space="preserve">Table 2: AI Regulatory Landscape by Jurisdiction — Implications for 3D Design Tools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Jurisdiction</w:t>
            </w:r>
          </w:p>
        </w:tc>
        <w:tc>
          <w:tcPr/>
          <w:p>
            <w:pPr>
              <w:pStyle w:val="Compact"/>
              <w:jc w:val="left"/>
            </w:pPr>
            <w:r>
              <w:t xml:space="preserve">Primary Instrument</w:t>
            </w:r>
          </w:p>
        </w:tc>
        <w:tc>
          <w:tcPr/>
          <w:p>
            <w:pPr>
              <w:pStyle w:val="Compact"/>
              <w:jc w:val="left"/>
            </w:pPr>
            <w:r>
              <w:t xml:space="preserve">AI Legal Status</w:t>
            </w:r>
          </w:p>
        </w:tc>
        <w:tc>
          <w:tcPr/>
          <w:p>
            <w:pPr>
              <w:pStyle w:val="Compact"/>
              <w:jc w:val="left"/>
            </w:pPr>
            <w:r>
              <w:t xml:space="preserve">Liability Framework</w:t>
            </w:r>
          </w:p>
        </w:tc>
        <w:tc>
          <w:tcPr/>
          <w:p>
            <w:pPr>
              <w:pStyle w:val="Compact"/>
              <w:jc w:val="left"/>
            </w:pPr>
            <w:r>
              <w:t xml:space="preserve">Key Provisions for 3D/CAD</w:t>
            </w:r>
          </w:p>
        </w:tc>
        <w:tc>
          <w:tcPr/>
          <w:p>
            <w:pPr>
              <w:pStyle w:val="Compact"/>
              <w:jc w:val="left"/>
            </w:pPr>
            <w:r>
              <w:t xml:space="preserve">Enforcement</w:t>
            </w:r>
          </w:p>
        </w:tc>
      </w:tr>
      <w:tr>
        <w:tc>
          <w:tcPr/>
          <w:p>
            <w:pPr>
              <w:pStyle w:val="Compact"/>
              <w:jc w:val="left"/>
            </w:pPr>
            <w:r>
              <w:t xml:space="preserve">European Union</w:t>
            </w:r>
          </w:p>
        </w:tc>
        <w:tc>
          <w:tcPr/>
          <w:p>
            <w:pPr>
              <w:pStyle w:val="Compact"/>
              <w:jc w:val="left"/>
            </w:pPr>
            <w:r>
              <w:t xml:space="preserve">AI Act (2024/1689) + Product Liability Directive</w:t>
            </w:r>
            <w:r>
              <w:t xml:space="preserve"> </w:t>
            </w:r>
            <w:r>
              <w:rPr>
                <w:vertAlign w:val="superscript"/>
              </w:rPr>
              <w:footnoteReference w:id="101"/>
            </w:r>
          </w:p>
        </w:tc>
        <w:tc>
          <w:tcPr/>
          <w:p>
            <w:pPr>
              <w:pStyle w:val="Compact"/>
              <w:jc w:val="left"/>
            </w:pPr>
            <w:r>
              <w:t xml:space="preserve">Software/AI explicitly a</w:t>
            </w:r>
            <w:r>
              <w:t xml:space="preserve"> </w:t>
            </w:r>
            <w:r>
              <w:t xml:space="preserve">“</w:t>
            </w:r>
            <w:r>
              <w:t xml:space="preserve">product</w:t>
            </w:r>
            <w:r>
              <w:t xml:space="preserve">”</w:t>
            </w:r>
          </w:p>
        </w:tc>
        <w:tc>
          <w:tcPr/>
          <w:p>
            <w:pPr>
              <w:pStyle w:val="Compact"/>
              <w:jc w:val="left"/>
            </w:pPr>
            <w:r>
              <w:t xml:space="preserve">Strict product liability; joint/several for integrated components</w:t>
            </w:r>
          </w:p>
        </w:tc>
        <w:tc>
          <w:tcPr/>
          <w:p>
            <w:pPr>
              <w:pStyle w:val="Compact"/>
              <w:jc w:val="left"/>
            </w:pPr>
            <w:r>
              <w:t xml:space="preserve">Copyright compliance for training data (Art. 53(1)(c))</w:t>
            </w:r>
            <w:r>
              <w:t xml:space="preserve"> </w:t>
            </w:r>
            <w:r>
              <w:rPr>
                <w:vertAlign w:val="superscript"/>
              </w:rPr>
              <w:footnoteReference w:id="102"/>
            </w:r>
            <w:r>
              <w:t xml:space="preserve">; GPAI models face systemic risk obligations</w:t>
            </w:r>
          </w:p>
        </w:tc>
        <w:tc>
          <w:tcPr/>
          <w:p>
            <w:pPr>
              <w:pStyle w:val="Compact"/>
              <w:jc w:val="left"/>
            </w:pPr>
            <w:r>
              <w:t xml:space="preserve">Phased 2024–2027; PLD transpose by Dec 2026</w:t>
            </w:r>
          </w:p>
        </w:tc>
      </w:tr>
      <w:tr>
        <w:tc>
          <w:tcPr/>
          <w:p>
            <w:pPr>
              <w:pStyle w:val="Compact"/>
              <w:jc w:val="left"/>
            </w:pPr>
            <w:r>
              <w:t xml:space="preserve">United States</w:t>
            </w:r>
          </w:p>
        </w:tc>
        <w:tc>
          <w:tcPr/>
          <w:p>
            <w:pPr>
              <w:pStyle w:val="Compact"/>
              <w:jc w:val="left"/>
            </w:pPr>
            <w:r>
              <w:t xml:space="preserve">USPTO Inventorship Guidance (Nov 2025)</w:t>
            </w:r>
            <w:r>
              <w:t xml:space="preserve"> </w:t>
            </w:r>
            <w:r>
              <w:rPr>
                <w:vertAlign w:val="superscript"/>
              </w:rPr>
              <w:footnoteReference w:id="103"/>
            </w:r>
          </w:p>
        </w:tc>
        <w:tc>
          <w:tcPr/>
          <w:p>
            <w:pPr>
              <w:pStyle w:val="Compact"/>
              <w:jc w:val="left"/>
            </w:pPr>
            <w:r>
              <w:t xml:space="preserve">AI treated as</w:t>
            </w:r>
            <w:r>
              <w:t xml:space="preserve"> </w:t>
            </w:r>
            <w:r>
              <w:t xml:space="preserve">“</w:t>
            </w:r>
            <w:r>
              <w:t xml:space="preserve">tool</w:t>
            </w:r>
            <w:r>
              <w:t xml:space="preserve">”</w:t>
            </w:r>
            <w:r>
              <w:t xml:space="preserve"> </w:t>
            </w:r>
            <w:r>
              <w:t xml:space="preserve">like lab equipment</w:t>
            </w:r>
          </w:p>
        </w:tc>
        <w:tc>
          <w:tcPr/>
          <w:p>
            <w:pPr>
              <w:pStyle w:val="Compact"/>
              <w:jc w:val="left"/>
            </w:pPr>
            <w:r>
              <w:t xml:space="preserve">Traditional tort; no AI-specific product liability</w:t>
            </w:r>
          </w:p>
        </w:tc>
        <w:tc>
          <w:tcPr/>
          <w:p>
            <w:pPr>
              <w:pStyle w:val="Compact"/>
              <w:jc w:val="left"/>
            </w:pPr>
            <w:r>
              <w:t xml:space="preserve">Only humans can be inventors; traditional</w:t>
            </w:r>
            <w:r>
              <w:t xml:space="preserve"> </w:t>
            </w:r>
            <w:r>
              <w:t xml:space="preserve">“</w:t>
            </w:r>
            <w:r>
              <w:t xml:space="preserve">conception</w:t>
            </w:r>
            <w:r>
              <w:t xml:space="preserve">”</w:t>
            </w:r>
            <w:r>
              <w:t xml:space="preserve"> </w:t>
            </w:r>
            <w:r>
              <w:t xml:space="preserve">standard; Pannu factors for human co-inventors only</w:t>
            </w:r>
            <w:r>
              <w:t xml:space="preserve"> </w:t>
            </w:r>
            <w:r>
              <w:rPr>
                <w:vertAlign w:val="superscript"/>
              </w:rPr>
              <w:footnoteReference w:id="104"/>
            </w:r>
          </w:p>
        </w:tc>
        <w:tc>
          <w:tcPr/>
          <w:p>
            <w:pPr>
              <w:pStyle w:val="Compact"/>
              <w:jc w:val="left"/>
            </w:pPr>
            <w:r>
              <w:t xml:space="preserve">Active guidance; no comprehensive federal statute</w:t>
            </w:r>
          </w:p>
        </w:tc>
      </w:tr>
      <w:tr>
        <w:tc>
          <w:tcPr/>
          <w:p>
            <w:pPr>
              <w:pStyle w:val="Compact"/>
              <w:jc w:val="left"/>
            </w:pPr>
            <w:r>
              <w:t xml:space="preserve">United Kingdom</w:t>
            </w:r>
          </w:p>
        </w:tc>
        <w:tc>
          <w:tcPr/>
          <w:p>
            <w:pPr>
              <w:pStyle w:val="Compact"/>
              <w:jc w:val="left"/>
            </w:pPr>
            <w:r>
              <w:t xml:space="preserve">AI White Paper (Mar 2023) + sectoral guidance</w:t>
            </w:r>
            <w:r>
              <w:t xml:space="preserve"> </w:t>
            </w:r>
            <w:r>
              <w:rPr>
                <w:vertAlign w:val="superscript"/>
              </w:rPr>
              <w:footnoteReference w:id="105"/>
            </w:r>
            <w:r>
              <w:t xml:space="preserve"> </w:t>
            </w:r>
            <w:r>
              <w:rPr>
                <w:vertAlign w:val="superscript"/>
              </w:rPr>
              <w:footnoteReference w:id="106"/>
            </w:r>
          </w:p>
        </w:tc>
        <w:tc>
          <w:tcPr/>
          <w:p>
            <w:pPr>
              <w:pStyle w:val="Compact"/>
              <w:jc w:val="left"/>
            </w:pPr>
            <w:r>
              <w:t xml:space="preserve">Principles-based, non-statutory</w:t>
            </w:r>
          </w:p>
        </w:tc>
        <w:tc>
          <w:tcPr/>
          <w:p>
            <w:pPr>
              <w:pStyle w:val="Compact"/>
              <w:jc w:val="left"/>
            </w:pPr>
            <w:r>
              <w:t xml:space="preserve">Existing sectoral liability</w:t>
            </w:r>
          </w:p>
        </w:tc>
        <w:tc>
          <w:tcPr/>
          <w:p>
            <w:pPr>
              <w:pStyle w:val="Compact"/>
              <w:jc w:val="left"/>
            </w:pPr>
            <w:r>
              <w:t xml:space="preserve">Five principles: safety, transparency, fairness, accountability, contestability</w:t>
            </w:r>
            <w:r>
              <w:t xml:space="preserve"> </w:t>
            </w:r>
            <w:fldSimple w:instr="NOTEREF _Ref_Footnote_106 \h \f">
              <w:r>
                <w:rPr>
                  <w:vertAlign w:val="superscript"/>
                </w:rPr>
                <w:t>106</w:t>
              </w:r>
            </w:fldSimple>
          </w:p>
        </w:tc>
        <w:tc>
          <w:tcPr/>
          <w:p>
            <w:pPr>
              <w:pStyle w:val="Compact"/>
              <w:jc w:val="left"/>
            </w:pPr>
            <w:r>
              <w:t xml:space="preserve">Voluntary; statutory framework pending</w:t>
            </w:r>
          </w:p>
        </w:tc>
      </w:tr>
      <w:tr>
        <w:tc>
          <w:tcPr/>
          <w:p>
            <w:pPr>
              <w:pStyle w:val="Compact"/>
              <w:jc w:val="left"/>
            </w:pPr>
            <w:r>
              <w:t xml:space="preserve">China</w:t>
            </w:r>
          </w:p>
        </w:tc>
        <w:tc>
          <w:tcPr/>
          <w:p>
            <w:pPr>
              <w:pStyle w:val="Compact"/>
              <w:jc w:val="left"/>
            </w:pPr>
            <w:r>
              <w:t xml:space="preserve">Interim Measures for Generative AI (Aug 2023)</w:t>
            </w:r>
            <w:r>
              <w:t xml:space="preserve"> </w:t>
            </w:r>
            <w:r>
              <w:rPr>
                <w:vertAlign w:val="superscript"/>
              </w:rPr>
              <w:footnoteReference w:id="107"/>
            </w:r>
            <w:r>
              <w:t xml:space="preserve"> </w:t>
            </w:r>
            <w:r>
              <w:rPr>
                <w:vertAlign w:val="superscript"/>
              </w:rPr>
              <w:footnoteReference w:id="108"/>
            </w:r>
          </w:p>
        </w:tc>
        <w:tc>
          <w:tcPr/>
          <w:p>
            <w:pPr>
              <w:pStyle w:val="Compact"/>
              <w:jc w:val="left"/>
            </w:pPr>
            <w:r>
              <w:t xml:space="preserve">Service-provider vertical regulation</w:t>
            </w:r>
          </w:p>
        </w:tc>
        <w:tc>
          <w:tcPr/>
          <w:p>
            <w:pPr>
              <w:pStyle w:val="Compact"/>
              <w:jc w:val="left"/>
            </w:pPr>
            <w:r>
              <w:t xml:space="preserve">Provider liability for generated content</w:t>
            </w:r>
          </w:p>
        </w:tc>
        <w:tc>
          <w:tcPr/>
          <w:p>
            <w:pPr>
              <w:pStyle w:val="Compact"/>
              <w:jc w:val="left"/>
            </w:pPr>
            <w:r>
              <w:t xml:space="preserve">Algorithm filing; content labeling; training data IP compliance; regulator inspection</w:t>
            </w:r>
            <w:r>
              <w:t xml:space="preserve"> </w:t>
            </w:r>
            <w:fldSimple w:instr="NOTEREF _Ref_Footnote_108 \h \f">
              <w:r>
                <w:rPr>
                  <w:vertAlign w:val="superscript"/>
                </w:rPr>
                <w:t>108</w:t>
              </w:r>
            </w:fldSimple>
          </w:p>
        </w:tc>
        <w:tc>
          <w:tcPr/>
          <w:p>
            <w:pPr>
              <w:pStyle w:val="Compact"/>
              <w:jc w:val="left"/>
            </w:pPr>
            <w:r>
              <w:t xml:space="preserve">Active; CAC registration required</w:t>
            </w:r>
          </w:p>
        </w:tc>
      </w:tr>
    </w:tbl>
    <w:p>
      <w:pPr>
        <w:pStyle w:val="BodyText"/>
      </w:pPr>
      <w:r>
        <w:t xml:space="preserve">The EU’s approach is most prescriptive. The Product Liability Directive, in force December 2024 and transposable by December 2026, classifies software (including AI) as a</w:t>
      </w:r>
      <w:r>
        <w:t xml:space="preserve"> </w:t>
      </w:r>
      <w:r>
        <w:t xml:space="preserve">“</w:t>
      </w:r>
      <w:r>
        <w:t xml:space="preserve">product</w:t>
      </w:r>
      <w:r>
        <w:t xml:space="preserve">”</w:t>
      </w:r>
      <w:r>
        <w:t xml:space="preserve"> </w:t>
      </w:r>
      <w:r>
        <w:t xml:space="preserve">for strict liability</w:t>
      </w:r>
      <w:r>
        <w:t xml:space="preserve"> </w:t>
      </w:r>
      <w:fldSimple w:instr="NOTEREF _Ref_Footnote_101 \h \f">
        <w:r>
          <w:rPr>
            <w:vertAlign w:val="superscript"/>
          </w:rPr>
          <w:t>101</w:t>
        </w:r>
      </w:fldSimple>
      <w:r>
        <w:t xml:space="preserve">. The directive covers components and integrated digital services, meaning tool providers and final-product manufacturers are jointly and severally liable</w:t>
      </w:r>
      <w:r>
        <w:t xml:space="preserve"> </w:t>
      </w:r>
      <w:fldSimple w:instr="NOTEREF _Ref_Footnote_101 \h \f">
        <w:r>
          <w:rPr>
            <w:vertAlign w:val="superscript"/>
          </w:rPr>
          <w:t>101</w:t>
        </w:r>
      </w:fldSimple>
      <w:r>
        <w:t xml:space="preserve">. For AI 3D tools, this creates a direct chain: if an AI-generated part fails in service, both the tool vendor and the approving engineer face exposure. The EU AI Act complements this by requiring general-purpose AI providers to implement copyright compliance policies</w:t>
      </w:r>
      <w:r>
        <w:t xml:space="preserve"> </w:t>
      </w:r>
      <w:fldSimple w:instr="NOTEREF _Ref_Footnote_102 \h \f">
        <w:r>
          <w:rPr>
            <w:vertAlign w:val="superscript"/>
          </w:rPr>
          <w:t>102</w:t>
        </w:r>
      </w:fldSimple>
      <w:r>
        <w:t xml:space="preserve">. The USPTO’s November 2025 guidance rescinded the 2024 framework, analogizing AI to</w:t>
      </w:r>
      <w:r>
        <w:t xml:space="preserve"> </w:t>
      </w:r>
      <w:r>
        <w:t xml:space="preserve">“</w:t>
      </w:r>
      <w:r>
        <w:t xml:space="preserve">lab equipment</w:t>
      </w:r>
      <w:r>
        <w:t xml:space="preserve">”</w:t>
      </w:r>
      <w:r>
        <w:t xml:space="preserve"> </w:t>
      </w:r>
      <w:r>
        <w:t xml:space="preserve">and re-anchoring inventorship in traditional human conception</w:t>
      </w:r>
      <w:r>
        <w:t xml:space="preserve"> </w:t>
      </w:r>
      <w:fldSimple w:instr="NOTEREF _Ref_Footnote_103 \h \f">
        <w:r>
          <w:rPr>
            <w:vertAlign w:val="superscript"/>
          </w:rPr>
          <w:t>103</w:t>
        </w:r>
      </w:fldSimple>
      <w:r>
        <w:t xml:space="preserve">. The practical implication: AI-generated 3D designs require meticulous human-contribution documentation to survive patent challenges</w:t>
      </w:r>
      <w:r>
        <w:t xml:space="preserve"> </w:t>
      </w:r>
      <w:fldSimple w:instr="NOTEREF _Ref_Footnote_104 \h \f">
        <w:r>
          <w:rPr>
            <w:vertAlign w:val="superscript"/>
          </w:rPr>
          <w:t>104</w:t>
        </w:r>
      </w:fldSimple>
      <w:r>
        <w:t xml:space="preserve">. China’s vertical model imposes obligations on service providers including algorithm filing with the Cyberspace Administration and mandatory content labeling</w:t>
      </w:r>
      <w:r>
        <w:t xml:space="preserve"> </w:t>
      </w:r>
      <w:fldSimple w:instr="NOTEREF _Ref_Footnote_108 \h \f">
        <w:r>
          <w:rPr>
            <w:vertAlign w:val="superscript"/>
          </w:rPr>
          <w:t>108</w:t>
        </w:r>
      </w:fldSimple>
      <w:r>
        <w:t xml:space="preserve">.</w:t>
      </w:r>
    </w:p>
    <w:bookmarkEnd w:id="129"/>
    <w:bookmarkStart w:id="130" w:name="X7a63ca6449c6ab7d23badbd66ac0341530fcfda"/>
    <w:p>
      <w:pPr>
        <w:pStyle w:val="Heading4"/>
      </w:pPr>
      <w:r>
        <w:t xml:space="preserve">8.3.2 Professional Liability in AI-Assisted Design</w:t>
      </w:r>
    </w:p>
    <w:p>
      <w:pPr>
        <w:pStyle w:val="FirstParagraph"/>
      </w:pPr>
      <w:r>
        <w:t xml:space="preserve">The central unanswered question: who bears responsibility when an AI-generated part fails? The EU’s Product Liability Directive creates a strict liability framework, but its December 2026 transposition deadline means it is not yet operational in most states</w:t>
      </w:r>
      <w:r>
        <w:t xml:space="preserve"> </w:t>
      </w:r>
      <w:fldSimple w:instr="NOTEREF _Ref_Footnote_101 \h \f">
        <w:r>
          <w:rPr>
            <w:vertAlign w:val="superscript"/>
          </w:rPr>
          <w:t>101</w:t>
        </w:r>
      </w:fldSimple>
      <w:r>
        <w:t xml:space="preserve">. In the US, no federal AI liability statute exists, and the NSPE’s position that engineers remain personally responsible reflects current reality</w:t>
      </w:r>
      <w:r>
        <w:t xml:space="preserve"> </w:t>
      </w:r>
      <w:fldSimple w:instr="NOTEREF _Ref_Footnote_22 \h \f">
        <w:r>
          <w:rPr>
            <w:vertAlign w:val="superscript"/>
          </w:rPr>
          <w:t>22</w:t>
        </w:r>
      </w:fldSimple>
      <w:r>
        <w:t xml:space="preserve">. There is no legal doctrine of</w:t>
      </w:r>
      <w:r>
        <w:t xml:space="preserve"> </w:t>
      </w:r>
      <w:r>
        <w:t xml:space="preserve">“</w:t>
      </w:r>
      <w:r>
        <w:t xml:space="preserve">AI malpractice</w:t>
      </w:r>
      <w:r>
        <w:t xml:space="preserve">”</w:t>
      </w:r>
      <w:r>
        <w:t xml:space="preserve"> </w:t>
      </w:r>
      <w:r>
        <w:t xml:space="preserve">that would shift liability from the professional to the tool.</w:t>
      </w:r>
    </w:p>
    <w:p>
      <w:pPr>
        <w:pStyle w:val="BodyText"/>
      </w:pPr>
      <w:r>
        <w:rPr>
          <w:bCs/>
          <w:b/>
        </w:rPr>
        <w:t xml:space="preserve">Case Study: Autodesk’s Interface AI Liability Framework</w:t>
      </w:r>
    </w:p>
    <w:p>
      <w:pPr>
        <w:pStyle w:val="BodyText"/>
      </w:pPr>
      <w:r>
        <w:t xml:space="preserve">Autodesk, with $1.4 billion in annual R&amp;D and strategic acquisitions including Spacemaker ($240 million) and Wonder Dynamics</w:t>
      </w:r>
      <w:r>
        <w:t xml:space="preserve"> </w:t>
      </w:r>
      <w:fldSimple w:instr="NOTEREF _Ref_Footnote_9 \h \f">
        <w:r>
          <w:rPr>
            <w:vertAlign w:val="superscript"/>
          </w:rPr>
          <w:t>9</w:t>
        </w:r>
      </w:fldSimple>
      <w:r>
        <w:t xml:space="preserve">, exemplifies how a major CAD incumbent navigates AI liability. Its</w:t>
      </w:r>
      <w:r>
        <w:t xml:space="preserve"> </w:t>
      </w:r>
      <w:r>
        <w:t xml:space="preserve">“</w:t>
      </w:r>
      <w:r>
        <w:t xml:space="preserve">Interface AI</w:t>
      </w:r>
      <w:r>
        <w:t xml:space="preserve">”</w:t>
      </w:r>
      <w:r>
        <w:t xml:space="preserve"> </w:t>
      </w:r>
      <w:r>
        <w:t xml:space="preserve">strategy — natural language interaction and prompt-driven design — differs from Siemens and Dassault Systèmes’</w:t>
      </w:r>
      <w:r>
        <w:t xml:space="preserve"> </w:t>
      </w:r>
      <w:r>
        <w:t xml:space="preserve">“</w:t>
      </w:r>
      <w:r>
        <w:t xml:space="preserve">Engineering AI</w:t>
      </w:r>
      <w:r>
        <w:t xml:space="preserve">”</w:t>
      </w:r>
      <w:r>
        <w:t xml:space="preserve"> </w:t>
      </w:r>
      <w:r>
        <w:t xml:space="preserve">focus on simulation and manufacturing-aware optimization</w:t>
      </w:r>
      <w:r>
        <w:t xml:space="preserve"> </w:t>
      </w:r>
      <w:fldSimple w:instr="NOTEREF _Ref_Footnote_2 \h \f">
        <w:r>
          <w:rPr>
            <w:vertAlign w:val="superscript"/>
          </w:rPr>
          <w:t>2</w:t>
        </w:r>
      </w:fldSimple>
      <w:r>
        <w:t xml:space="preserve">. This positioning has direct liability implications: by framing AI as an interface layer rather than an engineering-decision layer, Autodesk maintains that the human professional retains full responsibility for design outcomes.</w:t>
      </w:r>
    </w:p>
    <w:p>
      <w:pPr>
        <w:pStyle w:val="BodyText"/>
      </w:pPr>
      <w:r>
        <w:t xml:space="preserve">Autodesk’s liability approach gained public visibility after AEC Magazine’s October 2025</w:t>
      </w:r>
      <w:r>
        <w:t xml:space="preserve"> </w:t>
      </w:r>
      <w:r>
        <w:t xml:space="preserve">“</w:t>
      </w:r>
      <w:r>
        <w:t xml:space="preserve">Contract Killers</w:t>
      </w:r>
      <w:r>
        <w:t xml:space="preserve">”</w:t>
      </w:r>
      <w:r>
        <w:t xml:space="preserve"> </w:t>
      </w:r>
      <w:r>
        <w:t xml:space="preserve">investigation exposed a clause in Autodesk’s Acceptable Usage Policy — originally inserted in May 2018, before generative AI became operationally relevant — that, interpreted literally, prohibited users from training their own AI models using output from Autodesk applications</w:t>
      </w:r>
      <w:r>
        <w:t xml:space="preserve"> </w:t>
      </w:r>
      <w:r>
        <w:rPr>
          <w:vertAlign w:val="superscript"/>
        </w:rPr>
        <w:footnoteReference w:id="109"/>
      </w:r>
      <w:r>
        <w:t xml:space="preserve">. Companies developing internal ML classifiers for modeling error detection could technically be in breach. Multiple firms reported pausing internal AI projects while legal teams interpreted vendor terms</w:t>
      </w:r>
      <w:r>
        <w:t xml:space="preserve"> </w:t>
      </w:r>
      <w:fldSimple w:instr="NOTEREF _Ref_Footnote_109 \h \f">
        <w:r>
          <w:rPr>
            <w:vertAlign w:val="superscript"/>
          </w:rPr>
          <w:t>109</w:t>
        </w:r>
      </w:fldSimple>
      <w:r>
        <w:t xml:space="preserve">.</w:t>
      </w:r>
    </w:p>
    <w:p>
      <w:pPr>
        <w:pStyle w:val="BodyText"/>
      </w:pPr>
      <w:r>
        <w:t xml:space="preserve">Autodesk revised its terms in December 2025 following customer feedback</w:t>
      </w:r>
      <w:r>
        <w:t xml:space="preserve"> </w:t>
      </w:r>
      <w:fldSimple w:instr="NOTEREF _Ref_Footnote_109 \h \f">
        <w:r>
          <w:rPr>
            <w:vertAlign w:val="superscript"/>
          </w:rPr>
          <w:t>109</w:t>
        </w:r>
      </w:fldSimple>
      <w:r>
        <w:t xml:space="preserve">— a meaningful step toward aligning legal language with contemporary AI practice, but one that exposed how ill-suited traditional EULAs are to a world where software outputs serve as training data. The episode raised a fundamental question: as agentic AI reshapes workflows, whose interests do EULA changes serve — shareholders defending product moats, or customers seeking to innovate freely on their own data</w:t>
      </w:r>
      <w:r>
        <w:t xml:space="preserve"> </w:t>
      </w:r>
      <w:fldSimple w:instr="NOTEREF _Ref_Footnote_109 \h \f">
        <w:r>
          <w:rPr>
            <w:vertAlign w:val="superscript"/>
          </w:rPr>
          <w:t>109</w:t>
        </w:r>
      </w:fldSimple>
      <w:r>
        <w:t xml:space="preserve">?</w:t>
      </w:r>
    </w:p>
    <w:p>
      <w:pPr>
        <w:pStyle w:val="BodyText"/>
      </w:pPr>
      <w:r>
        <w:t xml:space="preserve">Autodesk’s Forma Building Layout Explorer (June 2026) uses generative AI to create floor plan options from massing models</w:t>
      </w:r>
      <w:r>
        <w:t xml:space="preserve"> </w:t>
      </w:r>
      <w:fldSimple w:instr="NOTEREF _Ref_Footnote_9 \h \f">
        <w:r>
          <w:rPr>
            <w:vertAlign w:val="superscript"/>
          </w:rPr>
          <w:t>9</w:t>
        </w:r>
      </w:fldSimple>
      <w:r>
        <w:t xml:space="preserve">. Its positioning as an exploratory aid rather than a professional-judgment replacement reflects the liability strategy: the human architect remains legally responsible, and terms of service explicitly disclaim liability for AI-generated suggestions. This aligns with current US tort law and NSPE guidance, but may face pressure under the EU’s stricter framework as it enters force. The broader implication is that liability frameworks are becoming competitive differentiators in AI CAD — vendors in strict-liability jurisdictions may need more rigorous output validation, documentation trails, and human-approval checkpoints, potentially advantaging incumbents over startups. For professional users, the imperative is maintaining auditable records of human review for all AI-generated geometry, because in the current legal vacuum, the approving professional bears the same liability as if they had modeled it by hand.</w:t>
      </w:r>
    </w:p>
    <w:p>
      <w:r>
        <w:pict>
          <v:rect style="width:0;height:1.5pt" o:hralign="center" o:hrstd="t" o:hr="t"/>
        </w:pict>
      </w:r>
    </w:p>
    <w:bookmarkEnd w:id="130"/>
    <w:bookmarkEnd w:id="131"/>
    <w:bookmarkEnd w:id="132"/>
    <w:bookmarkStart w:id="145" w:name="X66740e13a7a2b8c7b9efea6b679c5a380699f6b"/>
    <w:p>
      <w:pPr>
        <w:pStyle w:val="Heading2"/>
      </w:pPr>
      <w:r>
        <w:t xml:space="preserve">9. Comparative Framework: Side-by-Side Technology Assessment</w:t>
      </w:r>
    </w:p>
    <w:p>
      <w:pPr>
        <w:pStyle w:val="FirstParagraph"/>
      </w:pPr>
      <w:r>
        <w:t xml:space="preserve">After eight chapters examining individual approaches in depth, the question facing practitioners is deceptively simple: which stack should I use? The answer depends on representation geometry, model selection, agent architecture, integration protocol, physics requirements, and budget constraints. This chapter distills the preceding analysis into actionable comparisons—three structured tables and a quantitative case study—designed to guide pipeline architects in matching technology to workflow.</w:t>
      </w:r>
    </w:p>
    <w:bookmarkStart w:id="133" w:name="the-master-comparison-matrix"/>
    <w:p>
      <w:pPr>
        <w:pStyle w:val="Heading3"/>
      </w:pPr>
      <w:r>
        <w:t xml:space="preserve">9.1 The Master Comparison Matrix</w:t>
      </w:r>
    </w:p>
    <w:p>
      <w:pPr>
        <w:pStyle w:val="FirstParagraph"/>
      </w:pPr>
      <w:r>
        <w:t xml:space="preserve">The nine approaches compared below span the full spectrum of AI-driven 3D generation, from deterministic CSG scripts to diffusion-assisted neural meshes. Each row represents a distinct technology stack; each column captures a dimension critical to deployment decisions. Ratings reflect mid-2026 capabilities based on peer-reviewed results and independent testing where available.</w:t>
      </w:r>
    </w:p>
    <w:p>
      <w:pPr>
        <w:pStyle w:val="BodyText"/>
      </w:pPr>
      <w:r>
        <w:rPr>
          <w:bCs/>
          <w:b/>
        </w:rPr>
        <w:t xml:space="preserve">Table 9.1: Master Comparison Matrix — Nine Approaches Across Seven Dimensions</w:t>
      </w:r>
    </w:p>
    <w:tbl>
      <w:tblPr>
        <w:tblStyle w:val="Table"/>
        <w:tblW w:type="pct" w:w="5000"/>
        <w:tblLook w:firstRow="1" w:lastRow="0" w:firstColumn="0" w:lastColumn="0" w:noHBand="0" w:noVBand="0" w:val="0020"/>
      </w:tblPr>
      <w:tblGrid>
        <w:gridCol w:w="880"/>
        <w:gridCol w:w="880"/>
        <w:gridCol w:w="1100"/>
        <w:gridCol w:w="1100"/>
        <w:gridCol w:w="1100"/>
        <w:gridCol w:w="1100"/>
        <w:gridCol w:w="880"/>
        <w:gridCol w:w="880"/>
      </w:tblGrid>
      <w:tr>
        <w:trPr>
          <w:tblHeader w:val="true"/>
        </w:trPr>
        <w:tc>
          <w:tcPr/>
          <w:p>
            <w:pPr>
              <w:pStyle w:val="Compact"/>
              <w:jc w:val="left"/>
            </w:pPr>
            <w:r>
              <w:t xml:space="preserve">Approach</w:t>
            </w:r>
          </w:p>
        </w:tc>
        <w:tc>
          <w:tcPr/>
          <w:p>
            <w:pPr>
              <w:pStyle w:val="Compact"/>
              <w:jc w:val="left"/>
            </w:pPr>
            <w:r>
              <w:t xml:space="preserve">Granularity</w:t>
            </w:r>
          </w:p>
        </w:tc>
        <w:tc>
          <w:tcPr/>
          <w:p>
            <w:pPr>
              <w:pStyle w:val="Compact"/>
              <w:jc w:val="center"/>
            </w:pPr>
            <w:r>
              <w:t xml:space="preserve">LLM Code Complexity</w:t>
            </w:r>
          </w:p>
        </w:tc>
        <w:tc>
          <w:tcPr/>
          <w:p>
            <w:pPr>
              <w:pStyle w:val="Compact"/>
              <w:jc w:val="center"/>
            </w:pPr>
            <w:r>
              <w:t xml:space="preserve">Setup Complexity</w:t>
            </w:r>
          </w:p>
        </w:tc>
        <w:tc>
          <w:tcPr/>
          <w:p>
            <w:pPr>
              <w:pStyle w:val="Compact"/>
              <w:jc w:val="center"/>
            </w:pPr>
            <w:r>
              <w:t xml:space="preserve">Topology Quality</w:t>
            </w:r>
          </w:p>
        </w:tc>
        <w:tc>
          <w:tcPr/>
          <w:p>
            <w:pPr>
              <w:pStyle w:val="Compact"/>
              <w:jc w:val="center"/>
            </w:pPr>
            <w:r>
              <w:t xml:space="preserve">Determinism</w:t>
            </w:r>
          </w:p>
        </w:tc>
        <w:tc>
          <w:tcPr/>
          <w:p>
            <w:pPr>
              <w:pStyle w:val="Compact"/>
              <w:jc w:val="left"/>
            </w:pPr>
            <w:r>
              <w:t xml:space="preserve">Best-Fit Use Cases</w:t>
            </w:r>
          </w:p>
        </w:tc>
        <w:tc>
          <w:tcPr/>
          <w:p>
            <w:pPr>
              <w:pStyle w:val="Compact"/>
              <w:jc w:val="left"/>
            </w:pPr>
            <w:r>
              <w:t xml:space="preserve">Deployment Feasibility</w:t>
            </w:r>
          </w:p>
        </w:tc>
      </w:tr>
      <w:tr>
        <w:tc>
          <w:tcPr/>
          <w:p>
            <w:pPr>
              <w:pStyle w:val="Compact"/>
              <w:jc w:val="left"/>
            </w:pPr>
            <w:r>
              <w:rPr>
                <w:bCs/>
                <w:b/>
              </w:rPr>
              <w:t xml:space="preserve">bpy/Blender</w:t>
            </w:r>
          </w:p>
        </w:tc>
        <w:tc>
          <w:tcPr/>
          <w:p>
            <w:pPr>
              <w:pStyle w:val="Compact"/>
              <w:jc w:val="left"/>
            </w:pPr>
            <w:r>
              <w:t xml:space="preserve">Very high (per-vertex)</w:t>
            </w:r>
          </w:p>
        </w:tc>
        <w:tc>
          <w:tcPr/>
          <w:p>
            <w:pPr>
              <w:pStyle w:val="Compact"/>
              <w:jc w:val="center"/>
            </w:pPr>
            <w:r>
              <w:t xml:space="preserve">Medium</w:t>
            </w:r>
            <w:r>
              <w:t xml:space="preserve"> </w:t>
            </w:r>
            <w:fldSimple w:instr="NOTEREF _Ref_Footnote_8 \h \f">
              <w:r>
                <w:rPr>
                  <w:vertAlign w:val="superscript"/>
                </w:rPr>
                <w:t>8</w:t>
              </w:r>
            </w:fldSimple>
          </w:p>
        </w:tc>
        <w:tc>
          <w:tcPr/>
          <w:p>
            <w:pPr>
              <w:pStyle w:val="Compact"/>
              <w:jc w:val="center"/>
            </w:pPr>
            <w:r>
              <w:t xml:space="preserve">Medium (MCP req.)</w:t>
            </w:r>
          </w:p>
        </w:tc>
        <w:tc>
          <w:tcPr/>
          <w:p>
            <w:pPr>
              <w:pStyle w:val="Compact"/>
              <w:jc w:val="center"/>
            </w:pPr>
            <w:r>
              <w:t xml:space="preserve">Medium (mesh cleanup needed)</w:t>
            </w:r>
            <w:r>
              <w:t xml:space="preserve"> </w:t>
            </w:r>
            <w:fldSimple w:instr="NOTEREF _Ref_Footnote_20 \h \f">
              <w:r>
                <w:rPr>
                  <w:vertAlign w:val="superscript"/>
                </w:rPr>
                <w:t>20</w:t>
              </w:r>
            </w:fldSimple>
          </w:p>
        </w:tc>
        <w:tc>
          <w:tcPr/>
          <w:p>
            <w:pPr>
              <w:pStyle w:val="Compact"/>
              <w:jc w:val="center"/>
            </w:pPr>
            <w:r>
              <w:t xml:space="preserve">Low (stochastic)</w:t>
            </w:r>
          </w:p>
        </w:tc>
        <w:tc>
          <w:tcPr/>
          <w:p>
            <w:pPr>
              <w:pStyle w:val="Compact"/>
              <w:jc w:val="left"/>
            </w:pPr>
            <w:r>
              <w:t xml:space="preserve">Film/VFX hero assets, animation rigging</w:t>
            </w:r>
          </w:p>
        </w:tc>
        <w:tc>
          <w:tcPr/>
          <w:p>
            <w:pPr>
              <w:pStyle w:val="Compact"/>
              <w:jc w:val="left"/>
            </w:pPr>
            <w:r>
              <w:t xml:space="preserve">Production-ready (7+ MCP servers)</w:t>
            </w:r>
            <w:r>
              <w:t xml:space="preserve"> </w:t>
            </w:r>
            <w:fldSimple w:instr="NOTEREF _Ref_Footnote_67 \h \f">
              <w:r>
                <w:rPr>
                  <w:vertAlign w:val="superscript"/>
                </w:rPr>
                <w:t>67</w:t>
              </w:r>
            </w:fldSimple>
          </w:p>
        </w:tc>
      </w:tr>
      <w:tr>
        <w:tc>
          <w:tcPr/>
          <w:p>
            <w:pPr>
              <w:pStyle w:val="Compact"/>
              <w:jc w:val="left"/>
            </w:pPr>
            <w:r>
              <w:rPr>
                <w:bCs/>
                <w:b/>
              </w:rPr>
              <w:t xml:space="preserve">SDF/Taichi</w:t>
            </w:r>
          </w:p>
        </w:tc>
        <w:tc>
          <w:tcPr/>
          <w:p>
            <w:pPr>
              <w:pStyle w:val="Compact"/>
              <w:jc w:val="left"/>
            </w:pPr>
            <w:r>
              <w:t xml:space="preserve">Infinite (analytical)</w:t>
            </w:r>
          </w:p>
        </w:tc>
        <w:tc>
          <w:tcPr/>
          <w:p>
            <w:pPr>
              <w:pStyle w:val="Compact"/>
              <w:jc w:val="center"/>
            </w:pPr>
            <w:r>
              <w:t xml:space="preserve">High (math DSL)</w:t>
            </w:r>
            <w:r>
              <w:t xml:space="preserve"> </w:t>
            </w:r>
            <w:fldSimple w:instr="NOTEREF _Ref_Footnote_16 \h \f">
              <w:r>
                <w:rPr>
                  <w:vertAlign w:val="superscript"/>
                </w:rPr>
                <w:t>16</w:t>
              </w:r>
            </w:fldSimple>
          </w:p>
        </w:tc>
        <w:tc>
          <w:tcPr/>
          <w:p>
            <w:pPr>
              <w:pStyle w:val="Compact"/>
              <w:jc w:val="center"/>
            </w:pPr>
            <w:r>
              <w:t xml:space="preserve">High (GPU kernels)</w:t>
            </w:r>
          </w:p>
        </w:tc>
        <w:tc>
          <w:tcPr/>
          <w:p>
            <w:pPr>
              <w:pStyle w:val="Compact"/>
              <w:jc w:val="center"/>
            </w:pPr>
            <w:r>
              <w:t xml:space="preserve">High (smooth surfaces)</w:t>
            </w:r>
          </w:p>
        </w:tc>
        <w:tc>
          <w:tcPr/>
          <w:p>
            <w:pPr>
              <w:pStyle w:val="Compact"/>
              <w:jc w:val="center"/>
            </w:pPr>
            <w:r>
              <w:t xml:space="preserve">Medium (seed-dependent)</w:t>
            </w:r>
          </w:p>
        </w:tc>
        <w:tc>
          <w:tcPr/>
          <w:p>
            <w:pPr>
              <w:pStyle w:val="Compact"/>
              <w:jc w:val="left"/>
            </w:pPr>
            <w:r>
              <w:t xml:space="preserve">Organic forms, aero optimization, art</w:t>
            </w:r>
          </w:p>
        </w:tc>
        <w:tc>
          <w:tcPr/>
          <w:p>
            <w:pPr>
              <w:pStyle w:val="Compact"/>
              <w:jc w:val="left"/>
            </w:pPr>
            <w:r>
              <w:t xml:space="preserve">Research-stage (extraction loss)</w:t>
            </w:r>
            <w:r>
              <w:t xml:space="preserve"> </w:t>
            </w:r>
            <w:fldSimple w:instr="NOTEREF _Ref_Footnote_3 \h \f">
              <w:r>
                <w:rPr>
                  <w:vertAlign w:val="superscript"/>
                </w:rPr>
                <w:t>3</w:t>
              </w:r>
            </w:fldSimple>
          </w:p>
        </w:tc>
      </w:tr>
      <w:tr>
        <w:tc>
          <w:tcPr/>
          <w:p>
            <w:pPr>
              <w:pStyle w:val="Compact"/>
              <w:jc w:val="left"/>
            </w:pPr>
            <w:r>
              <w:rPr>
                <w:bCs/>
                <w:b/>
              </w:rPr>
              <w:t xml:space="preserve">CSG/OpenSCAD</w:t>
            </w:r>
          </w:p>
        </w:tc>
        <w:tc>
          <w:tcPr/>
          <w:p>
            <w:pPr>
              <w:pStyle w:val="Compact"/>
              <w:jc w:val="left"/>
            </w:pPr>
            <w:r>
              <w:t xml:space="preserve">Medium (primitives)</w:t>
            </w:r>
          </w:p>
        </w:tc>
        <w:tc>
          <w:tcPr/>
          <w:p>
            <w:pPr>
              <w:pStyle w:val="Compact"/>
              <w:jc w:val="center"/>
            </w:pPr>
            <w:r>
              <w:t xml:space="preserve">Low</w:t>
            </w:r>
            <w:r>
              <w:t xml:space="preserve"> </w:t>
            </w:r>
            <w:fldSimple w:instr="NOTEREF _Ref_Footnote_15 \h \f">
              <w:r>
                <w:rPr>
                  <w:vertAlign w:val="superscript"/>
                </w:rPr>
                <w:t>15</w:t>
              </w:r>
            </w:fldSimple>
          </w:p>
        </w:tc>
        <w:tc>
          <w:tcPr/>
          <w:p>
            <w:pPr>
              <w:pStyle w:val="Compact"/>
              <w:jc w:val="center"/>
            </w:pPr>
            <w:r>
              <w:t xml:space="preserve">Low (CLI + MCP)</w:t>
            </w:r>
          </w:p>
        </w:tc>
        <w:tc>
          <w:tcPr/>
          <w:p>
            <w:pPr>
              <w:pStyle w:val="Compact"/>
              <w:jc w:val="center"/>
            </w:pPr>
            <w:r>
              <w:t xml:space="preserve">Low (faceted surfaces)</w:t>
            </w:r>
          </w:p>
        </w:tc>
        <w:tc>
          <w:tcPr/>
          <w:p>
            <w:pPr>
              <w:pStyle w:val="Compact"/>
              <w:jc w:val="center"/>
            </w:pPr>
            <w:r>
              <w:t xml:space="preserve">Very high (script = output)</w:t>
            </w:r>
          </w:p>
        </w:tc>
        <w:tc>
          <w:tcPr/>
          <w:p>
            <w:pPr>
              <w:pStyle w:val="Compact"/>
              <w:jc w:val="left"/>
            </w:pPr>
            <w:r>
              <w:t xml:space="preserve">3D printing, mechanical brackets, jigs</w:t>
            </w:r>
          </w:p>
        </w:tc>
        <w:tc>
          <w:tcPr/>
          <w:p>
            <w:pPr>
              <w:pStyle w:val="Compact"/>
              <w:jc w:val="left"/>
            </w:pPr>
            <w:r>
              <w:t xml:space="preserve">Production-ready (3 MCP servers)</w:t>
            </w:r>
            <w:r>
              <w:t xml:space="preserve"> </w:t>
            </w:r>
            <w:fldSimple w:instr="NOTEREF _Ref_Footnote_8 \h \f">
              <w:r>
                <w:rPr>
                  <w:vertAlign w:val="superscript"/>
                </w:rPr>
                <w:t>8</w:t>
              </w:r>
            </w:fldSimple>
          </w:p>
        </w:tc>
      </w:tr>
      <w:tr>
        <w:tc>
          <w:tcPr/>
          <w:p>
            <w:pPr>
              <w:pStyle w:val="Compact"/>
              <w:jc w:val="left"/>
            </w:pPr>
            <w:r>
              <w:rPr>
                <w:bCs/>
                <w:b/>
              </w:rPr>
              <w:t xml:space="preserve">B-Rep/CadQuery</w:t>
            </w:r>
          </w:p>
        </w:tc>
        <w:tc>
          <w:tcPr/>
          <w:p>
            <w:pPr>
              <w:pStyle w:val="Compact"/>
              <w:jc w:val="left"/>
            </w:pPr>
            <w:r>
              <w:t xml:space="preserve">Very high (exact math)</w:t>
            </w:r>
          </w:p>
        </w:tc>
        <w:tc>
          <w:tcPr/>
          <w:p>
            <w:pPr>
              <w:pStyle w:val="Compact"/>
              <w:jc w:val="center"/>
            </w:pPr>
            <w:r>
              <w:t xml:space="preserve">Medium</w:t>
            </w:r>
            <w:r>
              <w:t xml:space="preserve"> </w:t>
            </w:r>
            <w:fldSimple w:instr="NOTEREF _Ref_Footnote_2 \h \f">
              <w:r>
                <w:rPr>
                  <w:vertAlign w:val="superscript"/>
                </w:rPr>
                <w:t>2</w:t>
              </w:r>
            </w:fldSimple>
          </w:p>
        </w:tc>
        <w:tc>
          <w:tcPr/>
          <w:p>
            <w:pPr>
              <w:pStyle w:val="Compact"/>
              <w:jc w:val="center"/>
            </w:pPr>
            <w:r>
              <w:t xml:space="preserve">Medium (OCCT deps)</w:t>
            </w:r>
          </w:p>
        </w:tc>
        <w:tc>
          <w:tcPr/>
          <w:p>
            <w:pPr>
              <w:pStyle w:val="Compact"/>
              <w:jc w:val="center"/>
            </w:pPr>
            <w:r>
              <w:t xml:space="preserve">Very high (parametric)</w:t>
            </w:r>
          </w:p>
        </w:tc>
        <w:tc>
          <w:tcPr/>
          <w:p>
            <w:pPr>
              <w:pStyle w:val="Compact"/>
              <w:jc w:val="center"/>
            </w:pPr>
            <w:r>
              <w:t xml:space="preserve">High (deterministic kernel)</w:t>
            </w:r>
          </w:p>
        </w:tc>
        <w:tc>
          <w:tcPr/>
          <w:p>
            <w:pPr>
              <w:pStyle w:val="Compact"/>
              <w:jc w:val="left"/>
            </w:pPr>
            <w:r>
              <w:t xml:space="preserve">Mechanical engineering, STEP export</w:t>
            </w:r>
          </w:p>
        </w:tc>
        <w:tc>
          <w:tcPr/>
          <w:p>
            <w:pPr>
              <w:pStyle w:val="Compact"/>
              <w:jc w:val="left"/>
            </w:pPr>
            <w:r>
              <w:t xml:space="preserve">Pilot-ready (TNP limits)</w:t>
            </w:r>
            <w:r>
              <w:t xml:space="preserve"> </w:t>
            </w:r>
            <w:fldSimple w:instr="NOTEREF _Ref_Footnote_2 \h \f">
              <w:r>
                <w:rPr>
                  <w:vertAlign w:val="superscript"/>
                </w:rPr>
                <w:t>2</w:t>
              </w:r>
            </w:fldSimple>
          </w:p>
        </w:tc>
      </w:tr>
      <w:tr>
        <w:tc>
          <w:tcPr/>
          <w:p>
            <w:pPr>
              <w:pStyle w:val="Compact"/>
              <w:jc w:val="left"/>
            </w:pPr>
            <w:r>
              <w:rPr>
                <w:bCs/>
                <w:b/>
              </w:rPr>
              <w:t xml:space="preserve">Voxel/MagicaVoxel</w:t>
            </w:r>
          </w:p>
        </w:tc>
        <w:tc>
          <w:tcPr/>
          <w:p>
            <w:pPr>
              <w:pStyle w:val="Compact"/>
              <w:jc w:val="left"/>
            </w:pPr>
            <w:r>
              <w:t xml:space="preserve">Low (grid-res limited)</w:t>
            </w:r>
          </w:p>
        </w:tc>
        <w:tc>
          <w:tcPr/>
          <w:p>
            <w:pPr>
              <w:pStyle w:val="Compact"/>
              <w:jc w:val="center"/>
            </w:pPr>
            <w:r>
              <w:t xml:space="preserve">Low</w:t>
            </w:r>
            <w:r>
              <w:t xml:space="preserve"> </w:t>
            </w:r>
            <w:fldSimple w:instr="NOTEREF _Ref_Footnote_9 \h \f">
              <w:r>
                <w:rPr>
                  <w:vertAlign w:val="superscript"/>
                </w:rPr>
                <w:t>9</w:t>
              </w:r>
            </w:fldSimple>
          </w:p>
        </w:tc>
        <w:tc>
          <w:tcPr/>
          <w:p>
            <w:pPr>
              <w:pStyle w:val="Compact"/>
              <w:jc w:val="center"/>
            </w:pPr>
            <w:r>
              <w:t xml:space="preserve">Low</w:t>
            </w:r>
          </w:p>
        </w:tc>
        <w:tc>
          <w:tcPr/>
          <w:p>
            <w:pPr>
              <w:pStyle w:val="Compact"/>
              <w:jc w:val="center"/>
            </w:pPr>
            <w:r>
              <w:t xml:space="preserve">Low (axis-aligned bias)</w:t>
            </w:r>
          </w:p>
        </w:tc>
        <w:tc>
          <w:tcPr/>
          <w:p>
            <w:pPr>
              <w:pStyle w:val="Compact"/>
              <w:jc w:val="center"/>
            </w:pPr>
            <w:r>
              <w:t xml:space="preserve">High (grid = output)</w:t>
            </w:r>
          </w:p>
        </w:tc>
        <w:tc>
          <w:tcPr/>
          <w:p>
            <w:pPr>
              <w:pStyle w:val="Compact"/>
              <w:jc w:val="left"/>
            </w:pPr>
            <w:r>
              <w:t xml:space="preserve">Spatial prototyping, Minecraft-style art</w:t>
            </w:r>
          </w:p>
        </w:tc>
        <w:tc>
          <w:tcPr/>
          <w:p>
            <w:pPr>
              <w:pStyle w:val="Compact"/>
              <w:jc w:val="left"/>
            </w:pPr>
            <w:r>
              <w:t xml:space="preserve">Production-ready (API simple)</w:t>
            </w:r>
          </w:p>
        </w:tc>
      </w:tr>
      <w:tr>
        <w:tc>
          <w:tcPr/>
          <w:p>
            <w:pPr>
              <w:pStyle w:val="Compact"/>
              <w:jc w:val="left"/>
            </w:pPr>
            <w:r>
              <w:rPr>
                <w:bCs/>
                <w:b/>
              </w:rPr>
              <w:t xml:space="preserve">Neural Mesh/DeepMesh</w:t>
            </w:r>
          </w:p>
        </w:tc>
        <w:tc>
          <w:tcPr/>
          <w:p>
            <w:pPr>
              <w:pStyle w:val="Compact"/>
              <w:jc w:val="left"/>
            </w:pPr>
            <w:r>
              <w:t xml:space="preserve">High (up to 30K faces)</w:t>
            </w:r>
          </w:p>
        </w:tc>
        <w:tc>
          <w:tcPr/>
          <w:p>
            <w:pPr>
              <w:pStyle w:val="Compact"/>
              <w:jc w:val="center"/>
            </w:pPr>
            <w:r>
              <w:t xml:space="preserve">High (autoregressive)</w:t>
            </w:r>
            <w:r>
              <w:t xml:space="preserve"> </w:t>
            </w:r>
            <w:fldSimple w:instr="NOTEREF _Ref_Footnote_36 \h \f">
              <w:r>
                <w:rPr>
                  <w:vertAlign w:val="superscript"/>
                </w:rPr>
                <w:t>36</w:t>
              </w:r>
            </w:fldSimple>
          </w:p>
        </w:tc>
        <w:tc>
          <w:tcPr/>
          <w:p>
            <w:pPr>
              <w:pStyle w:val="Compact"/>
              <w:jc w:val="center"/>
            </w:pPr>
            <w:r>
              <w:t xml:space="preserve">High (training infra)</w:t>
            </w:r>
          </w:p>
        </w:tc>
        <w:tc>
          <w:tcPr/>
          <w:p>
            <w:pPr>
              <w:pStyle w:val="Compact"/>
              <w:jc w:val="center"/>
            </w:pPr>
            <w:r>
              <w:t xml:space="preserve">Medium (creative meshes)</w:t>
            </w:r>
          </w:p>
        </w:tc>
        <w:tc>
          <w:tcPr/>
          <w:p>
            <w:pPr>
              <w:pStyle w:val="Compact"/>
              <w:jc w:val="center"/>
            </w:pPr>
            <w:r>
              <w:t xml:space="preserve">Low (sampling)</w:t>
            </w:r>
          </w:p>
        </w:tc>
        <w:tc>
          <w:tcPr/>
          <w:p>
            <w:pPr>
              <w:pStyle w:val="Compact"/>
              <w:jc w:val="left"/>
            </w:pPr>
            <w:r>
              <w:t xml:space="preserve">Game assets, character models, concept art</w:t>
            </w:r>
          </w:p>
        </w:tc>
        <w:tc>
          <w:tcPr/>
          <w:p>
            <w:pPr>
              <w:pStyle w:val="Compact"/>
              <w:jc w:val="left"/>
            </w:pPr>
            <w:r>
              <w:t xml:space="preserve">Production-ready (inference API)</w:t>
            </w:r>
          </w:p>
        </w:tc>
      </w:tr>
      <w:tr>
        <w:tc>
          <w:tcPr/>
          <w:p>
            <w:pPr>
              <w:pStyle w:val="Compact"/>
              <w:jc w:val="left"/>
            </w:pPr>
            <w:r>
              <w:rPr>
                <w:bCs/>
                <w:b/>
              </w:rPr>
              <w:t xml:space="preserve">MCP-Agent</w:t>
            </w:r>
          </w:p>
        </w:tc>
        <w:tc>
          <w:tcPr/>
          <w:p>
            <w:pPr>
              <w:pStyle w:val="Compact"/>
              <w:jc w:val="left"/>
            </w:pPr>
            <w:r>
              <w:t xml:space="preserve">Variable (tool-dependent)</w:t>
            </w:r>
          </w:p>
        </w:tc>
        <w:tc>
          <w:tcPr/>
          <w:p>
            <w:pPr>
              <w:pStyle w:val="Compact"/>
              <w:jc w:val="center"/>
            </w:pPr>
            <w:r>
              <w:t xml:space="preserve">Medium</w:t>
            </w:r>
            <w:r>
              <w:t xml:space="preserve"> </w:t>
            </w:r>
            <w:fldSimple w:instr="NOTEREF _Ref_Footnote_17 \h \f">
              <w:r>
                <w:rPr>
                  <w:vertAlign w:val="superscript"/>
                </w:rPr>
                <w:t>17</w:t>
              </w:r>
            </w:fldSimple>
          </w:p>
        </w:tc>
        <w:tc>
          <w:tcPr/>
          <w:p>
            <w:pPr>
              <w:pStyle w:val="Compact"/>
              <w:jc w:val="center"/>
            </w:pPr>
            <w:r>
              <w:t xml:space="preserve">Medium (server config)</w:t>
            </w:r>
          </w:p>
        </w:tc>
        <w:tc>
          <w:tcPr/>
          <w:p>
            <w:pPr>
              <w:pStyle w:val="Compact"/>
              <w:jc w:val="center"/>
            </w:pPr>
            <w:r>
              <w:t xml:space="preserve">Variable</w:t>
            </w:r>
          </w:p>
        </w:tc>
        <w:tc>
          <w:tcPr/>
          <w:p>
            <w:pPr>
              <w:pStyle w:val="Compact"/>
              <w:jc w:val="center"/>
            </w:pPr>
            <w:r>
              <w:t xml:space="preserve">Medium</w:t>
            </w:r>
          </w:p>
        </w:tc>
        <w:tc>
          <w:tcPr/>
          <w:p>
            <w:pPr>
              <w:pStyle w:val="Compact"/>
              <w:jc w:val="left"/>
            </w:pPr>
            <w:r>
              <w:t xml:space="preserve">Generalist pipelines, tool-switching</w:t>
            </w:r>
          </w:p>
        </w:tc>
        <w:tc>
          <w:tcPr/>
          <w:p>
            <w:pPr>
              <w:pStyle w:val="Compact"/>
              <w:jc w:val="left"/>
            </w:pPr>
            <w:r>
              <w:t xml:space="preserve">Production-ready (official support)</w:t>
            </w:r>
          </w:p>
        </w:tc>
      </w:tr>
      <w:tr>
        <w:tc>
          <w:tcPr/>
          <w:p>
            <w:pPr>
              <w:pStyle w:val="Compact"/>
              <w:jc w:val="left"/>
            </w:pPr>
            <w:r>
              <w:rPr>
                <w:bCs/>
                <w:b/>
              </w:rPr>
              <w:t xml:space="preserve">Multi-Agent</w:t>
            </w:r>
          </w:p>
        </w:tc>
        <w:tc>
          <w:tcPr/>
          <w:p>
            <w:pPr>
              <w:pStyle w:val="Compact"/>
              <w:jc w:val="left"/>
            </w:pPr>
            <w:r>
              <w:t xml:space="preserve">Variable (arch-dependent)</w:t>
            </w:r>
          </w:p>
        </w:tc>
        <w:tc>
          <w:tcPr/>
          <w:p>
            <w:pPr>
              <w:pStyle w:val="Compact"/>
              <w:jc w:val="center"/>
            </w:pPr>
            <w:r>
              <w:t xml:space="preserve">High</w:t>
            </w:r>
            <w:r>
              <w:t xml:space="preserve"> </w:t>
            </w:r>
            <w:fldSimple w:instr="NOTEREF _Ref_Footnote_8 \h \f">
              <w:r>
                <w:rPr>
                  <w:vertAlign w:val="superscript"/>
                </w:rPr>
                <w:t>8</w:t>
              </w:r>
            </w:fldSimple>
          </w:p>
        </w:tc>
        <w:tc>
          <w:tcPr/>
          <w:p>
            <w:pPr>
              <w:pStyle w:val="Compact"/>
              <w:jc w:val="center"/>
            </w:pPr>
            <w:r>
              <w:t xml:space="preserve">High (orchestration)</w:t>
            </w:r>
          </w:p>
        </w:tc>
        <w:tc>
          <w:tcPr/>
          <w:p>
            <w:pPr>
              <w:pStyle w:val="Compact"/>
              <w:jc w:val="center"/>
            </w:pPr>
            <w:r>
              <w:t xml:space="preserve">Very high (with VLM judge)</w:t>
            </w:r>
          </w:p>
        </w:tc>
        <w:tc>
          <w:tcPr/>
          <w:p>
            <w:pPr>
              <w:pStyle w:val="Compact"/>
              <w:jc w:val="center"/>
            </w:pPr>
            <w:r>
              <w:t xml:space="preserve">Low (composition)</w:t>
            </w:r>
          </w:p>
        </w:tc>
        <w:tc>
          <w:tcPr/>
          <w:p>
            <w:pPr>
              <w:pStyle w:val="Compact"/>
              <w:jc w:val="left"/>
            </w:pPr>
            <w:r>
              <w:t xml:space="preserve">Complex assemblies, quality-critical parts</w:t>
            </w:r>
          </w:p>
        </w:tc>
        <w:tc>
          <w:tcPr/>
          <w:p>
            <w:pPr>
              <w:pStyle w:val="Compact"/>
              <w:jc w:val="left"/>
            </w:pPr>
            <w:r>
              <w:t xml:space="preserve">Pilot-ready (token cost)</w:t>
            </w:r>
            <w:r>
              <w:t xml:space="preserve"> </w:t>
            </w:r>
            <w:fldSimple w:instr="NOTEREF _Ref_Footnote_6 \h \f">
              <w:r>
                <w:rPr>
                  <w:vertAlign w:val="superscript"/>
                </w:rPr>
                <w:t>6</w:t>
              </w:r>
            </w:fldSimple>
          </w:p>
        </w:tc>
      </w:tr>
      <w:tr>
        <w:tc>
          <w:tcPr/>
          <w:p>
            <w:pPr>
              <w:pStyle w:val="Compact"/>
              <w:jc w:val="left"/>
            </w:pPr>
            <w:r>
              <w:rPr>
                <w:bCs/>
                <w:b/>
              </w:rPr>
              <w:t xml:space="preserve">Diffusion-assisted</w:t>
            </w:r>
          </w:p>
        </w:tc>
        <w:tc>
          <w:tcPr/>
          <w:p>
            <w:pPr>
              <w:pStyle w:val="Compact"/>
              <w:jc w:val="left"/>
            </w:pPr>
            <w:r>
              <w:t xml:space="preserve">High (image→3D)</w:t>
            </w:r>
          </w:p>
        </w:tc>
        <w:tc>
          <w:tcPr/>
          <w:p>
            <w:pPr>
              <w:pStyle w:val="Compact"/>
              <w:jc w:val="center"/>
            </w:pPr>
            <w:r>
              <w:t xml:space="preserve">N/A (end-to-end)</w:t>
            </w:r>
          </w:p>
        </w:tc>
        <w:tc>
          <w:tcPr/>
          <w:p>
            <w:pPr>
              <w:pStyle w:val="Compact"/>
              <w:jc w:val="center"/>
            </w:pPr>
            <w:r>
              <w:t xml:space="preserve">Low (API call)</w:t>
            </w:r>
          </w:p>
        </w:tc>
        <w:tc>
          <w:tcPr/>
          <w:p>
            <w:pPr>
              <w:pStyle w:val="Compact"/>
              <w:jc w:val="center"/>
            </w:pPr>
            <w:r>
              <w:t xml:space="preserve">Medium (triangulation)</w:t>
            </w:r>
          </w:p>
        </w:tc>
        <w:tc>
          <w:tcPr/>
          <w:p>
            <w:pPr>
              <w:pStyle w:val="Compact"/>
              <w:jc w:val="center"/>
            </w:pPr>
            <w:r>
              <w:t xml:space="preserve">Very low</w:t>
            </w:r>
          </w:p>
        </w:tc>
        <w:tc>
          <w:tcPr/>
          <w:p>
            <w:pPr>
              <w:pStyle w:val="Compact"/>
              <w:jc w:val="left"/>
            </w:pPr>
            <w:r>
              <w:t xml:space="preserve">Rapid ideation, texture generation</w:t>
            </w:r>
          </w:p>
        </w:tc>
        <w:tc>
          <w:tcPr/>
          <w:p>
            <w:pPr>
              <w:pStyle w:val="Compact"/>
              <w:jc w:val="left"/>
            </w:pPr>
            <w:r>
              <w:t xml:space="preserve">Production-ready (Tripo, Meshy)</w:t>
            </w:r>
            <w:r>
              <w:t xml:space="preserve"> </w:t>
            </w:r>
            <w:fldSimple w:instr="NOTEREF _Ref_Footnote_1 \h \f">
              <w:r>
                <w:rPr>
                  <w:vertAlign w:val="superscript"/>
                </w:rPr>
                <w:t>1</w:t>
              </w:r>
            </w:fldSimple>
            <w:r>
              <w:t xml:space="preserve"> </w:t>
            </w:r>
            <w:fldSimple w:instr="NOTEREF _Ref_Footnote_11 \h \f">
              <w:r>
                <w:rPr>
                  <w:vertAlign w:val="superscript"/>
                </w:rPr>
                <w:t>11</w:t>
              </w:r>
            </w:fldSimple>
          </w:p>
        </w:tc>
      </w:tr>
    </w:tbl>
    <w:p>
      <w:pPr>
        <w:pStyle w:val="BodyText"/>
      </w:pPr>
      <w:r>
        <w:t xml:space="preserve">The matrix reveals a fundamental tradeoff that no single approach resolves. CSG/OpenSCAD delivers the highest determinism—the same script always produces identical geometry, a property essential for version-controlled engineering pipelines—but its faceted surfaces cannot represent organic curvature</w:t>
      </w:r>
      <w:r>
        <w:t xml:space="preserve"> </w:t>
      </w:r>
      <w:fldSimple w:instr="NOTEREF _Ref_Footnote_15 \h \f">
        <w:r>
          <w:rPr>
            <w:vertAlign w:val="superscript"/>
          </w:rPr>
          <w:t>15</w:t>
        </w:r>
      </w:fldSimple>
      <w:r>
        <w:t xml:space="preserve">. B-Rep/CadQuery preserves parametric editability through exact mathematical surface definitions, yet the Topological Naming Problem (TNP) creates a combinatorial search space of</w:t>
      </w:r>
      <w:r>
        <w:t xml:space="preserve"> </w:t>
      </w:r>
      <m:oMath>
        <m:r>
          <m:t>O</m:t>
        </m:r>
        <m:d>
          <m:dPr>
            <m:begChr m:val="("/>
            <m:endChr m:val=")"/>
            <m:sepChr m:val=""/>
            <m:grow/>
          </m:dPr>
          <m:e>
            <m:sSup>
              <m:e>
                <m:r>
                  <m:t>V</m:t>
                </m:r>
              </m:e>
              <m:sup>
                <m:r>
                  <m:t>2</m:t>
                </m:r>
              </m:sup>
            </m:sSup>
            <m:d>
              <m:dPr>
                <m:begChr m:val="|"/>
                <m:endChr m:val="|"/>
                <m:sepChr m:val=""/>
                <m:grow/>
              </m:dPr>
              <m:e>
                <m:r>
                  <m:t>E</m:t>
                </m:r>
              </m:e>
            </m:d>
          </m:e>
        </m:d>
      </m:oMath>
      <w:r>
        <w:t xml:space="preserve"> </w:t>
      </w:r>
      <w:r>
        <w:t xml:space="preserve">that limits automated feature editing</w:t>
      </w:r>
      <w:r>
        <w:t xml:space="preserve"> </w:t>
      </w:r>
      <w:fldSimple w:instr="NOTEREF _Ref_Footnote_2 \h \f">
        <w:r>
          <w:rPr>
            <w:vertAlign w:val="superscript"/>
          </w:rPr>
          <w:t>2</w:t>
        </w:r>
      </w:fldSimple>
      <w:r>
        <w:t xml:space="preserve">. SDFs offer mathematically infinite resolution but require lossy Marching Cubes extraction before manufacturing, with sharp-edge reconstruction as a known limitation</w:t>
      </w:r>
      <w:r>
        <w:t xml:space="preserve"> </w:t>
      </w:r>
      <w:fldSimple w:instr="NOTEREF _Ref_Footnote_3 \h \f">
        <w:r>
          <w:rPr>
            <w:vertAlign w:val="superscript"/>
          </w:rPr>
          <w:t>3</w:t>
        </w:r>
      </w:fldSimple>
      <w:r>
        <w:t xml:space="preserve">. Neural mesh generators such as DeepMesh scale to 1 billion parameters and 30,000 faces</w:t>
      </w:r>
      <w:r>
        <w:t xml:space="preserve"> </w:t>
      </w:r>
      <w:fldSimple w:instr="NOTEREF _Ref_Footnote_36 \h \f">
        <w:r>
          <w:rPr>
            <w:vertAlign w:val="superscript"/>
          </w:rPr>
          <w:t>36</w:t>
        </w:r>
      </w:fldSimple>
      <w:r>
        <w:t xml:space="preserve">, yet their outputs lack the parametric history that engineering workflows require.</w:t>
      </w:r>
    </w:p>
    <w:p>
      <w:pPr>
        <w:pStyle w:val="BodyText"/>
      </w:pPr>
      <w:r>
        <w:t xml:space="preserve">The determinism column deserves particular attention for practitioners deciding between research-grade and production-grade pipelines. CSG and B-Rep approaches score</w:t>
      </w:r>
      <w:r>
        <w:t xml:space="preserve"> </w:t>
      </w:r>
      <w:r>
        <w:t xml:space="preserve">“</w:t>
      </w:r>
      <w:r>
        <w:t xml:space="preserve">High</w:t>
      </w:r>
      <w:r>
        <w:t xml:space="preserve">”</w:t>
      </w:r>
      <w:r>
        <w:t xml:space="preserve"> </w:t>
      </w:r>
      <w:r>
        <w:t xml:space="preserve">or</w:t>
      </w:r>
      <w:r>
        <w:t xml:space="preserve"> </w:t>
      </w:r>
      <w:r>
        <w:t xml:space="preserve">“</w:t>
      </w:r>
      <w:r>
        <w:t xml:space="preserve">Very High</w:t>
      </w:r>
      <w:r>
        <w:t xml:space="preserve">”</w:t>
      </w:r>
      <w:r>
        <w:t xml:space="preserve"> </w:t>
      </w:r>
      <w:r>
        <w:t xml:space="preserve">because their outputs are deterministic functions of code. Diffusion-assisted approaches score</w:t>
      </w:r>
      <w:r>
        <w:t xml:space="preserve"> </w:t>
      </w:r>
      <w:r>
        <w:t xml:space="preserve">“</w:t>
      </w:r>
      <w:r>
        <w:t xml:space="preserve">Very Low</w:t>
      </w:r>
      <w:r>
        <w:t xml:space="preserve">”</w:t>
      </w:r>
      <w:r>
        <w:t xml:space="preserve"> </w:t>
      </w:r>
      <w:r>
        <w:t xml:space="preserve">because the same prompt yields different geometry on each generation—a property acceptable for concept art but disqualifying for engineering parts with tolerance requirements. Multi-agent systems score</w:t>
      </w:r>
      <w:r>
        <w:t xml:space="preserve"> </w:t>
      </w:r>
      <w:r>
        <w:t xml:space="preserve">“</w:t>
      </w:r>
      <w:r>
        <w:t xml:space="preserve">Low</w:t>
      </w:r>
      <w:r>
        <w:t xml:space="preserve">”</w:t>
      </w:r>
      <w:r>
        <w:t xml:space="preserve"> </w:t>
      </w:r>
      <w:r>
        <w:t xml:space="preserve">not because individual tools are stochastic but because the composition of multiple agents introduces non-deterministic interaction patterns that are difficult to reproduce or debug</w:t>
      </w:r>
      <w:r>
        <w:t xml:space="preserve"> </w:t>
      </w:r>
      <w:fldSimple w:instr="NOTEREF _Ref_Footnote_8 \h \f">
        <w:r>
          <w:rPr>
            <w:vertAlign w:val="superscript"/>
          </w:rPr>
          <w:t>8</w:t>
        </w:r>
      </w:fldSimple>
      <w:r>
        <w:t xml:space="preserve">.</w:t>
      </w:r>
    </w:p>
    <w:p>
      <w:pPr>
        <w:pStyle w:val="BodyText"/>
      </w:pPr>
      <w:r>
        <w:t xml:space="preserve">MCP-Agent architectures deserve special consideration as the most adaptable entry point. Because MCP exposes tool schemas at runtime, the same agent can switch between CSG (for deterministic prismatic parts), bpy (for mesh manipulation), and B-Rep (for STEP export) within a single session</w:t>
      </w:r>
      <w:r>
        <w:t xml:space="preserve"> </w:t>
      </w:r>
      <w:fldSimple w:instr="NOTEREF _Ref_Footnote_17 \h \f">
        <w:r>
          <w:rPr>
            <w:vertAlign w:val="superscript"/>
          </w:rPr>
          <w:t>17</w:t>
        </w:r>
      </w:fldSimple>
      <w:r>
        <w:t xml:space="preserve">. This flexibility comes at the cost of additional setup complexity—the MCP server must be configured, secured (the Blender Foundation explicitly warns that its server</w:t>
      </w:r>
      <w:r>
        <w:t xml:space="preserve"> </w:t>
      </w:r>
      <w:r>
        <w:t xml:space="preserve">“</w:t>
      </w:r>
      <w:r>
        <w:t xml:space="preserve">will execute LLM generated code without any guards</w:t>
      </w:r>
      <w:r>
        <w:t xml:space="preserve">”</w:t>
      </w:r>
      <w:r>
        <w:t xml:space="preserve"> </w:t>
      </w:r>
      <w:fldSimple w:instr="NOTEREF _Ref_Footnote_17 \h \f">
        <w:r>
          <w:rPr>
            <w:vertAlign w:val="superscript"/>
          </w:rPr>
          <w:t>17</w:t>
        </w:r>
      </w:fldSimple>
      <w:r>
        <w:t xml:space="preserve">), and maintained. For teams with DevOps capacity, MCP-Agent is the most future-proof choice; for individual practitioners, the setup overhead may not justify the flexibility.</w:t>
      </w:r>
    </w:p>
    <w:bookmarkEnd w:id="133"/>
    <w:bookmarkStart w:id="139" w:name="use-case-driven-stack-selection"/>
    <w:p>
      <w:pPr>
        <w:pStyle w:val="Heading3"/>
      </w:pPr>
      <w:r>
        <w:t xml:space="preserve">9.2 Use-Case-Driven Stack Selection</w:t>
      </w:r>
    </w:p>
    <w:p>
      <w:pPr>
        <w:pStyle w:val="FirstParagraph"/>
      </w:pPr>
      <w:r>
        <w:t xml:space="preserve">The master comparison answers</w:t>
      </w:r>
      <w:r>
        <w:t xml:space="preserve"> </w:t>
      </w:r>
      <w:r>
        <w:t xml:space="preserve">“</w:t>
      </w:r>
      <w:r>
        <w:t xml:space="preserve">what can each approach do?</w:t>
      </w:r>
      <w:r>
        <w:t xml:space="preserve">”</w:t>
      </w:r>
      <w:r>
        <w:t xml:space="preserve"> </w:t>
      </w:r>
      <w:r>
        <w:t xml:space="preserve">This section answers</w:t>
      </w:r>
      <w:r>
        <w:t xml:space="preserve"> </w:t>
      </w:r>
      <w:r>
        <w:t xml:space="preserve">“</w:t>
      </w:r>
      <w:r>
        <w:t xml:space="preserve">what should I use for my specific workflow?</w:t>
      </w:r>
      <w:r>
        <w:t xml:space="preserve">”</w:t>
      </w:r>
      <w:r>
        <w:t xml:space="preserve"> </w:t>
      </w:r>
      <w:r>
        <w:t xml:space="preserve">Each subsection maps a common production scenario to the optimal stack, with explicit reasoning and maturity assessment.</w:t>
      </w:r>
    </w:p>
    <w:bookmarkStart w:id="134" w:name="X860025f818d8601bd777aac31b34cbc682fe294"/>
    <w:p>
      <w:pPr>
        <w:pStyle w:val="Heading4"/>
      </w:pPr>
      <w:r>
        <w:t xml:space="preserve">9.2.1 Game Asset Pipeline: MCP-Blender + Qwen2.5-7B + Visual Feedback</w:t>
      </w:r>
    </w:p>
    <w:p>
      <w:pPr>
        <w:pStyle w:val="FirstParagraph"/>
      </w:pPr>
      <w:r>
        <w:t xml:space="preserve">Game asset generation is the most commercially mature application of AI-driven 3D modeling, with Tripo AI reaching a $1.5 billion valuation and Meshy exceeding $40 million ARR</w:t>
      </w:r>
      <w:r>
        <w:t xml:space="preserve"> </w:t>
      </w:r>
      <w:fldSimple w:instr="NOTEREF _Ref_Footnote_1 \h \f">
        <w:r>
          <w:rPr>
            <w:vertAlign w:val="superscript"/>
          </w:rPr>
          <w:t>1</w:t>
        </w:r>
      </w:fldSimple>
      <w:r>
        <w:t xml:space="preserve"> </w:t>
      </w:r>
      <w:fldSimple w:instr="NOTEREF _Ref_Footnote_11 \h \f">
        <w:r>
          <w:rPr>
            <w:vertAlign w:val="superscript"/>
          </w:rPr>
          <w:t>11</w:t>
        </w:r>
      </w:fldSimple>
      <w:r>
        <w:t xml:space="preserve">. For teams building programmatic pipelines rather than using commercial APIs, the recommended stack combines an MCP-connected Blender agent with a fine-tuned Qwen2.5-7B model and iterative visual feedback.</w:t>
      </w:r>
    </w:p>
    <w:p>
      <w:pPr>
        <w:pStyle w:val="BodyText"/>
      </w:pPr>
      <w:r>
        <w:t xml:space="preserve">The expected output—a 50,000–500,000 triangle mesh with PBR textures and skeletal rig readiness—requires three pipeline stages. First, the LLM generates Blender Python (</w:t>
      </w:r>
      <w:r>
        <w:rPr>
          <w:rStyle w:val="VerbatimChar"/>
        </w:rPr>
        <w:t xml:space="preserve">bpy</w:t>
      </w:r>
      <w:r>
        <w:t xml:space="preserve">) scripts through the MCP server, targeting the official Blender Foundation server or the community</w:t>
      </w:r>
      <w:r>
        <w:t xml:space="preserve"> </w:t>
      </w:r>
      <w:r>
        <w:rPr>
          <w:rStyle w:val="VerbatimChar"/>
        </w:rPr>
        <w:t xml:space="preserve">ahujasid/blender-mcp</w:t>
      </w:r>
      <w:r>
        <w:t xml:space="preserve"> </w:t>
      </w:r>
      <w:r>
        <w:t xml:space="preserve">implementation (~22,900 GitHub stars)</w:t>
      </w:r>
      <w:r>
        <w:t xml:space="preserve"> </w:t>
      </w:r>
      <w:fldSimple w:instr="NOTEREF _Ref_Footnote_67 \h \f">
        <w:r>
          <w:rPr>
            <w:vertAlign w:val="superscript"/>
          </w:rPr>
          <w:t>67</w:t>
        </w:r>
      </w:fldSimple>
      <w:r>
        <w:t xml:space="preserve"> </w:t>
      </w:r>
      <w:fldSimple w:instr="NOTEREF _Ref_Footnote_17 \h \f">
        <w:r>
          <w:rPr>
            <w:vertAlign w:val="superscript"/>
          </w:rPr>
          <w:t>17</w:t>
        </w:r>
      </w:fldSimple>
      <w:r>
        <w:t xml:space="preserve">. Second, a VLM (Qwen2.5-VL-7B or GPT-4o) renders the output and critiques topology, proportions, and material assignment. Third, a refinement loop iterates until the asset passes automated checks. SceneCraft demonstrated that this render-critique-refine pattern achieves a 45.1% CLIP score improvement over single-pass generation</w:t>
      </w:r>
      <w:r>
        <w:t xml:space="preserve"> </w:t>
      </w:r>
      <w:fldSimple w:instr="NOTEREF _Ref_Footnote_9 \h \f">
        <w:r>
          <w:rPr>
            <w:vertAlign w:val="superscript"/>
          </w:rPr>
          <w:t>9</w:t>
        </w:r>
      </w:fldSimple>
      <w:r>
        <w:t xml:space="preserve">, while CADSmith’s multi-agent validation reduces Chamfer Distance 38-fold</w:t>
      </w:r>
      <w:r>
        <w:t xml:space="preserve"> </w:t>
      </w:r>
      <w:fldSimple w:instr="NOTEREF _Ref_Footnote_6 \h \f">
        <w:r>
          <w:rPr>
            <w:vertAlign w:val="superscript"/>
          </w:rPr>
          <w:t>6</w:t>
        </w:r>
      </w:fldSimple>
      <w:r>
        <w:t xml:space="preserve">.</w:t>
      </w:r>
    </w:p>
    <w:p>
      <w:pPr>
        <w:pStyle w:val="BodyText"/>
      </w:pPr>
      <w:r>
        <w:t xml:space="preserve">The critical limitation is topology quality. Most AI 3D generators produce</w:t>
      </w:r>
      <w:r>
        <w:t xml:space="preserve"> </w:t>
      </w:r>
      <w:r>
        <w:t xml:space="preserve">“</w:t>
      </w:r>
      <w:r>
        <w:t xml:space="preserve">triangle soup</w:t>
      </w:r>
      <w:r>
        <w:t xml:space="preserve">”</w:t>
      </w:r>
      <w:r>
        <w:t xml:space="preserve"> </w:t>
      </w:r>
      <w:r>
        <w:t xml:space="preserve">requiring 20–45 minutes of manual cleanup per model</w:t>
      </w:r>
      <w:r>
        <w:t xml:space="preserve"> </w:t>
      </w:r>
      <w:fldSimple w:instr="NOTEREF _Ref_Footnote_20 \h \f">
        <w:r>
          <w:rPr>
            <w:vertAlign w:val="superscript"/>
          </w:rPr>
          <w:t>20</w:t>
        </w:r>
      </w:fldSimple>
      <w:r>
        <w:t xml:space="preserve">. The 3D-Agent plugin addresses this by generating actual Blender operations—</w:t>
      </w:r>
      <w:r>
        <w:rPr>
          <w:rStyle w:val="VerbatimChar"/>
        </w:rPr>
        <w:t xml:space="preserve">bpy.ops.mesh.primitive_cube_add()</w:t>
      </w:r>
      <w:r>
        <w:t xml:space="preserve">, modifier applications, edge loop maintenance—that produce quad-dominant geometry suitable for subdivision surfaces</w:t>
      </w:r>
      <w:r>
        <w:t xml:space="preserve"> </w:t>
      </w:r>
      <w:fldSimple w:instr="NOTEREF _Ref_Footnote_8 \h \f">
        <w:r>
          <w:rPr>
            <w:vertAlign w:val="superscript"/>
          </w:rPr>
          <w:t>8</w:t>
        </w:r>
      </w:fldSimple>
      <w:r>
        <w:t xml:space="preserve">. Pipeline teams should budget cleanup time into their estimates unless using topology-aware generation tools.</w:t>
      </w:r>
    </w:p>
    <w:bookmarkEnd w:id="134"/>
    <w:bookmarkStart w:id="135" w:name="X4567b168b1806040915ec7af382acaa6bed58c5"/>
    <w:p>
      <w:pPr>
        <w:pStyle w:val="Heading4"/>
      </w:pPr>
      <w:r>
        <w:t xml:space="preserve">9.2.2 Architectural Visualization: B-Rep + Constraint-Aware Agent</w:t>
      </w:r>
    </w:p>
    <w:p>
      <w:pPr>
        <w:pStyle w:val="FirstParagraph"/>
      </w:pPr>
      <w:r>
        <w:t xml:space="preserve">Architectural workflows require parametric editability—changing a floor height must propagate through walls, openings, and MEP routes automatically. B-Rep (Boundary Representation) through CadQuery or FreeCAD is the only representation that preserves this editability chain. FutureCAD’s BRepGround transformer (ICML 2026) represents the current frontier, pairing a fine-tuned Qwen2.5-7B with a grounding model that resolves natural language geometric queries into specific B-Rep primitive selections</w:t>
      </w:r>
      <w:r>
        <w:t xml:space="preserve"> </w:t>
      </w:r>
      <w:fldSimple w:instr="NOTEREF _Ref_Footnote_5 \h \f">
        <w:r>
          <w:rPr>
            <w:vertAlign w:val="superscript"/>
          </w:rPr>
          <w:t>5</w:t>
        </w:r>
      </w:fldSimple>
      <w:r>
        <w:t xml:space="preserve">.</w:t>
      </w:r>
    </w:p>
    <w:p>
      <w:pPr>
        <w:pStyle w:val="BodyText"/>
      </w:pPr>
      <w:r>
        <w:t xml:space="preserve">BIM (Building Information Modeling) integration remains a challenge. While STEP files export cleanly from CadQuery and import into Revit, parametric history does not transfer— the imported geometry becomes</w:t>
      </w:r>
      <w:r>
        <w:t xml:space="preserve"> </w:t>
      </w:r>
      <w:r>
        <w:t xml:space="preserve">“</w:t>
      </w:r>
      <w:r>
        <w:t xml:space="preserve">dumb</w:t>
      </w:r>
      <w:r>
        <w:t xml:space="preserve">”</w:t>
      </w:r>
      <w:r>
        <w:t xml:space="preserve"> </w:t>
      </w:r>
      <w:r>
        <w:t xml:space="preserve">solids without editable feature trees. For teams requiring full BIM parametricity, the AI-generated B-Rep serves as a conceptual starting point that architects manually rebuild within their BIM authoring tool. This workflow still delivers value: concept development time drops by 65–75% when AI handles initial massing and spatial arrangement.</w:t>
      </w:r>
    </w:p>
    <w:bookmarkEnd w:id="135"/>
    <w:bookmarkStart w:id="136" w:name="rapid-prototyping-csg-voxel-verification"/>
    <w:p>
      <w:pPr>
        <w:pStyle w:val="Heading4"/>
      </w:pPr>
      <w:r>
        <w:t xml:space="preserve">9.2.3 Rapid Prototyping: CSG + Voxel Verification</w:t>
      </w:r>
    </w:p>
    <w:p>
      <w:pPr>
        <w:pStyle w:val="FirstParagraph"/>
      </w:pPr>
      <w:r>
        <w:t xml:space="preserve">For the fastest path from text description to printable part, the CSG/OpenSCAD pipeline is unmatched. The declarative DSL is compact enough that Qwen2.5-7B achieves 96.5% syntax correctness out-of-the-box</w:t>
      </w:r>
      <w:r>
        <w:t xml:space="preserve"> </w:t>
      </w:r>
      <w:fldSimple w:instr="NOTEREF _Ref_Footnote_15 \h \f">
        <w:r>
          <w:rPr>
            <w:vertAlign w:val="superscript"/>
          </w:rPr>
          <w:t>15</w:t>
        </w:r>
      </w:fldSimple>
      <w:r>
        <w:t xml:space="preserve">, and the three-server MCP ecosystem (trikos529 for validation, jhacksman for generation, quellant for rendering) enables complete pipelines with minimal setup</w:t>
      </w:r>
      <w:r>
        <w:t xml:space="preserve"> </w:t>
      </w:r>
      <w:fldSimple w:instr="NOTEREF _Ref_Footnote_8 \h \f">
        <w:r>
          <w:rPr>
            <w:vertAlign w:val="superscript"/>
          </w:rPr>
          <w:t>8</w:t>
        </w:r>
      </w:fldSimple>
      <w:r>
        <w:t xml:space="preserve">. Slicer integration—Cura, PrusaSlicer, Bambu Studio—is immediate because OpenSCAD exports directly to STL, 3MF, and AMF formats.</w:t>
      </w:r>
    </w:p>
    <w:p>
      <w:pPr>
        <w:pStyle w:val="BodyText"/>
      </w:pPr>
      <w:r>
        <w:t xml:space="preserve">The Voxel verification step addresses a specific failure mode: overhang angles exceeding printer capabilities. VoxelLLM research demonstrates that voxel-based APIs reduce geometric errors by eliminating coordinate hallucination</w:t>
      </w:r>
      <w:r>
        <w:t xml:space="preserve"> </w:t>
      </w:r>
      <w:fldSimple w:instr="NOTEREF _Ref_Footnote_35 \h \f">
        <w:r>
          <w:rPr>
            <w:vertAlign w:val="superscript"/>
          </w:rPr>
          <w:t>35</w:t>
        </w:r>
      </w:fldSimple>
      <w:r>
        <w:t xml:space="preserve">. A post-generation voxelization pass (using OpenVCAD/pyvcad, which scales to hundreds of billions of voxels through sparse data structures</w:t>
      </w:r>
      <w:r>
        <w:t xml:space="preserve"> </w:t>
      </w:r>
      <w:fldSimple w:instr="NOTEREF _Ref_Footnote_35 \h \f">
        <w:r>
          <w:rPr>
            <w:vertAlign w:val="superscript"/>
          </w:rPr>
          <w:t>35</w:t>
        </w:r>
      </w:fldSimple>
      <w:r>
        <w:t xml:space="preserve">) checks overhang angles against printer constraints before slicing. SEG (Support-Effective Generation) embeds this awareness directly into the generation loop, ensuring support-efficient designs from the first output</w:t>
      </w:r>
      <w:r>
        <w:t xml:space="preserve"> </w:t>
      </w:r>
      <w:fldSimple w:instr="NOTEREF _Ref_Footnote_14 \h \f">
        <w:r>
          <w:rPr>
            <w:vertAlign w:val="superscript"/>
          </w:rPr>
          <w:t>14</w:t>
        </w:r>
      </w:fldSimple>
      <w:r>
        <w:t xml:space="preserve">.</w:t>
      </w:r>
    </w:p>
    <w:bookmarkEnd w:id="136"/>
    <w:bookmarkStart w:id="137" w:name="X2bc9fcf8b71665fbae882deecfbea741b776e8f"/>
    <w:p>
      <w:pPr>
        <w:pStyle w:val="Heading4"/>
      </w:pPr>
      <w:r>
        <w:t xml:space="preserve">9.2.4 Abstract/Generative Art: SDF + Taichi + Diffusion Guidance</w:t>
      </w:r>
    </w:p>
    <w:p>
      <w:pPr>
        <w:pStyle w:val="FirstParagraph"/>
      </w:pPr>
      <w:r>
        <w:t xml:space="preserve">Mathematical formula exploration for organic forms is where Signed Distance Fields (SDFs) shine. The fogleman/sdf library exposes a Python API where primitives compose through operators and mesh extraction requires as few as ten lines of code</w:t>
      </w:r>
      <w:r>
        <w:t xml:space="preserve"> </w:t>
      </w:r>
      <w:fldSimple w:instr="NOTEREF _Ref_Footnote_16 \h \f">
        <w:r>
          <w:rPr>
            <w:vertAlign w:val="superscript"/>
          </w:rPr>
          <w:t>16</w:t>
        </w:r>
      </w:fldSimple>
      <w:r>
        <w:t xml:space="preserve">. Taichi’s just-in-time compiler accelerates SDF evaluation and ray-marching to interactive rates. When combined with diffusion guidance—steering the SDF parameters toward perceptually desirable outputs through score-based optimization—this stack enables infinite-detail forms that no mesh or B-Rep representation can match.</w:t>
      </w:r>
    </w:p>
    <w:p>
      <w:pPr>
        <w:pStyle w:val="BodyText"/>
      </w:pPr>
      <w:r>
        <w:t xml:space="preserve">The practical constraint is the extraction-to-production gap. FlexiCubes improves mesh extraction quality over Marching Cubes through differentiable deformation</w:t>
      </w:r>
      <w:r>
        <w:t xml:space="preserve"> </w:t>
      </w:r>
      <w:fldSimple w:instr="NOTEREF _Ref_Footnote_34 \h \f">
        <w:r>
          <w:rPr>
            <w:vertAlign w:val="superscript"/>
          </w:rPr>
          <w:t>34</w:t>
        </w:r>
      </w:fldSimple>
      <w:r>
        <w:t xml:space="preserve">, but SDF-to-B-Rep conversion remains impossible because implicit surfaces lack analytical parametric definitions. Artists working in this paradigm should treat SDF output as terminal—suitable for rendering, 3D printing (via extracted mesh), and digital sculpture, but not for engineering workflows requiring parametric editability.</w:t>
      </w:r>
    </w:p>
    <w:bookmarkEnd w:id="137"/>
    <w:bookmarkStart w:id="138" w:name="X2f808d2905134d815bbffc48304719e8db314cf"/>
    <w:p>
      <w:pPr>
        <w:pStyle w:val="Heading4"/>
      </w:pPr>
      <w:r>
        <w:t xml:space="preserve">9.2.5 Production Engineering: Not Recommended (With Exceptions)</w:t>
      </w:r>
    </w:p>
    <w:p>
      <w:pPr>
        <w:pStyle w:val="FirstParagraph"/>
      </w:pPr>
      <w:r>
        <w:t xml:space="preserve">For safety-critical mechanical engineering—parts that sustain loads, survive fatigue cycles, or maintain tolerances—AI-driven generation as of mid-2026 is not production-ready without human validation at every stage. The MUSE benchmark quantifies why: even the best closed-source models achieve only 42/100 functionality, 35/100 manufacturability, and 28/100 assemblability</w:t>
      </w:r>
      <w:r>
        <w:t xml:space="preserve"> </w:t>
      </w:r>
      <w:fldSimple w:instr="NOTEREF _Ref_Footnote_12 \h \f">
        <w:r>
          <w:rPr>
            <w:vertAlign w:val="superscript"/>
          </w:rPr>
          <w:t>12</w:t>
        </w:r>
      </w:fldSimple>
      <w:r>
        <w:t xml:space="preserve">. FEABench confirms that no LLM completely solved any finite element analysis problem end-to-end</w:t>
      </w:r>
      <w:r>
        <w:t xml:space="preserve"> </w:t>
      </w:r>
      <w:fldSimple w:instr="NOTEREF _Ref_Footnote_89 \h \f">
        <w:r>
          <w:rPr>
            <w:vertAlign w:val="superscript"/>
          </w:rPr>
          <w:t>89</w:t>
        </w:r>
      </w:fldSimple>
      <w:r>
        <w:t xml:space="preserve">. The MIT structural viability study found only ~26% of AI-modified 3D models remained structurally sound; integrating FEA raised this to 100%, but required physics-aware validation that no end-to-end pipeline currently provides</w:t>
      </w:r>
      <w:r>
        <w:t xml:space="preserve"> </w:t>
      </w:r>
      <w:fldSimple w:instr="NOTEREF _Ref_Footnote_19 \h \f">
        <w:r>
          <w:rPr>
            <w:vertAlign w:val="superscript"/>
          </w:rPr>
          <w:t>19</w:t>
        </w:r>
      </w:fldSimple>
      <w:r>
        <w:t xml:space="preserve">.</w:t>
      </w:r>
    </w:p>
    <w:p>
      <w:pPr>
        <w:pStyle w:val="BodyText"/>
      </w:pPr>
      <w:r>
        <w:t xml:space="preserve">The exceptions are narrow. Neural Concept’s physics-aware copilot ($100 million Series C, serving Subaru, JLR, GE) operates in this space but requires industrial-scale training datasets of 20,000 simulations per case</w:t>
      </w:r>
      <w:r>
        <w:t xml:space="preserve"> </w:t>
      </w:r>
      <w:fldSimple w:instr="NOTEREF _Ref_Footnote_93 \h \f">
        <w:r>
          <w:rPr>
            <w:vertAlign w:val="superscript"/>
          </w:rPr>
          <w:t>93</w:t>
        </w:r>
      </w:fldSimple>
      <w:r>
        <w:t xml:space="preserve">. FeaGPT’s GMSA pipeline achieves complete geometry-mesh-simulation workflows for narrow domains (turbocharger analysis, NACA airfoil exploration)</w:t>
      </w:r>
      <w:r>
        <w:t xml:space="preserve"> </w:t>
      </w:r>
      <w:fldSimple w:instr="NOTEREF _Ref_Footnote_95 \h \f">
        <w:r>
          <w:rPr>
            <w:vertAlign w:val="superscript"/>
          </w:rPr>
          <w:t>95</w:t>
        </w:r>
      </w:fldSimple>
      <w:r>
        <w:t xml:space="preserve">. Both systems are research-to-production bridges, not turnkey solutions.</w:t>
      </w:r>
    </w:p>
    <w:p>
      <w:pPr>
        <w:pStyle w:val="BodyText"/>
      </w:pPr>
      <w:r>
        <w:rPr>
          <w:bCs/>
          <w:b/>
        </w:rPr>
        <w:t xml:space="preserve">Table 9.2: Maturity Rating by Use Case (Mid-2026)</w:t>
      </w:r>
    </w:p>
    <w:tbl>
      <w:tblPr>
        <w:tblStyle w:val="Table"/>
        <w:tblW w:type="pct" w:w="5000"/>
        <w:tblLook w:firstRow="1" w:lastRow="0" w:firstColumn="0" w:lastColumn="0" w:noHBand="0" w:noVBand="0" w:val="0020"/>
      </w:tblPr>
      <w:tblGrid>
        <w:gridCol w:w="1508"/>
        <w:gridCol w:w="1508"/>
        <w:gridCol w:w="1508"/>
        <w:gridCol w:w="1885"/>
        <w:gridCol w:w="1508"/>
      </w:tblGrid>
      <w:tr>
        <w:trPr>
          <w:tblHeader w:val="true"/>
        </w:trPr>
        <w:tc>
          <w:tcPr/>
          <w:p>
            <w:pPr>
              <w:pStyle w:val="Compact"/>
              <w:jc w:val="left"/>
            </w:pPr>
            <w:r>
              <w:t xml:space="preserve">Use Case</w:t>
            </w:r>
          </w:p>
        </w:tc>
        <w:tc>
          <w:tcPr/>
          <w:p>
            <w:pPr>
              <w:pStyle w:val="Compact"/>
              <w:jc w:val="left"/>
            </w:pPr>
            <w:r>
              <w:t xml:space="preserve">Maturity Stage</w:t>
            </w:r>
          </w:p>
        </w:tc>
        <w:tc>
          <w:tcPr/>
          <w:p>
            <w:pPr>
              <w:pStyle w:val="Compact"/>
              <w:jc w:val="left"/>
            </w:pPr>
            <w:r>
              <w:t xml:space="preserve">Recommended Stack</w:t>
            </w:r>
          </w:p>
        </w:tc>
        <w:tc>
          <w:tcPr/>
          <w:p>
            <w:pPr>
              <w:pStyle w:val="Compact"/>
              <w:jc w:val="center"/>
            </w:pPr>
            <w:r>
              <w:t xml:space="preserve">Quality Ceiling</w:t>
            </w:r>
          </w:p>
        </w:tc>
        <w:tc>
          <w:tcPr/>
          <w:p>
            <w:pPr>
              <w:pStyle w:val="Compact"/>
              <w:jc w:val="left"/>
            </w:pPr>
            <w:r>
              <w:t xml:space="preserve">Key Blocker</w:t>
            </w:r>
          </w:p>
        </w:tc>
      </w:tr>
      <w:tr>
        <w:tc>
          <w:tcPr/>
          <w:p>
            <w:pPr>
              <w:pStyle w:val="Compact"/>
              <w:jc w:val="left"/>
            </w:pPr>
            <w:r>
              <w:t xml:space="preserve">Game assets (prototyping)</w:t>
            </w:r>
          </w:p>
        </w:tc>
        <w:tc>
          <w:tcPr/>
          <w:p>
            <w:pPr>
              <w:pStyle w:val="Compact"/>
              <w:jc w:val="left"/>
            </w:pPr>
            <w:r>
              <w:t xml:space="preserve">Production-ready</w:t>
            </w:r>
          </w:p>
        </w:tc>
        <w:tc>
          <w:tcPr/>
          <w:p>
            <w:pPr>
              <w:pStyle w:val="Compact"/>
              <w:jc w:val="left"/>
            </w:pPr>
            <w:r>
              <w:t xml:space="preserve">MCP-Blender + Qwen2.5-7B + VLM feedback</w:t>
            </w:r>
          </w:p>
        </w:tc>
        <w:tc>
          <w:tcPr/>
          <w:p>
            <w:pPr>
              <w:pStyle w:val="Compact"/>
              <w:jc w:val="center"/>
            </w:pPr>
            <w:r>
              <w:t xml:space="preserve">~92%</w:t>
            </w:r>
            <w:r>
              <w:t xml:space="preserve"> </w:t>
            </w:r>
            <w:fldSimple w:instr="NOTEREF _Ref_Footnote_6 \h \f">
              <w:r>
                <w:rPr>
                  <w:vertAlign w:val="superscript"/>
                </w:rPr>
                <w:t>6</w:t>
              </w:r>
            </w:fldSimple>
          </w:p>
        </w:tc>
        <w:tc>
          <w:tcPr/>
          <w:p>
            <w:pPr>
              <w:pStyle w:val="Compact"/>
              <w:jc w:val="left"/>
            </w:pPr>
            <w:r>
              <w:t xml:space="preserve">Topology cleanup</w:t>
            </w:r>
          </w:p>
        </w:tc>
      </w:tr>
      <w:tr>
        <w:tc>
          <w:tcPr/>
          <w:p>
            <w:pPr>
              <w:pStyle w:val="Compact"/>
              <w:jc w:val="left"/>
            </w:pPr>
            <w:r>
              <w:t xml:space="preserve">Game assets (hero)</w:t>
            </w:r>
          </w:p>
        </w:tc>
        <w:tc>
          <w:tcPr/>
          <w:p>
            <w:pPr>
              <w:pStyle w:val="Compact"/>
              <w:jc w:val="left"/>
            </w:pPr>
            <w:r>
              <w:t xml:space="preserve">Pilot-ready</w:t>
            </w:r>
          </w:p>
        </w:tc>
        <w:tc>
          <w:tcPr/>
          <w:p>
            <w:pPr>
              <w:pStyle w:val="Compact"/>
              <w:jc w:val="left"/>
            </w:pPr>
            <w:r>
              <w:t xml:space="preserve">Multi-agent bpy + topology-aware post-process</w:t>
            </w:r>
          </w:p>
        </w:tc>
        <w:tc>
          <w:tcPr/>
          <w:p>
            <w:pPr>
              <w:pStyle w:val="Compact"/>
              <w:jc w:val="center"/>
            </w:pPr>
            <w:r>
              <w:t xml:space="preserve">~85%</w:t>
            </w:r>
            <w:r>
              <w:t xml:space="preserve"> </w:t>
            </w:r>
            <w:fldSimple w:instr="NOTEREF _Ref_Footnote_36 \h \f">
              <w:r>
                <w:rPr>
                  <w:vertAlign w:val="superscript"/>
                </w:rPr>
                <w:t>36</w:t>
              </w:r>
            </w:fldSimple>
          </w:p>
        </w:tc>
        <w:tc>
          <w:tcPr/>
          <w:p>
            <w:pPr>
              <w:pStyle w:val="Compact"/>
              <w:jc w:val="left"/>
            </w:pPr>
            <w:r>
              <w:t xml:space="preserve">Rig-ready topology</w:t>
            </w:r>
          </w:p>
        </w:tc>
      </w:tr>
      <w:tr>
        <w:tc>
          <w:tcPr/>
          <w:p>
            <w:pPr>
              <w:pStyle w:val="Compact"/>
              <w:jc w:val="left"/>
            </w:pPr>
            <w:r>
              <w:t xml:space="preserve">Architectural visualization</w:t>
            </w:r>
          </w:p>
        </w:tc>
        <w:tc>
          <w:tcPr/>
          <w:p>
            <w:pPr>
              <w:pStyle w:val="Compact"/>
              <w:jc w:val="left"/>
            </w:pPr>
            <w:r>
              <w:t xml:space="preserve">Pilot-ready</w:t>
            </w:r>
          </w:p>
        </w:tc>
        <w:tc>
          <w:tcPr/>
          <w:p>
            <w:pPr>
              <w:pStyle w:val="Compact"/>
              <w:jc w:val="left"/>
            </w:pPr>
            <w:r>
              <w:t xml:space="preserve">B-Rep/CadQuery + BRepGround</w:t>
            </w:r>
            <w:r>
              <w:t xml:space="preserve"> </w:t>
            </w:r>
            <w:fldSimple w:instr="NOTEREF _Ref_Footnote_5 \h \f">
              <w:r>
                <w:rPr>
                  <w:vertAlign w:val="superscript"/>
                </w:rPr>
                <w:t>5</w:t>
              </w:r>
            </w:fldSimple>
          </w:p>
        </w:tc>
        <w:tc>
          <w:tcPr/>
          <w:p>
            <w:pPr>
              <w:pStyle w:val="Compact"/>
              <w:jc w:val="center"/>
            </w:pPr>
            <w:r>
              <w:t xml:space="preserve">~70%</w:t>
            </w:r>
          </w:p>
        </w:tc>
        <w:tc>
          <w:tcPr/>
          <w:p>
            <w:pPr>
              <w:pStyle w:val="Compact"/>
              <w:jc w:val="left"/>
            </w:pPr>
            <w:r>
              <w:t xml:space="preserve">BIM parametricity loss</w:t>
            </w:r>
          </w:p>
        </w:tc>
      </w:tr>
      <w:tr>
        <w:tc>
          <w:tcPr/>
          <w:p>
            <w:pPr>
              <w:pStyle w:val="Compact"/>
              <w:jc w:val="left"/>
            </w:pPr>
            <w:r>
              <w:t xml:space="preserve">Rapid prototyping (3D printing)</w:t>
            </w:r>
          </w:p>
        </w:tc>
        <w:tc>
          <w:tcPr/>
          <w:p>
            <w:pPr>
              <w:pStyle w:val="Compact"/>
              <w:jc w:val="left"/>
            </w:pPr>
            <w:r>
              <w:t xml:space="preserve">Production-ready</w:t>
            </w:r>
          </w:p>
        </w:tc>
        <w:tc>
          <w:tcPr/>
          <w:p>
            <w:pPr>
              <w:pStyle w:val="Compact"/>
              <w:jc w:val="left"/>
            </w:pPr>
            <w:r>
              <w:t xml:space="preserve">CSG/OpenSCAD + voxel verification</w:t>
            </w:r>
            <w:r>
              <w:t xml:space="preserve"> </w:t>
            </w:r>
            <w:fldSimple w:instr="NOTEREF _Ref_Footnote_15 \h \f">
              <w:r>
                <w:rPr>
                  <w:vertAlign w:val="superscript"/>
                </w:rPr>
                <w:t>15</w:t>
              </w:r>
            </w:fldSimple>
          </w:p>
        </w:tc>
        <w:tc>
          <w:tcPr/>
          <w:p>
            <w:pPr>
              <w:pStyle w:val="Compact"/>
              <w:jc w:val="center"/>
            </w:pPr>
            <w:r>
              <w:t xml:space="preserve">~88%</w:t>
            </w:r>
          </w:p>
        </w:tc>
        <w:tc>
          <w:tcPr/>
          <w:p>
            <w:pPr>
              <w:pStyle w:val="Compact"/>
              <w:jc w:val="left"/>
            </w:pPr>
            <w:r>
              <w:t xml:space="preserve">Organic shape limits</w:t>
            </w:r>
          </w:p>
        </w:tc>
      </w:tr>
      <w:tr>
        <w:tc>
          <w:tcPr/>
          <w:p>
            <w:pPr>
              <w:pStyle w:val="Compact"/>
              <w:jc w:val="left"/>
            </w:pPr>
            <w:r>
              <w:t xml:space="preserve">Abstract/generative art</w:t>
            </w:r>
          </w:p>
        </w:tc>
        <w:tc>
          <w:tcPr/>
          <w:p>
            <w:pPr>
              <w:pStyle w:val="Compact"/>
              <w:jc w:val="left"/>
            </w:pPr>
            <w:r>
              <w:t xml:space="preserve">Production-ready</w:t>
            </w:r>
          </w:p>
        </w:tc>
        <w:tc>
          <w:tcPr/>
          <w:p>
            <w:pPr>
              <w:pStyle w:val="Compact"/>
              <w:jc w:val="left"/>
            </w:pPr>
            <w:r>
              <w:t xml:space="preserve">SDF/Taichi + diffusion guidance</w:t>
            </w:r>
            <w:r>
              <w:t xml:space="preserve"> </w:t>
            </w:r>
            <w:fldSimple w:instr="NOTEREF _Ref_Footnote_34 \h \f">
              <w:r>
                <w:rPr>
                  <w:vertAlign w:val="superscript"/>
                </w:rPr>
                <w:t>34</w:t>
              </w:r>
            </w:fldSimple>
          </w:p>
        </w:tc>
        <w:tc>
          <w:tcPr/>
          <w:p>
            <w:pPr>
              <w:pStyle w:val="Compact"/>
              <w:jc w:val="center"/>
            </w:pPr>
            <w:r>
              <w:t xml:space="preserve">~90%</w:t>
            </w:r>
          </w:p>
        </w:tc>
        <w:tc>
          <w:tcPr/>
          <w:p>
            <w:pPr>
              <w:pStyle w:val="Compact"/>
              <w:jc w:val="left"/>
            </w:pPr>
            <w:r>
              <w:t xml:space="preserve">No parametric editability</w:t>
            </w:r>
          </w:p>
        </w:tc>
      </w:tr>
      <w:tr>
        <w:tc>
          <w:tcPr/>
          <w:p>
            <w:pPr>
              <w:pStyle w:val="Compact"/>
              <w:jc w:val="left"/>
            </w:pPr>
            <w:r>
              <w:t xml:space="preserve">Mechanical engineering (simple)</w:t>
            </w:r>
          </w:p>
        </w:tc>
        <w:tc>
          <w:tcPr/>
          <w:p>
            <w:pPr>
              <w:pStyle w:val="Compact"/>
              <w:jc w:val="left"/>
            </w:pPr>
            <w:r>
              <w:t xml:space="preserve">Pilot-ready</w:t>
            </w:r>
          </w:p>
        </w:tc>
        <w:tc>
          <w:tcPr/>
          <w:p>
            <w:pPr>
              <w:pStyle w:val="Compact"/>
              <w:jc w:val="left"/>
            </w:pPr>
            <w:r>
              <w:t xml:space="preserve">B-Rep/CadQuery + human review</w:t>
            </w:r>
          </w:p>
        </w:tc>
        <w:tc>
          <w:tcPr/>
          <w:p>
            <w:pPr>
              <w:pStyle w:val="Compact"/>
              <w:jc w:val="center"/>
            </w:pPr>
            <w:r>
              <w:t xml:space="preserve">~55%</w:t>
            </w:r>
            <w:r>
              <w:t xml:space="preserve"> </w:t>
            </w:r>
            <w:fldSimple w:instr="NOTEREF _Ref_Footnote_12 \h \f">
              <w:r>
                <w:rPr>
                  <w:vertAlign w:val="superscript"/>
                </w:rPr>
                <w:t>12</w:t>
              </w:r>
            </w:fldSimple>
          </w:p>
        </w:tc>
        <w:tc>
          <w:tcPr/>
          <w:p>
            <w:pPr>
              <w:pStyle w:val="Compact"/>
              <w:jc w:val="left"/>
            </w:pPr>
            <w:r>
              <w:t xml:space="preserve">TNP + tolerance ignorance</w:t>
            </w:r>
          </w:p>
        </w:tc>
      </w:tr>
      <w:tr>
        <w:tc>
          <w:tcPr/>
          <w:p>
            <w:pPr>
              <w:pStyle w:val="Compact"/>
              <w:jc w:val="left"/>
            </w:pPr>
            <w:r>
              <w:t xml:space="preserve">Mechanical engineering (complex)</w:t>
            </w:r>
          </w:p>
        </w:tc>
        <w:tc>
          <w:tcPr/>
          <w:p>
            <w:pPr>
              <w:pStyle w:val="Compact"/>
              <w:jc w:val="left"/>
            </w:pPr>
            <w:r>
              <w:t xml:space="preserve">Research-stage</w:t>
            </w:r>
          </w:p>
        </w:tc>
        <w:tc>
          <w:tcPr/>
          <w:p>
            <w:pPr>
              <w:pStyle w:val="Compact"/>
              <w:jc w:val="left"/>
            </w:pPr>
            <w:r>
              <w:t xml:space="preserve">Multi-agent + physics validation</w:t>
            </w:r>
            <w:r>
              <w:t xml:space="preserve"> </w:t>
            </w:r>
            <w:fldSimple w:instr="NOTEREF _Ref_Footnote_95 \h \f">
              <w:r>
                <w:rPr>
                  <w:vertAlign w:val="superscript"/>
                </w:rPr>
                <w:t>95</w:t>
              </w:r>
            </w:fldSimple>
          </w:p>
        </w:tc>
        <w:tc>
          <w:tcPr/>
          <w:p>
            <w:pPr>
              <w:pStyle w:val="Compact"/>
              <w:jc w:val="center"/>
            </w:pPr>
            <w:r>
              <w:t xml:space="preserve">~30%</w:t>
            </w:r>
            <w:r>
              <w:t xml:space="preserve"> </w:t>
            </w:r>
            <w:fldSimple w:instr="NOTEREF _Ref_Footnote_89 \h \f">
              <w:r>
                <w:rPr>
                  <w:vertAlign w:val="superscript"/>
                </w:rPr>
                <w:t>89</w:t>
              </w:r>
            </w:fldSimple>
          </w:p>
        </w:tc>
        <w:tc>
          <w:tcPr/>
          <w:p>
            <w:pPr>
              <w:pStyle w:val="Compact"/>
              <w:jc w:val="left"/>
            </w:pPr>
            <w:r>
              <w:t xml:space="preserve">FEABench-zero solutions</w:t>
            </w:r>
          </w:p>
        </w:tc>
      </w:tr>
      <w:tr>
        <w:tc>
          <w:tcPr/>
          <w:p>
            <w:pPr>
              <w:pStyle w:val="Compact"/>
              <w:jc w:val="left"/>
            </w:pPr>
            <w:r>
              <w:t xml:space="preserve">Aerospace/automotive</w:t>
            </w:r>
          </w:p>
        </w:tc>
        <w:tc>
          <w:tcPr/>
          <w:p>
            <w:pPr>
              <w:pStyle w:val="Compact"/>
              <w:jc w:val="left"/>
            </w:pPr>
            <w:r>
              <w:t xml:space="preserve">Research-stage</w:t>
            </w:r>
          </w:p>
        </w:tc>
        <w:tc>
          <w:tcPr/>
          <w:p>
            <w:pPr>
              <w:pStyle w:val="Compact"/>
              <w:jc w:val="left"/>
            </w:pPr>
            <w:r>
              <w:t xml:space="preserve">Neural Concept-class copilot</w:t>
            </w:r>
            <w:r>
              <w:t xml:space="preserve"> </w:t>
            </w:r>
            <w:fldSimple w:instr="NOTEREF _Ref_Footnote_91 \h \f">
              <w:r>
                <w:rPr>
                  <w:vertAlign w:val="superscript"/>
                </w:rPr>
                <w:t>91</w:t>
              </w:r>
            </w:fldSimple>
          </w:p>
        </w:tc>
        <w:tc>
          <w:tcPr/>
          <w:p>
            <w:pPr>
              <w:pStyle w:val="Compact"/>
              <w:jc w:val="center"/>
            </w:pPr>
            <w:r>
              <w:t xml:space="preserve">~45%</w:t>
            </w:r>
          </w:p>
        </w:tc>
        <w:tc>
          <w:tcPr/>
          <w:p>
            <w:pPr>
              <w:pStyle w:val="Compact"/>
              <w:jc w:val="left"/>
            </w:pPr>
            <w:r>
              <w:t xml:space="preserve">Data requirements (20K sims/case)</w:t>
            </w:r>
          </w:p>
        </w:tc>
      </w:tr>
    </w:tbl>
    <w:p>
      <w:pPr>
        <w:pStyle w:val="BodyText"/>
      </w:pPr>
      <w:r>
        <w:t xml:space="preserve">The maturity ratings reflect a consistent pattern: workflows where geometric failure carries low cost (game prototyping, generative art) are production-ready; workflows where failure carries high cost (aerospace, medical devices) remain research-stage. The 92% quality ceiling for game asset prototyping reflects CADSmith’s 100% execution rate and 38-fold Chamfer Distance reduction with multi-agent validation</w:t>
      </w:r>
      <w:r>
        <w:t xml:space="preserve"> </w:t>
      </w:r>
      <w:fldSimple w:instr="NOTEREF _Ref_Footnote_6 \h \f">
        <w:r>
          <w:rPr>
            <w:vertAlign w:val="superscript"/>
          </w:rPr>
          <w:t>6</w:t>
        </w:r>
      </w:fldSimple>
      <w:r>
        <w:t xml:space="preserve">; the 30% ceiling for complex mechanical engineering reflects FEABench’s finding that no LLM solved any end-to-end physics problem</w:t>
      </w:r>
      <w:r>
        <w:t xml:space="preserve"> </w:t>
      </w:r>
      <w:fldSimple w:instr="NOTEREF _Ref_Footnote_89 \h \f">
        <w:r>
          <w:rPr>
            <w:vertAlign w:val="superscript"/>
          </w:rPr>
          <w:t>89</w:t>
        </w:r>
      </w:fldSimple>
      <w:r>
        <w:t xml:space="preserve">.</w:t>
      </w:r>
    </w:p>
    <w:bookmarkEnd w:id="138"/>
    <w:bookmarkEnd w:id="139"/>
    <w:bookmarkStart w:id="144" w:name="the-cost-benefit-reality-check"/>
    <w:p>
      <w:pPr>
        <w:pStyle w:val="Heading3"/>
      </w:pPr>
      <w:r>
        <w:t xml:space="preserve">9.3 The Cost-Benefit Reality Check</w:t>
      </w:r>
    </w:p>
    <w:p>
      <w:pPr>
        <w:pStyle w:val="FirstParagraph"/>
      </w:pPr>
      <w:r>
        <w:t xml:space="preserve">Technology selection is ultimately an economic decision. This section provides quantitative cost models and a worked case study comparing four approaches on a single representative task.</w:t>
      </w:r>
    </w:p>
    <w:p>
      <w:pPr>
        <w:pStyle w:val="BodyText"/>
      </w:pPr>
      <w:r>
        <w:rPr>
          <w:bCs/>
          <w:b/>
        </w:rPr>
        <w:t xml:space="preserve">Table 9.3: Cost Model Per Approach — Single Prompt to Usable 3D Output</w:t>
      </w:r>
    </w:p>
    <w:tbl>
      <w:tblPr>
        <w:tblStyle w:val="Table"/>
        <w:tblW w:type="pct" w:w="5000"/>
        <w:tblLook w:firstRow="1" w:lastRow="0" w:firstColumn="0" w:lastColumn="0" w:noHBand="0" w:noVBand="0" w:val="0020"/>
      </w:tblPr>
      <w:tblGrid>
        <w:gridCol w:w="960"/>
        <w:gridCol w:w="1200"/>
        <w:gridCol w:w="960"/>
        <w:gridCol w:w="1200"/>
        <w:gridCol w:w="1200"/>
        <w:gridCol w:w="1200"/>
        <w:gridCol w:w="1200"/>
      </w:tblGrid>
      <w:tr>
        <w:trPr>
          <w:tblHeader w:val="true"/>
        </w:trPr>
        <w:tc>
          <w:tcPr/>
          <w:p>
            <w:pPr>
              <w:pStyle w:val="Compact"/>
              <w:jc w:val="left"/>
            </w:pPr>
            <w:r>
              <w:t xml:space="preserve">Approach</w:t>
            </w:r>
          </w:p>
        </w:tc>
        <w:tc>
          <w:tcPr/>
          <w:p>
            <w:pPr>
              <w:pStyle w:val="Compact"/>
              <w:jc w:val="center"/>
            </w:pPr>
            <w:r>
              <w:t xml:space="preserve">Token Cost (rel.)</w:t>
            </w:r>
          </w:p>
        </w:tc>
        <w:tc>
          <w:tcPr/>
          <w:p>
            <w:pPr>
              <w:pStyle w:val="Compact"/>
              <w:jc w:val="left"/>
            </w:pPr>
            <w:r>
              <w:t xml:space="preserve">Compute Requirement</w:t>
            </w:r>
          </w:p>
        </w:tc>
        <w:tc>
          <w:tcPr/>
          <w:p>
            <w:pPr>
              <w:pStyle w:val="Compact"/>
              <w:jc w:val="center"/>
            </w:pPr>
            <w:r>
              <w:t xml:space="preserve">Setup Time</w:t>
            </w:r>
          </w:p>
        </w:tc>
        <w:tc>
          <w:tcPr/>
          <w:p>
            <w:pPr>
              <w:pStyle w:val="Compact"/>
              <w:jc w:val="center"/>
            </w:pPr>
            <w:r>
              <w:t xml:space="preserve">Iteration Time</w:t>
            </w:r>
          </w:p>
        </w:tc>
        <w:tc>
          <w:tcPr/>
          <w:p>
            <w:pPr>
              <w:pStyle w:val="Compact"/>
              <w:jc w:val="center"/>
            </w:pPr>
            <w:r>
              <w:t xml:space="preserve">Quality Ceiling</w:t>
            </w:r>
          </w:p>
        </w:tc>
        <w:tc>
          <w:tcPr/>
          <w:p>
            <w:pPr>
              <w:pStyle w:val="Compact"/>
              <w:jc w:val="center"/>
            </w:pPr>
            <w:r>
              <w:t xml:space="preserve">Headcount</w:t>
            </w:r>
          </w:p>
        </w:tc>
      </w:tr>
      <w:tr>
        <w:tc>
          <w:tcPr/>
          <w:p>
            <w:pPr>
              <w:pStyle w:val="Compact"/>
              <w:jc w:val="left"/>
            </w:pPr>
            <w:r>
              <w:t xml:space="preserve">CSG/OpenSCAD (single-agent)</w:t>
            </w:r>
          </w:p>
        </w:tc>
        <w:tc>
          <w:tcPr/>
          <w:p>
            <w:pPr>
              <w:pStyle w:val="Compact"/>
              <w:jc w:val="center"/>
            </w:pPr>
            <w:r>
              <w:t xml:space="preserve">1.0×</w:t>
            </w:r>
          </w:p>
        </w:tc>
        <w:tc>
          <w:tcPr/>
          <w:p>
            <w:pPr>
              <w:pStyle w:val="Compact"/>
              <w:jc w:val="left"/>
            </w:pPr>
            <w:r>
              <w:t xml:space="preserve">1× GPU (optional)</w:t>
            </w:r>
          </w:p>
        </w:tc>
        <w:tc>
          <w:tcPr/>
          <w:p>
            <w:pPr>
              <w:pStyle w:val="Compact"/>
              <w:jc w:val="center"/>
            </w:pPr>
            <w:r>
              <w:t xml:space="preserve">2 hours</w:t>
            </w:r>
          </w:p>
        </w:tc>
        <w:tc>
          <w:tcPr/>
          <w:p>
            <w:pPr>
              <w:pStyle w:val="Compact"/>
              <w:jc w:val="center"/>
            </w:pPr>
            <w:r>
              <w:t xml:space="preserve">1–3 min</w:t>
            </w:r>
          </w:p>
        </w:tc>
        <w:tc>
          <w:tcPr/>
          <w:p>
            <w:pPr>
              <w:pStyle w:val="Compact"/>
              <w:jc w:val="center"/>
            </w:pPr>
            <w:r>
              <w:t xml:space="preserve">45%</w:t>
            </w:r>
          </w:p>
        </w:tc>
        <w:tc>
          <w:tcPr/>
          <w:p>
            <w:pPr>
              <w:pStyle w:val="Compact"/>
              <w:jc w:val="center"/>
            </w:pPr>
            <w:r>
              <w:t xml:space="preserve">1</w:t>
            </w:r>
          </w:p>
        </w:tc>
      </w:tr>
      <w:tr>
        <w:tc>
          <w:tcPr/>
          <w:p>
            <w:pPr>
              <w:pStyle w:val="Compact"/>
              <w:jc w:val="left"/>
            </w:pPr>
            <w:r>
              <w:t xml:space="preserve">bpy/Blender (MCP-agent)</w:t>
            </w:r>
          </w:p>
        </w:tc>
        <w:tc>
          <w:tcPr/>
          <w:p>
            <w:pPr>
              <w:pStyle w:val="Compact"/>
              <w:jc w:val="center"/>
            </w:pPr>
            <w:r>
              <w:t xml:space="preserve">2.1×</w:t>
            </w:r>
          </w:p>
        </w:tc>
        <w:tc>
          <w:tcPr/>
          <w:p>
            <w:pPr>
              <w:pStyle w:val="Compact"/>
              <w:jc w:val="left"/>
            </w:pPr>
            <w:r>
              <w:t xml:space="preserve">1× GPU (render)</w:t>
            </w:r>
          </w:p>
        </w:tc>
        <w:tc>
          <w:tcPr/>
          <w:p>
            <w:pPr>
              <w:pStyle w:val="Compact"/>
              <w:jc w:val="center"/>
            </w:pPr>
            <w:r>
              <w:t xml:space="preserve">4 hours</w:t>
            </w:r>
          </w:p>
        </w:tc>
        <w:tc>
          <w:tcPr/>
          <w:p>
            <w:pPr>
              <w:pStyle w:val="Compact"/>
              <w:jc w:val="center"/>
            </w:pPr>
            <w:r>
              <w:t xml:space="preserve">3–5 min</w:t>
            </w:r>
          </w:p>
        </w:tc>
        <w:tc>
          <w:tcPr/>
          <w:p>
            <w:pPr>
              <w:pStyle w:val="Compact"/>
              <w:jc w:val="center"/>
            </w:pPr>
            <w:r>
              <w:t xml:space="preserve">78%</w:t>
            </w:r>
          </w:p>
        </w:tc>
        <w:tc>
          <w:tcPr/>
          <w:p>
            <w:pPr>
              <w:pStyle w:val="Compact"/>
              <w:jc w:val="center"/>
            </w:pPr>
            <w:r>
              <w:t xml:space="preserve">1</w:t>
            </w:r>
          </w:p>
        </w:tc>
      </w:tr>
      <w:tr>
        <w:tc>
          <w:tcPr/>
          <w:p>
            <w:pPr>
              <w:pStyle w:val="Compact"/>
              <w:jc w:val="left"/>
            </w:pPr>
            <w:r>
              <w:t xml:space="preserve">bpy/Blender (multi-agent)</w:t>
            </w:r>
          </w:p>
        </w:tc>
        <w:tc>
          <w:tcPr/>
          <w:p>
            <w:pPr>
              <w:pStyle w:val="Compact"/>
              <w:jc w:val="center"/>
            </w:pPr>
            <w:r>
              <w:t xml:space="preserve">8.2×</w:t>
            </w:r>
            <w:r>
              <w:t xml:space="preserve"> </w:t>
            </w:r>
            <w:fldSimple w:instr="NOTEREF _Ref_Footnote_8 \h \f">
              <w:r>
                <w:rPr>
                  <w:vertAlign w:val="superscript"/>
                </w:rPr>
                <w:t>8</w:t>
              </w:r>
            </w:fldSimple>
          </w:p>
        </w:tc>
        <w:tc>
          <w:tcPr/>
          <w:p>
            <w:pPr>
              <w:pStyle w:val="Compact"/>
              <w:jc w:val="left"/>
            </w:pPr>
            <w:r>
              <w:t xml:space="preserve">2× GPU (render + VLM)</w:t>
            </w:r>
          </w:p>
        </w:tc>
        <w:tc>
          <w:tcPr/>
          <w:p>
            <w:pPr>
              <w:pStyle w:val="Compact"/>
              <w:jc w:val="center"/>
            </w:pPr>
            <w:r>
              <w:t xml:space="preserve">12 hours</w:t>
            </w:r>
          </w:p>
        </w:tc>
        <w:tc>
          <w:tcPr/>
          <w:p>
            <w:pPr>
              <w:pStyle w:val="Compact"/>
              <w:jc w:val="center"/>
            </w:pPr>
            <w:r>
              <w:t xml:space="preserve">10–18 min</w:t>
            </w:r>
          </w:p>
        </w:tc>
        <w:tc>
          <w:tcPr/>
          <w:p>
            <w:pPr>
              <w:pStyle w:val="Compact"/>
              <w:jc w:val="center"/>
            </w:pPr>
            <w:r>
              <w:t xml:space="preserve">92%</w:t>
            </w:r>
            <w:r>
              <w:t xml:space="preserve"> </w:t>
            </w:r>
            <w:fldSimple w:instr="NOTEREF _Ref_Footnote_6 \h \f">
              <w:r>
                <w:rPr>
                  <w:vertAlign w:val="superscript"/>
                </w:rPr>
                <w:t>6</w:t>
              </w:r>
            </w:fldSimple>
          </w:p>
        </w:tc>
        <w:tc>
          <w:tcPr/>
          <w:p>
            <w:pPr>
              <w:pStyle w:val="Compact"/>
              <w:jc w:val="center"/>
            </w:pPr>
            <w:r>
              <w:t xml:space="preserve">1–2</w:t>
            </w:r>
          </w:p>
        </w:tc>
      </w:tr>
      <w:tr>
        <w:tc>
          <w:tcPr/>
          <w:p>
            <w:pPr>
              <w:pStyle w:val="Compact"/>
              <w:jc w:val="left"/>
            </w:pPr>
            <w:r>
              <w:t xml:space="preserve">Neural Mesh (diffusion)</w:t>
            </w:r>
          </w:p>
        </w:tc>
        <w:tc>
          <w:tcPr/>
          <w:p>
            <w:pPr>
              <w:pStyle w:val="Compact"/>
              <w:jc w:val="center"/>
            </w:pPr>
            <w:r>
              <w:t xml:space="preserve">3.5×</w:t>
            </w:r>
          </w:p>
        </w:tc>
        <w:tc>
          <w:tcPr/>
          <w:p>
            <w:pPr>
              <w:pStyle w:val="Compact"/>
              <w:jc w:val="left"/>
            </w:pPr>
            <w:r>
              <w:t xml:space="preserve">1× GPU (inference)</w:t>
            </w:r>
          </w:p>
        </w:tc>
        <w:tc>
          <w:tcPr/>
          <w:p>
            <w:pPr>
              <w:pStyle w:val="Compact"/>
              <w:jc w:val="center"/>
            </w:pPr>
            <w:r>
              <w:t xml:space="preserve">6 hours</w:t>
            </w:r>
          </w:p>
        </w:tc>
        <w:tc>
          <w:tcPr/>
          <w:p>
            <w:pPr>
              <w:pStyle w:val="Compact"/>
              <w:jc w:val="center"/>
            </w:pPr>
            <w:r>
              <w:t xml:space="preserve">5–12 min</w:t>
            </w:r>
          </w:p>
        </w:tc>
        <w:tc>
          <w:tcPr/>
          <w:p>
            <w:pPr>
              <w:pStyle w:val="Compact"/>
              <w:jc w:val="center"/>
            </w:pPr>
            <w:r>
              <w:t xml:space="preserve">85%</w:t>
            </w:r>
            <w:r>
              <w:t xml:space="preserve"> </w:t>
            </w:r>
            <w:fldSimple w:instr="NOTEREF _Ref_Footnote_36 \h \f">
              <w:r>
                <w:rPr>
                  <w:vertAlign w:val="superscript"/>
                </w:rPr>
                <w:t>36</w:t>
              </w:r>
            </w:fldSimple>
          </w:p>
        </w:tc>
        <w:tc>
          <w:tcPr/>
          <w:p>
            <w:pPr>
              <w:pStyle w:val="Compact"/>
              <w:jc w:val="center"/>
            </w:pPr>
            <w:r>
              <w:t xml:space="preserve">1</w:t>
            </w:r>
          </w:p>
        </w:tc>
      </w:tr>
      <w:tr>
        <w:tc>
          <w:tcPr/>
          <w:p>
            <w:pPr>
              <w:pStyle w:val="Compact"/>
              <w:jc w:val="left"/>
            </w:pPr>
            <w:r>
              <w:t xml:space="preserve">B-Rep/CadQuery (single)</w:t>
            </w:r>
          </w:p>
        </w:tc>
        <w:tc>
          <w:tcPr/>
          <w:p>
            <w:pPr>
              <w:pStyle w:val="Compact"/>
              <w:jc w:val="center"/>
            </w:pPr>
            <w:r>
              <w:t xml:space="preserve">1.5×</w:t>
            </w:r>
          </w:p>
        </w:tc>
        <w:tc>
          <w:tcPr/>
          <w:p>
            <w:pPr>
              <w:pStyle w:val="Compact"/>
              <w:jc w:val="left"/>
            </w:pPr>
            <w:r>
              <w:t xml:space="preserve">1× CPU</w:t>
            </w:r>
          </w:p>
        </w:tc>
        <w:tc>
          <w:tcPr/>
          <w:p>
            <w:pPr>
              <w:pStyle w:val="Compact"/>
              <w:jc w:val="center"/>
            </w:pPr>
            <w:r>
              <w:t xml:space="preserve">3 hours</w:t>
            </w:r>
          </w:p>
        </w:tc>
        <w:tc>
          <w:tcPr/>
          <w:p>
            <w:pPr>
              <w:pStyle w:val="Compact"/>
              <w:jc w:val="center"/>
            </w:pPr>
            <w:r>
              <w:t xml:space="preserve">2–4 min</w:t>
            </w:r>
          </w:p>
        </w:tc>
        <w:tc>
          <w:tcPr/>
          <w:p>
            <w:pPr>
              <w:pStyle w:val="Compact"/>
              <w:jc w:val="center"/>
            </w:pPr>
            <w:r>
              <w:t xml:space="preserve">55%</w:t>
            </w:r>
            <w:r>
              <w:t xml:space="preserve"> </w:t>
            </w:r>
            <w:fldSimple w:instr="NOTEREF _Ref_Footnote_12 \h \f">
              <w:r>
                <w:rPr>
                  <w:vertAlign w:val="superscript"/>
                </w:rPr>
                <w:t>12</w:t>
              </w:r>
            </w:fldSimple>
          </w:p>
        </w:tc>
        <w:tc>
          <w:tcPr/>
          <w:p>
            <w:pPr>
              <w:pStyle w:val="Compact"/>
              <w:jc w:val="center"/>
            </w:pPr>
            <w:r>
              <w:t xml:space="preserve">1</w:t>
            </w:r>
          </w:p>
        </w:tc>
      </w:tr>
      <w:tr>
        <w:tc>
          <w:tcPr/>
          <w:p>
            <w:pPr>
              <w:pStyle w:val="Compact"/>
              <w:jc w:val="left"/>
            </w:pPr>
            <w:r>
              <w:t xml:space="preserve">B-Rep/CadQuery (multi)</w:t>
            </w:r>
          </w:p>
        </w:tc>
        <w:tc>
          <w:tcPr/>
          <w:p>
            <w:pPr>
              <w:pStyle w:val="Compact"/>
              <w:jc w:val="center"/>
            </w:pPr>
            <w:r>
              <w:t xml:space="preserve">6.8×</w:t>
            </w:r>
          </w:p>
        </w:tc>
        <w:tc>
          <w:tcPr/>
          <w:p>
            <w:pPr>
              <w:pStyle w:val="Compact"/>
              <w:jc w:val="left"/>
            </w:pPr>
            <w:r>
              <w:t xml:space="preserve">2× CPU/GPU</w:t>
            </w:r>
          </w:p>
        </w:tc>
        <w:tc>
          <w:tcPr/>
          <w:p>
            <w:pPr>
              <w:pStyle w:val="Compact"/>
              <w:jc w:val="center"/>
            </w:pPr>
            <w:r>
              <w:t xml:space="preserve">10 hours</w:t>
            </w:r>
          </w:p>
        </w:tc>
        <w:tc>
          <w:tcPr/>
          <w:p>
            <w:pPr>
              <w:pStyle w:val="Compact"/>
              <w:jc w:val="center"/>
            </w:pPr>
            <w:r>
              <w:t xml:space="preserve">8–15 min</w:t>
            </w:r>
          </w:p>
        </w:tc>
        <w:tc>
          <w:tcPr/>
          <w:p>
            <w:pPr>
              <w:pStyle w:val="Compact"/>
              <w:jc w:val="center"/>
            </w:pPr>
            <w:r>
              <w:t xml:space="preserve">72%</w:t>
            </w:r>
            <w:r>
              <w:t xml:space="preserve"> </w:t>
            </w:r>
            <w:fldSimple w:instr="NOTEREF _Ref_Footnote_5 \h \f">
              <w:r>
                <w:rPr>
                  <w:vertAlign w:val="superscript"/>
                </w:rPr>
                <w:t>5</w:t>
              </w:r>
            </w:fldSimple>
          </w:p>
        </w:tc>
        <w:tc>
          <w:tcPr/>
          <w:p>
            <w:pPr>
              <w:pStyle w:val="Compact"/>
              <w:jc w:val="center"/>
            </w:pPr>
            <w:r>
              <w:t xml:space="preserve">1–2</w:t>
            </w:r>
          </w:p>
        </w:tc>
      </w:tr>
      <w:tr>
        <w:tc>
          <w:tcPr/>
          <w:p>
            <w:pPr>
              <w:pStyle w:val="Compact"/>
              <w:jc w:val="left"/>
            </w:pPr>
            <w:r>
              <w:t xml:space="preserve">SDF/Taichi (single)</w:t>
            </w:r>
          </w:p>
        </w:tc>
        <w:tc>
          <w:tcPr/>
          <w:p>
            <w:pPr>
              <w:pStyle w:val="Compact"/>
              <w:jc w:val="center"/>
            </w:pPr>
            <w:r>
              <w:t xml:space="preserve">1.8×</w:t>
            </w:r>
          </w:p>
        </w:tc>
        <w:tc>
          <w:tcPr/>
          <w:p>
            <w:pPr>
              <w:pStyle w:val="Compact"/>
              <w:jc w:val="left"/>
            </w:pPr>
            <w:r>
              <w:t xml:space="preserve">1× GPU (CUDA)</w:t>
            </w:r>
          </w:p>
        </w:tc>
        <w:tc>
          <w:tcPr/>
          <w:p>
            <w:pPr>
              <w:pStyle w:val="Compact"/>
              <w:jc w:val="center"/>
            </w:pPr>
            <w:r>
              <w:t xml:space="preserve">6 hours</w:t>
            </w:r>
          </w:p>
        </w:tc>
        <w:tc>
          <w:tcPr/>
          <w:p>
            <w:pPr>
              <w:pStyle w:val="Compact"/>
              <w:jc w:val="center"/>
            </w:pPr>
            <w:r>
              <w:t xml:space="preserve">4–8 min</w:t>
            </w:r>
          </w:p>
        </w:tc>
        <w:tc>
          <w:tcPr/>
          <w:p>
            <w:pPr>
              <w:pStyle w:val="Compact"/>
              <w:jc w:val="center"/>
            </w:pPr>
            <w:r>
              <w:t xml:space="preserve">70%</w:t>
            </w:r>
            <w:r>
              <w:t xml:space="preserve"> </w:t>
            </w:r>
            <w:fldSimple w:instr="NOTEREF _Ref_Footnote_34 \h \f">
              <w:r>
                <w:rPr>
                  <w:vertAlign w:val="superscript"/>
                </w:rPr>
                <w:t>34</w:t>
              </w:r>
            </w:fldSimple>
          </w:p>
        </w:tc>
        <w:tc>
          <w:tcPr/>
          <w:p>
            <w:pPr>
              <w:pStyle w:val="Compact"/>
              <w:jc w:val="center"/>
            </w:pPr>
            <w:r>
              <w:t xml:space="preserve">1</w:t>
            </w:r>
          </w:p>
        </w:tc>
      </w:tr>
    </w:tbl>
    <w:p>
      <w:pPr>
        <w:pStyle w:val="BodyText"/>
      </w:pPr>
      <w:r>
        <w:t xml:space="preserve">Token costs are normalized to the CSG/OpenSCAD single-agent baseline, estimated at ~2,000–4,000 tokens per generation. The multi-agent bpy/Blender pipeline’s 8.2× multiplier reflects the 285–515% token overhead documented across LL3M, CADSmith, and PAC Framework architectures</w:t>
      </w:r>
      <w:r>
        <w:t xml:space="preserve"> </w:t>
      </w:r>
      <w:fldSimple w:instr="NOTEREF _Ref_Footnote_8 \h \f">
        <w:r>
          <w:rPr>
            <w:vertAlign w:val="superscript"/>
          </w:rPr>
          <w:t>8</w:t>
        </w:r>
      </w:fldSimple>
      <w:r>
        <w:t xml:space="preserve">, compounded by VLM critique rounds (typically 3–5 iterations at ~1,500 tokens each). Setup time includes environment configuration, MCP server installation, model download, and first successful end-to-end generation. Iteration time is the median wall-clock duration from prompt modification to new output.</w:t>
      </w:r>
    </w:p>
    <w:p>
      <w:pPr>
        <w:pStyle w:val="BodyText"/>
      </w:pPr>
      <w:r>
        <w:t xml:space="preserve">The cost model reveals two inflection points. At the lower bound, CSG single-agent generation is the most economically efficient approach for any task it can handle—its 1.0× token cost and 2-hour setup make it the default choice for 3D-printable mechanical parts. At the upper bound, multi-agent bpy/Blender pipelines deliver the highest quality ceiling (92%) but at 8.2× the token cost and 6× the setup time, making them cost-effective only for workflows where quality directly correlates with revenue (premium game assets, visual effects).</w:t>
      </w:r>
    </w:p>
    <w:bookmarkStart w:id="143" w:name="X7d16c26d7df4a0ccfe6dad77281e79ad0183180"/>
    <w:p>
      <w:pPr>
        <w:pStyle w:val="Heading4"/>
      </w:pPr>
      <w:r>
        <w:t xml:space="preserve">Case Study: Full Pipeline Cost Comparison —</w:t>
      </w:r>
      <w:r>
        <w:t xml:space="preserve"> </w:t>
      </w:r>
      <w:r>
        <w:t xml:space="preserve">“</w:t>
      </w:r>
      <w:r>
        <w:t xml:space="preserve">Low-Poly Fantasy Sword</w:t>
      </w:r>
      <w:r>
        <w:t xml:space="preserve">”</w:t>
      </w:r>
    </w:p>
    <w:p>
      <w:pPr>
        <w:pStyle w:val="FirstParagraph"/>
      </w:pPr>
      <w:r>
        <w:t xml:space="preserve">To ground the abstract cost model in a concrete scenario, consider a game studio evaluating four approaches for generating a low-poly fantasy sword asset from the prompt:</w:t>
      </w:r>
      <w:r>
        <w:t xml:space="preserve"> </w:t>
      </w:r>
      <w:r>
        <w:rPr>
          <w:iCs/>
          <w:i/>
        </w:rPr>
        <w:t xml:space="preserve">“</w:t>
      </w:r>
      <w:r>
        <w:rPr>
          <w:iCs/>
          <w:i/>
        </w:rPr>
        <w:t xml:space="preserve">A fantasy longsword with a crossguard, leather-wrapped grip, and a broad blade with a central fuller. Low-poly style, approximately 5,000 triangles, game-ready with clean topology.</w:t>
      </w:r>
      <w:r>
        <w:rPr>
          <w:iCs/>
          <w:i/>
        </w:rPr>
        <w:t xml:space="preserve">”</w:t>
      </w:r>
    </w:p>
    <w:p>
      <w:pPr>
        <w:pStyle w:val="BodyText"/>
      </w:pPr>
      <w:r>
        <w:t xml:space="preserve">The CSG/OpenSCAD approach generates the sword as Boolean unions and differences of boxes, cylinders, and extruded 2D profiles. The script executes in under 3 seconds and exports directly to STL. The result is a faceted, axis-aligned approximation that captures the gross form but requires significant manual cleanup for game engine import—no UV mapping, no edge loops at deformation points, and triangulated faces where quads are preferred. Total pipeline time: 15 minutes of generation plus 2–3 hours of manual cleanup. Cost: ~$0.002 in API tokens. Quality ceiling: 45% of production-ready.</w:t>
      </w:r>
    </w:p>
    <w:p>
      <w:pPr>
        <w:pStyle w:val="BodyText"/>
      </w:pPr>
      <w:r>
        <w:t xml:space="preserve">The single-agent MCP-Blender approach generates</w:t>
      </w:r>
      <w:r>
        <w:t xml:space="preserve"> </w:t>
      </w:r>
      <w:r>
        <w:rPr>
          <w:rStyle w:val="VerbatimChar"/>
        </w:rPr>
        <w:t xml:space="preserve">bpy</w:t>
      </w:r>
      <w:r>
        <w:t xml:space="preserve"> </w:t>
      </w:r>
      <w:r>
        <w:t xml:space="preserve">scripts through the official Blender MCP server</w:t>
      </w:r>
      <w:r>
        <w:t xml:space="preserve"> </w:t>
      </w:r>
      <w:fldSimple w:instr="NOTEREF _Ref_Footnote_17 \h \f">
        <w:r>
          <w:rPr>
            <w:vertAlign w:val="superscript"/>
          </w:rPr>
          <w:t>17</w:t>
        </w:r>
      </w:fldSimple>
      <w:r>
        <w:t xml:space="preserve">. The agent creates primitive cubes and cylinders, applies modifiers (subdivision surface, bevel, edge split), and assigns basic materials. Without visual feedback, the agent cannot detect proportion errors or floating geometry; the resulting mesh typically requires 30–60 minutes of manual review. Total pipeline time: 8 minutes generation plus 45 minutes cleanup. Cost: ~$0.008 in tokens. Quality ceiling: 78% of production-ready.</w:t>
      </w:r>
    </w:p>
    <w:p>
      <w:pPr>
        <w:pStyle w:val="BodyText"/>
      </w:pPr>
      <w:r>
        <w:t xml:space="preserve">The multi-agent MCP-Blender approach adds a VLM critique loop. The Critic agent renders three orthographic views, evaluates against the prompt, and flags discrepancies (e.g.,</w:t>
      </w:r>
      <w:r>
        <w:t xml:space="preserve"> </w:t>
      </w:r>
      <w:r>
        <w:t xml:space="preserve">“</w:t>
      </w:r>
      <w:r>
        <w:t xml:space="preserve">the crossguard is too narrow relative to the blade</w:t>
      </w:r>
      <w:r>
        <w:t xml:space="preserve">”</w:t>
      </w:r>
      <w:r>
        <w:t xml:space="preserve">). The Coding agent fixes and re-renders. CADSmith’s results suggest 88% of tasks converge on the first iteration, 12% require one or two additional passes</w:t>
      </w:r>
      <w:r>
        <w:t xml:space="preserve"> </w:t>
      </w:r>
      <w:fldSimple w:instr="NOTEREF _Ref_Footnote_6 \h \f">
        <w:r>
          <w:rPr>
            <w:vertAlign w:val="superscript"/>
          </w:rPr>
          <w:t>6</w:t>
        </w:r>
      </w:fldSimple>
      <w:r>
        <w:t xml:space="preserve">. Total pipeline time: 18 minutes end-to-end plus 15 minutes review. Cost: ~$0.025 in tokens. Quality ceiling: 92% of production-ready.</w:t>
      </w:r>
    </w:p>
    <w:p>
      <w:pPr>
        <w:pStyle w:val="BodyText"/>
      </w:pPr>
      <w:r>
        <w:t xml:space="preserve">The diffusion-assisted approach (Tripo AI or Meshy API) submits the prompt to a commercial text-to-3D endpoint and receives a textured mesh in 10 seconds. The result is visually impressive but topologically unpredictable—triangle count may vary from 3,000 to 15,000, edge flow may not support rigging, and UV seams may be suboptimal. Cleanup time ranges from 30 minutes (lucky generation) to 2 hours (poor topology). Cost: ~$0.05–$0.50 per API call. Quality ceiling: 85% of production-ready with good luck, 40% with poor topology.</w:t>
      </w:r>
    </w:p>
    <w:p>
      <w:pPr>
        <w:pStyle w:val="CaptionedFigure"/>
      </w:pPr>
      <w:r>
        <w:drawing>
          <wp:inline>
            <wp:extent cx="5334000" cy="2239818"/>
            <wp:effectExtent b="0" l="0" r="0" t="0"/>
            <wp:docPr descr="Pipeline Cost Comparison" title="" id="141" name="Picture"/>
            <a:graphic>
              <a:graphicData uri="http://schemas.openxmlformats.org/drawingml/2006/picture">
                <pic:pic>
                  <pic:nvPicPr>
                    <pic:cNvPr descr="fig_9_1_pipeline_cost_comparison.png" id="142" name="Picture"/>
                    <pic:cNvPicPr>
                      <a:picLocks noChangeArrowheads="1" noChangeAspect="1"/>
                    </pic:cNvPicPr>
                  </pic:nvPicPr>
                  <pic:blipFill>
                    <a:blip r:embed="rId140"/>
                    <a:stretch>
                      <a:fillRect/>
                    </a:stretch>
                  </pic:blipFill>
                  <pic:spPr bwMode="auto">
                    <a:xfrm>
                      <a:off x="0" y="0"/>
                      <a:ext cx="5334000" cy="2239818"/>
                    </a:xfrm>
                    <a:prstGeom prst="rect">
                      <a:avLst/>
                    </a:prstGeom>
                    <a:noFill/>
                    <a:ln w="9525">
                      <a:noFill/>
                      <a:headEnd/>
                      <a:tailEnd/>
                    </a:ln>
                  </pic:spPr>
                </pic:pic>
              </a:graphicData>
            </a:graphic>
          </wp:inline>
        </w:drawing>
      </w:r>
    </w:p>
    <w:p>
      <w:pPr>
        <w:pStyle w:val="ImageCaption"/>
      </w:pPr>
      <w:r>
        <w:t xml:space="preserve">Pipeline Cost Comparison</w:t>
      </w:r>
    </w:p>
    <w:p>
      <w:pPr>
        <w:pStyle w:val="BodyText"/>
      </w:pPr>
      <w:r>
        <w:rPr>
          <w:iCs/>
          <w:i/>
        </w:rPr>
        <w:t xml:space="preserve">Figure 9.1: Four approaches to generating a</w:t>
      </w:r>
      <w:r>
        <w:rPr>
          <w:iCs/>
          <w:i/>
        </w:rPr>
        <w:t xml:space="preserve"> </w:t>
      </w:r>
      <w:r>
        <w:rPr>
          <w:iCs/>
          <w:i/>
        </w:rPr>
        <w:t xml:space="preserve">“</w:t>
      </w:r>
      <w:r>
        <w:rPr>
          <w:iCs/>
          <w:i/>
        </w:rPr>
        <w:t xml:space="preserve">low-poly fantasy sword</w:t>
      </w:r>
      <w:r>
        <w:rPr>
          <w:iCs/>
          <w:i/>
        </w:rPr>
        <w:t xml:space="preserve">”</w:t>
      </w:r>
      <w:r>
        <w:rPr>
          <w:iCs/>
          <w:i/>
        </w:rPr>
        <w:t xml:space="preserve"> </w:t>
      </w:r>
      <w:r>
        <w:rPr>
          <w:iCs/>
          <w:i/>
        </w:rPr>
        <w:t xml:space="preserve">from a single prompt, compared across normalized cost dimensions and quality ceiling. The multi-agent bpy/Blender pipeline achieves the highest quality ceiling (92%) at the highest token cost (8.2× baseline). The CSG/OpenSCAD approach minimizes cost but caps quality at 45%. Data synthesized from Chapters 2–7 benchmarks and mid-2026 pricing.</w:t>
      </w:r>
    </w:p>
    <w:p>
      <w:pPr>
        <w:pStyle w:val="BodyText"/>
      </w:pPr>
      <w:r>
        <w:t xml:space="preserve">The economic analysis yields a clear decision framework. For teams generating fewer than 50 assets per month, the diffusion-assisted API approach minimizes engineering time—no MCP setup, no model hosting, no pipeline maintenance. For teams generating 50–500 assets monthly, the single-agent MCP-Blender pipeline balances setup investment against per-asset savings. For teams generating 500+ assets monthly or requiring consistent topology quality (rigged characters, subdivision-ready hero assets), the multi-agent pipeline’s higher upfront cost amortizes across volume. The CSG approach remains optimal only when the output domain is strictly prismatic—mechanical parts, architectural massing, or 3D-printable brackets where faceted surfaces are acceptable.</w:t>
      </w:r>
    </w:p>
    <w:p>
      <w:pPr>
        <w:pStyle w:val="BodyText"/>
      </w:pPr>
      <w:r>
        <w:t xml:space="preserve">The pattern generalizes beyond this single case. Across all workflows evaluated in this report, maturity correlates inversely with constraint complexity. Game assets face aesthetic and topological constraints but no physics or tolerance requirements; mechanical engineering faces physics, manufacturing, assembly, and tolerance constraints simultaneously. The failure cascade documented by MUSE—68% executability falling to 28% assemblability</w:t>
      </w:r>
      <w:r>
        <w:t xml:space="preserve"> </w:t>
      </w:r>
      <w:fldSimple w:instr="NOTEREF _Ref_Footnote_12 \h \f">
        <w:r>
          <w:rPr>
            <w:vertAlign w:val="superscript"/>
          </w:rPr>
          <w:t>12</w:t>
        </w:r>
      </w:fldSimple>
      <w:r>
        <w:t xml:space="preserve">—is not a solvable bug in any single approach but a structural property of multi-constraint design. Practitioners should select their stack based on which constraints their workflow actually imposes, then calibrate investment to the maturity level of the corresponding technology.</w:t>
      </w:r>
    </w:p>
    <w:p>
      <w:r>
        <w:pict>
          <v:rect style="width:0;height:1.5pt" o:hralign="center" o:hrstd="t" o:hr="t"/>
        </w:pict>
      </w:r>
    </w:p>
    <w:bookmarkEnd w:id="143"/>
    <w:bookmarkEnd w:id="144"/>
    <w:bookmarkEnd w:id="145"/>
    <w:bookmarkStart w:id="165" w:name="Xd5337d899232def939dcf55e30e3b507c51c4e7"/>
    <w:p>
      <w:pPr>
        <w:pStyle w:val="Heading2"/>
      </w:pPr>
      <w:r>
        <w:t xml:space="preserve">10. Future Directions: Research Gaps, Trajectories, and the Five-Year Outlook</w:t>
      </w:r>
    </w:p>
    <w:p>
      <w:pPr>
        <w:pStyle w:val="FirstParagraph"/>
      </w:pPr>
      <w:r>
        <w:t xml:space="preserve">The preceding chapters have documented a field in rapid transition—one where fine-tuned 7B-parameter models generate syntactically perfect CAD code</w:t>
      </w:r>
      <w:r>
        <w:t xml:space="preserve"> </w:t>
      </w:r>
      <w:fldSimple w:instr="NOTEREF _Ref_Footnote_51 \h \f">
        <w:r>
          <w:rPr>
            <w:vertAlign w:val="superscript"/>
          </w:rPr>
          <w:t>51</w:t>
        </w:r>
      </w:fldSimple>
      <w:r>
        <w:t xml:space="preserve">, multi-agent systems with visual feedback reduce geometric error by 38x</w:t>
      </w:r>
      <w:r>
        <w:t xml:space="preserve"> </w:t>
      </w:r>
      <w:r>
        <w:rPr>
          <w:vertAlign w:val="superscript"/>
        </w:rPr>
        <w:footnoteReference w:id="110"/>
      </w:r>
      <w:r>
        <w:t xml:space="preserve">, and physics-aware copilots expand design exploration by 30x in production automotive workflows</w:t>
      </w:r>
      <w:r>
        <w:t xml:space="preserve"> </w:t>
      </w:r>
      <w:fldSimple w:instr="NOTEREF _Ref_Footnote_93 \h \f">
        <w:r>
          <w:rPr>
            <w:vertAlign w:val="superscript"/>
          </w:rPr>
          <w:t>93</w:t>
        </w:r>
      </w:fldSimple>
      <w:r>
        <w:t xml:space="preserve">. Yet the same body of evidence exposes a widening gap between what AI can demonstrate in research settings and what engineering practice demands. The MUSE benchmark’s 28/100 assemblability score</w:t>
      </w:r>
      <w:r>
        <w:t xml:space="preserve"> </w:t>
      </w:r>
      <w:fldSimple w:instr="NOTEREF _Ref_Footnote_12 \h \f">
        <w:r>
          <w:rPr>
            <w:vertAlign w:val="superscript"/>
          </w:rPr>
          <w:t>12</w:t>
        </w:r>
      </w:fldSimple>
      <w:r>
        <w:t xml:space="preserve">, FEABench’s 0% end-to-end solve rate</w:t>
      </w:r>
      <w:r>
        <w:t xml:space="preserve"> </w:t>
      </w:r>
      <w:fldSimple w:instr="NOTEREF _Ref_Footnote_89 \h \f">
        <w:r>
          <w:rPr>
            <w:vertAlign w:val="superscript"/>
          </w:rPr>
          <w:t>89</w:t>
        </w:r>
      </w:fldSimple>
      <w:r>
        <w:t xml:space="preserve">, and the training data ceiling that renders million-scale datasets ineffective for complex geometry</w:t>
      </w:r>
      <w:r>
        <w:t xml:space="preserve"> </w:t>
      </w:r>
      <w:fldSimple w:instr="NOTEREF _Ref_Footnote_21 \h \f">
        <w:r>
          <w:rPr>
            <w:vertAlign w:val="superscript"/>
          </w:rPr>
          <w:t>21</w:t>
        </w:r>
      </w:fldSimple>
      <w:r>
        <w:t xml:space="preserve">all point to the same conclusion: the hardest problems remain unsolved.</w:t>
      </w:r>
    </w:p>
    <w:p>
      <w:pPr>
        <w:pStyle w:val="BodyText"/>
      </w:pPr>
      <w:r>
        <w:t xml:space="preserve">This chapter identifies eight unsolved problems that will determine whether AI-driven 3D modeling transitions from research curiosity to engineering infrastructure, projects a five-year trajectory for their resolution, and derives strategic implications for researchers, practitioners, and investors.</w:t>
      </w:r>
    </w:p>
    <w:bookmarkStart w:id="154" w:name="the-eight-unsolved-problems"/>
    <w:p>
      <w:pPr>
        <w:pStyle w:val="Heading3"/>
      </w:pPr>
      <w:r>
        <w:t xml:space="preserve">10.1 The Eight Unsolved Problems</w:t>
      </w:r>
    </w:p>
    <w:bookmarkStart w:id="146" w:name="multi-representation-unified-systems"/>
    <w:p>
      <w:pPr>
        <w:pStyle w:val="Heading4"/>
      </w:pPr>
      <w:r>
        <w:t xml:space="preserve">10.1.1 Multi-Representation Unified Systems</w:t>
      </w:r>
    </w:p>
    <w:p>
      <w:pPr>
        <w:pStyle w:val="FirstParagraph"/>
      </w:pPr>
      <w:r>
        <w:t xml:space="preserve">CSG, B-Rep, SDF, voxel, and mesh each optimize for distinct operations, yet inter-representation conversion is lossy or impossible for most pairs. CSG-to-B-Rep is lossless, but B-Rep-to-CSG is generally impossible; SDF-to-mesh via Marching Cubes smooths sharp edges</w:t>
      </w:r>
      <w:r>
        <w:t xml:space="preserve"> </w:t>
      </w:r>
      <w:fldSimple w:instr="NOTEREF _Ref_Footnote_3 \h \f">
        <w:r>
          <w:rPr>
            <w:vertAlign w:val="superscript"/>
          </w:rPr>
          <w:t>3</w:t>
        </w:r>
      </w:fldSimple>
      <w:r>
        <w:t xml:space="preserve">; SDF-to-B-Rep conversion does not exist in production. This fragmentation prevents a unified pipeline serving both engineering and creative workflows.</w:t>
      </w:r>
    </w:p>
    <w:p>
      <w:pPr>
        <w:pStyle w:val="BodyText"/>
      </w:pPr>
      <w:r>
        <w:t xml:space="preserve">FutureCAD’s BRepGround unifies LLM generation with B-Rep grounding</w:t>
      </w:r>
      <w:r>
        <w:t xml:space="preserve"> </w:t>
      </w:r>
      <w:fldSimple w:instr="NOTEREF _Ref_Footnote_5 \h \f">
        <w:r>
          <w:rPr>
            <w:vertAlign w:val="superscript"/>
          </w:rPr>
          <w:t>5</w:t>
        </w:r>
      </w:fldSimple>
      <w:r>
        <w:t xml:space="preserve">, FlexCAD achieves controllable generation across CAD hierarchies</w:t>
      </w:r>
      <w:r>
        <w:t xml:space="preserve"> </w:t>
      </w:r>
      <w:r>
        <w:rPr>
          <w:vertAlign w:val="superscript"/>
        </w:rPr>
        <w:footnoteReference w:id="111"/>
      </w:r>
      <w:r>
        <w:t xml:space="preserve">, and DeepMesh scales mesh generation to 1 billion parameters</w:t>
      </w:r>
      <w:r>
        <w:t xml:space="preserve"> </w:t>
      </w:r>
      <w:fldSimple w:instr="NOTEREF _Ref_Footnote_36 \h \f">
        <w:r>
          <w:rPr>
            <w:vertAlign w:val="superscript"/>
          </w:rPr>
          <w:t>36</w:t>
        </w:r>
      </w:fldSimple>
      <w:r>
        <w:t xml:space="preserve">. But no system intelligently selects representations based on downstream use. A unified system—generating SDF for organic regions, B-Rep for parametric features, voxels for verification, with seamless conversion—likely requires a meta-controller trained on downstream process constraints.</w:t>
      </w:r>
    </w:p>
    <w:bookmarkEnd w:id="146"/>
    <w:bookmarkStart w:id="147" w:name="constraint-rich-training-data"/>
    <w:p>
      <w:pPr>
        <w:pStyle w:val="Heading4"/>
      </w:pPr>
      <w:r>
        <w:t xml:space="preserve">10.1.2 Constraint-Rich Training Data</w:t>
      </w:r>
    </w:p>
    <w:p>
      <w:pPr>
        <w:pStyle w:val="FirstParagraph"/>
      </w:pPr>
      <w:r>
        <w:t xml:space="preserve">Million-scale datasets—ABC (1M+), DeepCAD (178k), Text2CAD (170k), Omni-CAD (453k)—have not lifted performance on complex geometry. Autodesk’s Zero-to-CAD generated 999,633 synthetic programs without real construction-history data</w:t>
      </w:r>
      <w:r>
        <w:t xml:space="preserve"> </w:t>
      </w:r>
      <w:fldSimple w:instr="NOTEREF _Ref_Footnote_61 \h \f">
        <w:r>
          <w:rPr>
            <w:vertAlign w:val="superscript"/>
          </w:rPr>
          <w:t>61</w:t>
        </w:r>
      </w:fldSimple>
      <w:r>
        <w:t xml:space="preserve">, yet</w:t>
      </w:r>
      <w:r>
        <w:t xml:space="preserve"> </w:t>
      </w:r>
      <w:r>
        <w:t xml:space="preserve">“</w:t>
      </w:r>
      <w:r>
        <w:t xml:space="preserve">text-to-CAD remains largely unsolved beyond basic geometry</w:t>
      </w:r>
      <w:r>
        <w:t xml:space="preserve">”</w:t>
      </w:r>
      <w:r>
        <w:t xml:space="preserve"> </w:t>
      </w:r>
      <w:fldSimple w:instr="NOTEREF _Ref_Footnote_21 \h \f">
        <w:r>
          <w:rPr>
            <w:vertAlign w:val="superscript"/>
          </w:rPr>
          <w:t>21</w:t>
        </w:r>
      </w:fldSimple>
      <w:r>
        <w:t xml:space="preserve">. The bottleneck is data nature, not size: current datasets lack manufacturing constraints, FEA annotations, GD&amp;T specifications, assembly relationships, and material properties.</w:t>
      </w:r>
    </w:p>
    <w:p>
      <w:pPr>
        <w:pStyle w:val="BodyText"/>
      </w:pPr>
      <w:r>
        <w:t xml:space="preserve">The implication is empirically grounded: 10,000 models with full FEA annotations, GD&amp;T, tolerance chains, and manufacturing constraints would likely enable more capable models than another 100,000 unannotated geometries. Autodesk, Siemens, and Dassault are uniquely positioned to create such datasets from proprietary data. For open research, dataset innovation outweighs architecture innovation as the highest-impact investment.</w:t>
      </w:r>
    </w:p>
    <w:bookmarkEnd w:id="147"/>
    <w:bookmarkStart w:id="148" w:name="physics-integrated-generation-loops"/>
    <w:p>
      <w:pPr>
        <w:pStyle w:val="Heading4"/>
      </w:pPr>
      <w:r>
        <w:t xml:space="preserve">10.1.3 Physics-Integrated Generation Loops</w:t>
      </w:r>
    </w:p>
    <w:p>
      <w:pPr>
        <w:pStyle w:val="FirstParagraph"/>
      </w:pPr>
      <w:r>
        <w:t xml:space="preserve">The MIT MechStyle study found that only ~26% of AI-modified 3D models remained structurally viable; integrating FEA into the generative loop raised this to 100%</w:t>
      </w:r>
      <w:r>
        <w:t xml:space="preserve"> </w:t>
      </w:r>
      <w:fldSimple w:instr="NOTEREF _Ref_Footnote_19 \h \f">
        <w:r>
          <w:rPr>
            <w:vertAlign w:val="superscript"/>
          </w:rPr>
          <w:t>19</w:t>
        </w:r>
      </w:fldSimple>
      <w:r>
        <w:t xml:space="preserve">. This binary threshold establishes a principle: physics must be a generator objective, not a post-hoc validator. Current systems follow the Generation-to-Simulation (GtS) paradigm</w:t>
      </w:r>
      <w:r>
        <w:t xml:space="preserve"> </w:t>
      </w:r>
      <w:fldSimple w:instr="NOTEREF _Ref_Footnote_94 \h \f">
        <w:r>
          <w:rPr>
            <w:vertAlign w:val="superscript"/>
          </w:rPr>
          <w:t>94</w:t>
        </w:r>
      </w:fldSimple>
      <w:r>
        <w:t xml:space="preserve">; what is needed is Generation-and-Simulation (GnS), where physical correctness constrains every step.</w:t>
      </w:r>
    </w:p>
    <w:p>
      <w:pPr>
        <w:pStyle w:val="BodyText"/>
      </w:pPr>
      <w:r>
        <w:t xml:space="preserve">FEABench is the measuring stick: best strategies achieved 88% API executability, yet no model solved any problem completely</w:t>
      </w:r>
      <w:r>
        <w:t xml:space="preserve"> </w:t>
      </w:r>
      <w:fldSimple w:instr="NOTEREF _Ref_Footnote_89 \h \f">
        <w:r>
          <w:rPr>
            <w:vertAlign w:val="superscript"/>
          </w:rPr>
          <w:t>89</w:t>
        </w:r>
      </w:fldSimple>
      <w:r>
        <w:t xml:space="preserve">. FeaGPT’s GMSA pipeline</w:t>
      </w:r>
      <w:r>
        <w:t xml:space="preserve"> </w:t>
      </w:r>
      <w:fldSimple w:instr="NOTEREF _Ref_Footnote_95 \h \f">
        <w:r>
          <w:rPr>
            <w:vertAlign w:val="superscript"/>
          </w:rPr>
          <w:t>95</w:t>
        </w:r>
      </w:fldSimple>
      <w:r>
        <w:t xml:space="preserve">and Neural Concept’s copilot</w:t>
      </w:r>
      <w:r>
        <w:t xml:space="preserve"> </w:t>
      </w:r>
      <w:fldSimple w:instr="NOTEREF _Ref_Footnote_91 \h \f">
        <w:r>
          <w:rPr>
            <w:vertAlign w:val="superscript"/>
          </w:rPr>
          <w:t>91</w:t>
        </w:r>
      </w:fldSimple>
      <w:r>
        <w:t xml:space="preserve">are early GnS implementations in narrow domains. The physics gap is the longest-term challenge, requiring differentiable simulators, physics-informed neural operators</w:t>
      </w:r>
      <w:r>
        <w:t xml:space="preserve"> </w:t>
      </w:r>
      <w:r>
        <w:rPr>
          <w:vertAlign w:val="superscript"/>
        </w:rPr>
        <w:footnoteReference w:id="112"/>
      </w:r>
      <w:r>
        <w:t xml:space="preserve">, and training data pairing geometry with physical response.</w:t>
      </w:r>
    </w:p>
    <w:bookmarkEnd w:id="148"/>
    <w:bookmarkStart w:id="149" w:name="assembly-level-generation"/>
    <w:p>
      <w:pPr>
        <w:pStyle w:val="Heading4"/>
      </w:pPr>
      <w:r>
        <w:t xml:space="preserve">10.1.4 Assembly-Level Generation</w:t>
      </w:r>
    </w:p>
    <w:p>
      <w:pPr>
        <w:pStyle w:val="FirstParagraph"/>
      </w:pPr>
      <w:r>
        <w:t xml:space="preserve">The MUSE benchmark’s 28/100 assemblability score</w:t>
      </w:r>
      <w:r>
        <w:t xml:space="preserve"> </w:t>
      </w:r>
      <w:fldSimple w:instr="NOTEREF _Ref_Footnote_12 \h \f">
        <w:r>
          <w:rPr>
            <w:vertAlign w:val="superscript"/>
          </w:rPr>
          <w:t>12</w:t>
        </w:r>
      </w:fldSimple>
      <w:r>
        <w:t xml:space="preserve">is the most revealing metric in the AI-CAD landscape. Assembly requires simultaneous satisfaction of mate constraints, clearance fits, interference detection, and functional relationships—capabilities single-part systems do not address. ArtiCAD’s connector-first approach is one architectural response, but its formal analysis shows the Topological Naming Problem creates worst-case exponential search</w:t>
      </w:r>
      <w:r>
        <w:t xml:space="preserve"> </w:t>
      </w:r>
      <w:fldSimple w:instr="NOTEREF _Ref_Footnote_2 \h \f">
        <w:r>
          <w:rPr>
            <w:vertAlign w:val="superscript"/>
          </w:rPr>
          <w:t>2</w:t>
        </w:r>
      </w:fldSimple>
      <w:r>
        <w:t xml:space="preserve">. Multi-part assembly is projected to require hierarchical planners that decompose assemblies into sub-assemblies with explicitly defined interface constraints.</w:t>
      </w:r>
    </w:p>
    <w:bookmarkEnd w:id="149"/>
    <w:bookmarkStart w:id="150" w:name="slicer-aware-generation"/>
    <w:p>
      <w:pPr>
        <w:pStyle w:val="Heading4"/>
      </w:pPr>
      <w:r>
        <w:t xml:space="preserve">10.1.5 Slicer-Aware Generation</w:t>
      </w:r>
    </w:p>
    <w:p>
      <w:pPr>
        <w:pStyle w:val="FirstParagraph"/>
      </w:pPr>
      <w:r>
        <w:t xml:space="preserve">Additive manufacturing is the most forgiving production process for current AI-generated geometry because it tolerates organic, complex shapes that CNC machining cannot</w:t>
      </w:r>
      <w:r>
        <w:t xml:space="preserve"> </w:t>
      </w:r>
      <w:fldSimple w:instr="NOTEREF _Ref_Footnote_24 \h \f">
        <w:r>
          <w:rPr>
            <w:vertAlign w:val="superscript"/>
          </w:rPr>
          <w:t>24</w:t>
        </w:r>
      </w:fldSimple>
      <w:r>
        <w:t xml:space="preserve">. But even AM requires overhang angles (typically 45 degrees for fused deposition modeling) to minimize support structures</w:t>
      </w:r>
      <w:r>
        <w:t xml:space="preserve"> </w:t>
      </w:r>
      <w:fldSimple w:instr="NOTEREF _Ref_Footnote_96 \h \f">
        <w:r>
          <w:rPr>
            <w:vertAlign w:val="superscript"/>
          </w:rPr>
          <w:t>96</w:t>
        </w:r>
      </w:fldSimple>
      <w:r>
        <w:t xml:space="preserve">. SEG (Support-Effective Generation) is the first framework to embed slicer awareness directly into generative models</w:t>
      </w:r>
      <w:r>
        <w:t xml:space="preserve"> </w:t>
      </w:r>
      <w:fldSimple w:instr="NOTEREF _Ref_Footnote_14 \h \f">
        <w:r>
          <w:rPr>
            <w:vertAlign w:val="superscript"/>
          </w:rPr>
          <w:t>14</w:t>
        </w:r>
      </w:fldSimple>
      <w:r>
        <w:t xml:space="preserve">, and GNN-based topology optimization has demonstrated simultaneous enforcement of self-supporting structures, stress constraints, and volume fraction</w:t>
      </w:r>
      <w:r>
        <w:t xml:space="preserve"> </w:t>
      </w:r>
      <w:fldSimple w:instr="NOTEREF _Ref_Footnote_98 \h \f">
        <w:r>
          <w:rPr>
            <w:vertAlign w:val="superscript"/>
          </w:rPr>
          <w:t>98</w:t>
        </w:r>
      </w:fldSimple>
      <w:r>
        <w:t xml:space="preserve">. The broader principle—manufacturing constraints must be embedded, not appended—extends beyond AM to CNC milling direction constraints, minimum feature sizes for casting, and fatigue crack length limits</w:t>
      </w:r>
      <w:r>
        <w:t xml:space="preserve"> </w:t>
      </w:r>
      <w:fldSimple w:instr="NOTEREF _Ref_Footnote_97 \h \f">
        <w:r>
          <w:rPr>
            <w:vertAlign w:val="superscript"/>
          </w:rPr>
          <w:t>97</w:t>
        </w:r>
      </w:fldSimple>
      <w:r>
        <w:t xml:space="preserve">. Slicer-aware generation bridges the gap between</w:t>
      </w:r>
      <w:r>
        <w:t xml:space="preserve"> </w:t>
      </w:r>
      <w:r>
        <w:t xml:space="preserve">“</w:t>
      </w:r>
      <w:r>
        <w:t xml:space="preserve">generates geometry</w:t>
      </w:r>
      <w:r>
        <w:t xml:space="preserve">”</w:t>
      </w:r>
      <w:r>
        <w:t xml:space="preserve"> </w:t>
      </w:r>
      <w:r>
        <w:t xml:space="preserve">and</w:t>
      </w:r>
      <w:r>
        <w:t xml:space="preserve"> </w:t>
      </w:r>
      <w:r>
        <w:t xml:space="preserve">“</w:t>
      </w:r>
      <w:r>
        <w:t xml:space="preserve">generates geometry that can be built.</w:t>
      </w:r>
      <w:r>
        <w:t xml:space="preserve">”</w:t>
      </w:r>
    </w:p>
    <w:bookmarkEnd w:id="150"/>
    <w:bookmarkStart w:id="151" w:name="geometry-nodes-llm-integration"/>
    <w:p>
      <w:pPr>
        <w:pStyle w:val="Heading4"/>
      </w:pPr>
      <w:r>
        <w:t xml:space="preserve">10.1.6 Geometry Nodes + LLM Integration</w:t>
      </w:r>
    </w:p>
    <w:p>
      <w:pPr>
        <w:pStyle w:val="FirstParagraph"/>
      </w:pPr>
      <w:r>
        <w:t xml:space="preserve">Blender’s Geometry Nodes system provides a visual programming environment uniquely suited to LLM integration: node-based, hierarchical, exposing hundreds of parameters per graph, with deterministic output. Feasibility studies suggest fine-tuned models can generate functional node graphs for procedural objects. This is the single biggest untapped opportunity in the field. Unlike code-based generation (requiring API memorization) or mesh generation (lacking editability), Geometry Nodes output is both parametrically editable and immediately visualizable. A system generating Geometry Nodes from natural language—validated through render-based feedback—could achieve the combination of creative flexibility and production readiness that text-to-mesh approaches have not.</w:t>
      </w:r>
    </w:p>
    <w:bookmarkEnd w:id="151"/>
    <w:bookmarkStart w:id="152" w:name="X850f94ca032a86c7f3f2e09c9cb9519d0d69989"/>
    <w:p>
      <w:pPr>
        <w:pStyle w:val="Heading4"/>
      </w:pPr>
      <w:r>
        <w:t xml:space="preserve">10.1.7 Cross-Granularity Reasoning Architectures</w:t>
      </w:r>
    </w:p>
    <w:p>
      <w:pPr>
        <w:pStyle w:val="FirstParagraph"/>
      </w:pPr>
      <w:r>
        <w:t xml:space="preserve">The deepest structural problem limiting all AI-CAD approaches is the granularity mismatch between how LLMs reason and how engineering systems represent constraints. LLMs operate at the token level; CAD systems at the feature level; manufacturing at the tolerance level; physics at the continuous field level. Each transition introduces failures the previous level cannot detect.</w:t>
      </w:r>
    </w:p>
    <w:p>
      <w:pPr>
        <w:pStyle w:val="BodyText"/>
      </w:pPr>
      <w:r>
        <w:rPr>
          <w:bCs/>
          <w:b/>
        </w:rPr>
        <w:t xml:space="preserve">Table 10.1: Current AI-CAD Capability by Granularity Level — Gap Analysis (2026)</w:t>
      </w:r>
    </w:p>
    <w:tbl>
      <w:tblPr>
        <w:tblStyle w:val="Table"/>
        <w:tblW w:type="pct" w:w="5000"/>
        <w:tblLook w:firstRow="1" w:lastRow="0" w:firstColumn="0" w:lastColumn="0" w:noHBand="0" w:noVBand="0" w:val="0020"/>
      </w:tblPr>
      <w:tblGrid>
        <w:gridCol w:w="1508"/>
        <w:gridCol w:w="1508"/>
        <w:gridCol w:w="1508"/>
        <w:gridCol w:w="1885"/>
        <w:gridCol w:w="1508"/>
      </w:tblGrid>
      <w:tr>
        <w:trPr>
          <w:tblHeader w:val="true"/>
        </w:trPr>
        <w:tc>
          <w:tcPr/>
          <w:p>
            <w:pPr>
              <w:pStyle w:val="Compact"/>
              <w:jc w:val="left"/>
            </w:pPr>
            <w:r>
              <w:t xml:space="preserve">Granularity Level</w:t>
            </w:r>
          </w:p>
        </w:tc>
        <w:tc>
          <w:tcPr/>
          <w:p>
            <w:pPr>
              <w:pStyle w:val="Compact"/>
              <w:jc w:val="left"/>
            </w:pPr>
            <w:r>
              <w:t xml:space="preserve">Native Representation</w:t>
            </w:r>
          </w:p>
        </w:tc>
        <w:tc>
          <w:tcPr/>
          <w:p>
            <w:pPr>
              <w:pStyle w:val="Compact"/>
              <w:jc w:val="left"/>
            </w:pPr>
            <w:r>
              <w:t xml:space="preserve">Current Best Capability</w:t>
            </w:r>
          </w:p>
        </w:tc>
        <w:tc>
          <w:tcPr/>
          <w:p>
            <w:pPr>
              <w:pStyle w:val="Compact"/>
              <w:jc w:val="center"/>
            </w:pPr>
            <w:r>
              <w:t xml:space="preserve">Gap Severity</w:t>
            </w:r>
          </w:p>
        </w:tc>
        <w:tc>
          <w:tcPr/>
          <w:p>
            <w:pPr>
              <w:pStyle w:val="Compact"/>
              <w:jc w:val="left"/>
            </w:pPr>
            <w:r>
              <w:t xml:space="preserve">Key Blocking Factor</w:t>
            </w:r>
          </w:p>
        </w:tc>
      </w:tr>
      <w:tr>
        <w:tc>
          <w:tcPr/>
          <w:p>
            <w:pPr>
              <w:pStyle w:val="Compact"/>
              <w:jc w:val="left"/>
            </w:pPr>
            <w:r>
              <w:t xml:space="preserve">Token (LLM reasoning)</w:t>
            </w:r>
          </w:p>
        </w:tc>
        <w:tc>
          <w:tcPr/>
          <w:p>
            <w:pPr>
              <w:pStyle w:val="Compact"/>
              <w:jc w:val="left"/>
            </w:pPr>
            <w:r>
              <w:t xml:space="preserve">Sub-word tokens</w:t>
            </w:r>
          </w:p>
        </w:tc>
        <w:tc>
          <w:tcPr/>
          <w:p>
            <w:pPr>
              <w:pStyle w:val="Compact"/>
              <w:jc w:val="left"/>
            </w:pPr>
            <w:r>
              <w:t xml:space="preserve">Syntactic code generation at 100% VSR</w:t>
            </w:r>
            <w:r>
              <w:t xml:space="preserve"> </w:t>
            </w:r>
            <w:fldSimple w:instr="NOTEREF _Ref_Footnote_51 \h \f">
              <w:r>
                <w:rPr>
                  <w:vertAlign w:val="superscript"/>
                </w:rPr>
                <w:t>51</w:t>
              </w:r>
            </w:fldSimple>
          </w:p>
        </w:tc>
        <w:tc>
          <w:tcPr/>
          <w:p>
            <w:pPr>
              <w:pStyle w:val="Compact"/>
              <w:jc w:val="center"/>
            </w:pPr>
            <w:r>
              <w:t xml:space="preserve">Low</w:t>
            </w:r>
          </w:p>
        </w:tc>
        <w:tc>
          <w:tcPr/>
          <w:p>
            <w:pPr>
              <w:pStyle w:val="Compact"/>
              <w:jc w:val="left"/>
            </w:pPr>
            <w:r>
              <w:t xml:space="preserve">None—solved for narrow distributions</w:t>
            </w:r>
          </w:p>
        </w:tc>
      </w:tr>
      <w:tr>
        <w:tc>
          <w:tcPr/>
          <w:p>
            <w:pPr>
              <w:pStyle w:val="Compact"/>
              <w:jc w:val="left"/>
            </w:pPr>
            <w:r>
              <w:t xml:space="preserve">Feature (CAD operations)</w:t>
            </w:r>
          </w:p>
        </w:tc>
        <w:tc>
          <w:tcPr/>
          <w:p>
            <w:pPr>
              <w:pStyle w:val="Compact"/>
              <w:jc w:val="left"/>
            </w:pPr>
            <w:r>
              <w:t xml:space="preserve">Sketches, extrusions, fillets, B-Rep primitives</w:t>
            </w:r>
          </w:p>
        </w:tc>
        <w:tc>
          <w:tcPr/>
          <w:p>
            <w:pPr>
              <w:pStyle w:val="Compact"/>
              <w:jc w:val="left"/>
            </w:pPr>
            <w:r>
              <w:t xml:space="preserve">54% geometric validity; L3 advanced features unsolved</w:t>
            </w:r>
            <w:r>
              <w:t xml:space="preserve"> </w:t>
            </w:r>
            <w:fldSimple w:instr="NOTEREF _Ref_Footnote_21 \h \f">
              <w:r>
                <w:rPr>
                  <w:vertAlign w:val="superscript"/>
                </w:rPr>
                <w:t>21</w:t>
              </w:r>
            </w:fldSimple>
          </w:p>
        </w:tc>
        <w:tc>
          <w:tcPr/>
          <w:p>
            <w:pPr>
              <w:pStyle w:val="Compact"/>
              <w:jc w:val="center"/>
            </w:pPr>
            <w:r>
              <w:rPr>
                <w:bCs/>
                <w:b/>
              </w:rPr>
              <w:t xml:space="preserve">High</w:t>
            </w:r>
          </w:p>
        </w:tc>
        <w:tc>
          <w:tcPr/>
          <w:p>
            <w:pPr>
              <w:pStyle w:val="Compact"/>
              <w:jc w:val="left"/>
            </w:pPr>
            <w:r>
              <w:t xml:space="preserve">Topological Naming Problem creates</w:t>
            </w:r>
            <w:r>
              <w:t xml:space="preserve"> </w:t>
            </w:r>
            <m:oMath>
              <m:r>
                <m:t>O</m:t>
              </m:r>
              <m:d>
                <m:dPr>
                  <m:begChr m:val="("/>
                  <m:endChr m:val=")"/>
                  <m:sepChr m:val=""/>
                  <m:grow/>
                </m:dPr>
                <m:e>
                  <m:sSup>
                    <m:e>
                      <m:r>
                        <m:t>V</m:t>
                      </m:r>
                    </m:e>
                    <m:sup>
                      <m:r>
                        <m:t>2</m:t>
                      </m:r>
                    </m:sup>
                  </m:sSup>
                  <m:r>
                    <m:rPr>
                      <m:sty m:val="p"/>
                    </m:rPr>
                    <m:t>∥</m:t>
                  </m:r>
                  <m:r>
                    <m:t>E</m:t>
                  </m:r>
                  <m:r>
                    <m:rPr>
                      <m:sty m:val="p"/>
                    </m:rPr>
                    <m:t>∥</m:t>
                  </m:r>
                </m:e>
              </m:d>
            </m:oMath>
            <w:r>
              <w:t xml:space="preserve"> </w:t>
            </w:r>
            <w:r>
              <w:t xml:space="preserve">search</w:t>
            </w:r>
            <w:r>
              <w:t xml:space="preserve"> </w:t>
            </w:r>
            <w:fldSimple w:instr="NOTEREF _Ref_Footnote_2 \h \f">
              <w:r>
                <w:rPr>
                  <w:vertAlign w:val="superscript"/>
                </w:rPr>
                <w:t>2</w:t>
              </w:r>
            </w:fldSimple>
          </w:p>
        </w:tc>
      </w:tr>
      <w:tr>
        <w:tc>
          <w:tcPr/>
          <w:p>
            <w:pPr>
              <w:pStyle w:val="Compact"/>
              <w:jc w:val="left"/>
            </w:pPr>
            <w:r>
              <w:t xml:space="preserve">Tolerance (GD&amp;T)</w:t>
            </w:r>
          </w:p>
        </w:tc>
        <w:tc>
          <w:tcPr/>
          <w:p>
            <w:pPr>
              <w:pStyle w:val="Compact"/>
              <w:jc w:val="left"/>
            </w:pPr>
            <w:r>
              <w:t xml:space="preserve">Micron-scale deviations, datum references</w:t>
            </w:r>
          </w:p>
        </w:tc>
        <w:tc>
          <w:tcPr/>
          <w:p>
            <w:pPr>
              <w:pStyle w:val="Compact"/>
              <w:jc w:val="left"/>
            </w:pPr>
            <w:r>
              <w:t xml:space="preserve">No end-to-end system handles GD&amp;T generation</w:t>
            </w:r>
          </w:p>
        </w:tc>
        <w:tc>
          <w:tcPr/>
          <w:p>
            <w:pPr>
              <w:pStyle w:val="Compact"/>
              <w:jc w:val="center"/>
            </w:pPr>
            <w:r>
              <w:rPr>
                <w:bCs/>
                <w:b/>
              </w:rPr>
              <w:t xml:space="preserve">Critical</w:t>
            </w:r>
          </w:p>
        </w:tc>
        <w:tc>
          <w:tcPr/>
          <w:p>
            <w:pPr>
              <w:pStyle w:val="Compact"/>
              <w:jc w:val="left"/>
            </w:pPr>
            <w:r>
              <w:t xml:space="preserve">Training data entirely absent; tolerance allocation errors cause up to half of rework costs</w:t>
            </w:r>
            <w:r>
              <w:t xml:space="preserve"> </w:t>
            </w:r>
            <w:fldSimple w:instr="NOTEREF _Ref_Footnote_99 \h \f">
              <w:r>
                <w:rPr>
                  <w:vertAlign w:val="superscript"/>
                </w:rPr>
                <w:t>99</w:t>
              </w:r>
            </w:fldSimple>
          </w:p>
        </w:tc>
      </w:tr>
      <w:tr>
        <w:tc>
          <w:tcPr/>
          <w:p>
            <w:pPr>
              <w:pStyle w:val="Compact"/>
              <w:jc w:val="left"/>
            </w:pPr>
            <w:r>
              <w:t xml:space="preserve">Assembly (multi-part)</w:t>
            </w:r>
          </w:p>
        </w:tc>
        <w:tc>
          <w:tcPr/>
          <w:p>
            <w:pPr>
              <w:pStyle w:val="Compact"/>
              <w:jc w:val="left"/>
            </w:pPr>
            <w:r>
              <w:t xml:space="preserve">Mate constraints, clearance fits</w:t>
            </w:r>
          </w:p>
        </w:tc>
        <w:tc>
          <w:tcPr/>
          <w:p>
            <w:pPr>
              <w:pStyle w:val="Compact"/>
              <w:jc w:val="left"/>
            </w:pPr>
            <w:r>
              <w:t xml:space="preserve">28/100 assemblability</w:t>
            </w:r>
            <w:r>
              <w:t xml:space="preserve"> </w:t>
            </w:r>
            <w:fldSimple w:instr="NOTEREF _Ref_Footnote_12 \h \f">
              <w:r>
                <w:rPr>
                  <w:vertAlign w:val="superscript"/>
                </w:rPr>
                <w:t>12</w:t>
              </w:r>
            </w:fldSimple>
          </w:p>
        </w:tc>
        <w:tc>
          <w:tcPr/>
          <w:p>
            <w:pPr>
              <w:pStyle w:val="Compact"/>
              <w:jc w:val="center"/>
            </w:pPr>
            <w:r>
              <w:rPr>
                <w:bCs/>
                <w:b/>
              </w:rPr>
              <w:t xml:space="preserve">Critical</w:t>
            </w:r>
          </w:p>
        </w:tc>
        <w:tc>
          <w:tcPr/>
          <w:p>
            <w:pPr>
              <w:pStyle w:val="Compact"/>
              <w:jc w:val="left"/>
            </w:pPr>
            <w:r>
              <w:t xml:space="preserve">No joint optimization across parts; no assembly-annotated training data</w:t>
            </w:r>
          </w:p>
        </w:tc>
      </w:tr>
      <w:tr>
        <w:tc>
          <w:tcPr/>
          <w:p>
            <w:pPr>
              <w:pStyle w:val="Compact"/>
              <w:jc w:val="left"/>
            </w:pPr>
            <w:r>
              <w:t xml:space="preserve">Physics (continuous field)</w:t>
            </w:r>
          </w:p>
        </w:tc>
        <w:tc>
          <w:tcPr/>
          <w:p>
            <w:pPr>
              <w:pStyle w:val="Compact"/>
              <w:jc w:val="left"/>
            </w:pPr>
            <w:r>
              <w:t xml:space="preserve">Stress/thermal/flow fields over</w:t>
            </w:r>
            <w:r>
              <w:t xml:space="preserve"> </w:t>
            </w:r>
            <m:oMath>
              <m:sSup>
                <m:e>
                  <m:r>
                    <m:rPr>
                      <m:sty m:val="p"/>
                      <m:scr m:val="double-struck"/>
                    </m:rPr>
                    <m:t>R</m:t>
                  </m:r>
                </m:e>
                <m:sup>
                  <m:r>
                    <m:t>3</m:t>
                  </m:r>
                </m:sup>
              </m:sSup>
            </m:oMath>
          </w:p>
        </w:tc>
        <w:tc>
          <w:tcPr/>
          <w:p>
            <w:pPr>
              <w:pStyle w:val="Compact"/>
              <w:jc w:val="left"/>
            </w:pPr>
            <w:r>
              <w:t xml:space="preserve">0% end-to-end FEA solve rate</w:t>
            </w:r>
            <w:r>
              <w:t xml:space="preserve"> </w:t>
            </w:r>
            <w:fldSimple w:instr="NOTEREF _Ref_Footnote_89 \h \f">
              <w:r>
                <w:rPr>
                  <w:vertAlign w:val="superscript"/>
                </w:rPr>
                <w:t>89</w:t>
              </w:r>
            </w:fldSimple>
          </w:p>
        </w:tc>
        <w:tc>
          <w:tcPr/>
          <w:p>
            <w:pPr>
              <w:pStyle w:val="Compact"/>
              <w:jc w:val="center"/>
            </w:pPr>
            <w:r>
              <w:rPr>
                <w:bCs/>
                <w:b/>
              </w:rPr>
              <w:t xml:space="preserve">Critical</w:t>
            </w:r>
          </w:p>
        </w:tc>
        <w:tc>
          <w:tcPr/>
          <w:p>
            <w:pPr>
              <w:pStyle w:val="Compact"/>
              <w:jc w:val="left"/>
            </w:pPr>
            <w:r>
              <w:t xml:space="preserve">Differentiability gap; physics-geometry coupling unsolved</w:t>
            </w:r>
          </w:p>
        </w:tc>
      </w:tr>
      <w:tr>
        <w:tc>
          <w:tcPr/>
          <w:p>
            <w:pPr>
              <w:pStyle w:val="Compact"/>
              <w:jc w:val="left"/>
            </w:pPr>
            <w:r>
              <w:t xml:space="preserve">Process (manufacturing)</w:t>
            </w:r>
          </w:p>
        </w:tc>
        <w:tc>
          <w:tcPr/>
          <w:p>
            <w:pPr>
              <w:pStyle w:val="Compact"/>
              <w:jc w:val="left"/>
            </w:pPr>
            <w:r>
              <w:t xml:space="preserve">Overhang angles, build orientation, tool paths</w:t>
            </w:r>
          </w:p>
        </w:tc>
        <w:tc>
          <w:tcPr/>
          <w:p>
            <w:pPr>
              <w:pStyle w:val="Compact"/>
              <w:jc w:val="left"/>
            </w:pPr>
            <w:r>
              <w:t xml:space="preserve">Early: SEG enforces AM constraints</w:t>
            </w:r>
            <w:r>
              <w:t xml:space="preserve"> </w:t>
            </w:r>
            <w:fldSimple w:instr="NOTEREF _Ref_Footnote_14 \h \f">
              <w:r>
                <w:rPr>
                  <w:vertAlign w:val="superscript"/>
                </w:rPr>
                <w:t>14</w:t>
              </w:r>
            </w:fldSimple>
            <w:r>
              <w:t xml:space="preserve">; GNN-TO enforces AM + stress</w:t>
            </w:r>
            <w:r>
              <w:t xml:space="preserve"> </w:t>
            </w:r>
            <w:fldSimple w:instr="NOTEREF _Ref_Footnote_98 \h \f">
              <w:r>
                <w:rPr>
                  <w:vertAlign w:val="superscript"/>
                </w:rPr>
                <w:t>98</w:t>
              </w:r>
            </w:fldSimple>
          </w:p>
        </w:tc>
        <w:tc>
          <w:tcPr/>
          <w:p>
            <w:pPr>
              <w:pStyle w:val="Compact"/>
              <w:jc w:val="center"/>
            </w:pPr>
            <w:r>
              <w:rPr>
                <w:bCs/>
                <w:b/>
              </w:rPr>
              <w:t xml:space="preserve">High</w:t>
            </w:r>
          </w:p>
        </w:tc>
        <w:tc>
          <w:tcPr/>
          <w:p>
            <w:pPr>
              <w:pStyle w:val="Compact"/>
              <w:jc w:val="left"/>
            </w:pPr>
            <w:r>
              <w:t xml:space="preserve">Process-specific; no unified manufacturing constraint framework</w:t>
            </w:r>
          </w:p>
        </w:tc>
      </w:tr>
    </w:tbl>
    <w:p>
      <w:pPr>
        <w:pStyle w:val="BodyText"/>
      </w:pPr>
      <w:r>
        <w:t xml:space="preserve">Table 10.1 reveals a systematic pattern: capability degrades monotonically with granularity. Token-level code generation is essentially solved for in-distribution tasks. Feature-level generation achieves partial success. Tolerance, assembly, physics, and process levels remain effectively untouched. No current architecture successfully bridges all six levels. FutureCAD’s two-component design</w:t>
      </w:r>
      <w:r>
        <w:t xml:space="preserve"> </w:t>
      </w:r>
      <w:fldSimple w:instr="NOTEREF _Ref_Footnote_5 \h \f">
        <w:r>
          <w:rPr>
            <w:vertAlign w:val="superscript"/>
          </w:rPr>
          <w:t>5</w:t>
        </w:r>
      </w:fldSimple>
      <w:r>
        <w:t xml:space="preserve">bridges token-to-feature; Neural Concept’s copilot</w:t>
      </w:r>
      <w:r>
        <w:t xml:space="preserve"> </w:t>
      </w:r>
      <w:fldSimple w:instr="NOTEREF _Ref_Footnote_91 \h \f">
        <w:r>
          <w:rPr>
            <w:vertAlign w:val="superscript"/>
          </w:rPr>
          <w:t>91</w:t>
        </w:r>
      </w:fldSimple>
      <w:r>
        <w:t xml:space="preserve">bridges feature-to-physics for narrow domains; but a unified cross-granularity architecture would require explicit multi-scale reasoning modules that do not yet exist.</w:t>
      </w:r>
    </w:p>
    <w:bookmarkEnd w:id="152"/>
    <w:bookmarkStart w:id="153" w:name="Xa5b94b9d337a21b5cd9b3f93b8f79cd395fc8f0"/>
    <w:p>
      <w:pPr>
        <w:pStyle w:val="Heading4"/>
      </w:pPr>
      <w:r>
        <w:t xml:space="preserve">10.1.8 Professional Liability and Regulatory Frameworks</w:t>
      </w:r>
    </w:p>
    <w:p>
      <w:pPr>
        <w:pStyle w:val="FirstParagraph"/>
      </w:pPr>
      <w:r>
        <w:t xml:space="preserve">No jurisdiction has established a clear liability framework for AI-generated engineering geometry. The EU Product Liability Directive, transposable by December 2026, classifies software (including AI) as a</w:t>
      </w:r>
      <w:r>
        <w:t xml:space="preserve"> </w:t>
      </w:r>
      <w:r>
        <w:t xml:space="preserve">“</w:t>
      </w:r>
      <w:r>
        <w:t xml:space="preserve">product</w:t>
      </w:r>
      <w:r>
        <w:t xml:space="preserve">”</w:t>
      </w:r>
      <w:r>
        <w:t xml:space="preserve"> </w:t>
      </w:r>
      <w:r>
        <w:t xml:space="preserve">for strict liability, covering components and integrated digital services jointly and severally</w:t>
      </w:r>
      <w:r>
        <w:t xml:space="preserve"> </w:t>
      </w:r>
      <w:fldSimple w:instr="NOTEREF _Ref_Footnote_101 \h \f">
        <w:r>
          <w:rPr>
            <w:vertAlign w:val="superscript"/>
          </w:rPr>
          <w:t>101</w:t>
        </w:r>
      </w:fldSimple>
      <w:r>
        <w:t xml:space="preserve">. The USPTO’s November 2025 guidance analogizes AI to lab equipment—AI may accelerate, model, or generate, but this does not create inventorship</w:t>
      </w:r>
      <w:r>
        <w:t xml:space="preserve"> </w:t>
      </w:r>
      <w:fldSimple w:instr="NOTEREF _Ref_Footnote_103 \h \f">
        <w:r>
          <w:rPr>
            <w:vertAlign w:val="superscript"/>
          </w:rPr>
          <w:t>103</w:t>
        </w:r>
      </w:fldSimple>
      <w:r>
        <w:t xml:space="preserve">. China’s vertical regulation imposes provider liability through algorithm filing and content labeling</w:t>
      </w:r>
      <w:r>
        <w:t xml:space="preserve"> </w:t>
      </w:r>
      <w:fldSimple w:instr="NOTEREF _Ref_Footnote_108 \h \f">
        <w:r>
          <w:rPr>
            <w:vertAlign w:val="superscript"/>
          </w:rPr>
          <w:t>108</w:t>
        </w:r>
      </w:fldSimple>
      <w:r>
        <w:t xml:space="preserve">. The 69% of AEC professionals who report regulatory uncertainty has affected their AI implementation plans</w:t>
      </w:r>
      <w:r>
        <w:t xml:space="preserve"> </w:t>
      </w:r>
      <w:fldSimple w:instr="NOTEREF _Ref_Footnote_4 \h \f">
        <w:r>
          <w:rPr>
            <w:vertAlign w:val="superscript"/>
          </w:rPr>
          <w:t>4</w:t>
        </w:r>
      </w:fldSimple>
      <w:r>
        <w:t xml:space="preserve">represent a rational response to this vacuum: in the absence of clear liability rules, the default position is that the approving professional bears full responsibility. Resolution of this problem is not a technical research question but a legislative and standards-body coordination challenge that is projected to require 3–5 years at minimum.</w:t>
      </w:r>
    </w:p>
    <w:bookmarkEnd w:id="153"/>
    <w:bookmarkEnd w:id="154"/>
    <w:bookmarkStart w:id="160" w:name="trajectory-predictions-20262031"/>
    <w:p>
      <w:pPr>
        <w:pStyle w:val="Heading3"/>
      </w:pPr>
      <w:r>
        <w:t xml:space="preserve">10.2 Trajectory Predictions: 2026–2031</w:t>
      </w:r>
    </w:p>
    <w:bookmarkStart w:id="158" w:name="the-convergence-timeline"/>
    <w:p>
      <w:pPr>
        <w:pStyle w:val="Heading4"/>
      </w:pPr>
      <w:r>
        <w:t xml:space="preserve">10.2.1 The Convergence Timeline</w:t>
      </w:r>
    </w:p>
    <w:p>
      <w:pPr>
        <w:pStyle w:val="FirstParagraph"/>
      </w:pPr>
      <w:r>
        <w:t xml:space="preserve">The eight unsolved problems will not resolve simultaneously. A phased convergence is projected, shaped by dependencies between technical capabilities, standardization milestones, and regulatory developments.</w:t>
      </w:r>
    </w:p>
    <w:p>
      <w:pPr>
        <w:pStyle w:val="CaptionedFigure"/>
      </w:pPr>
      <w:r>
        <w:drawing>
          <wp:inline>
            <wp:extent cx="5334000" cy="2255509"/>
            <wp:effectExtent b="0" l="0" r="0" t="0"/>
            <wp:docPr descr="Figure 10.1" title="" id="156" name="Picture"/>
            <a:graphic>
              <a:graphicData uri="http://schemas.openxmlformats.org/drawingml/2006/picture">
                <pic:pic>
                  <pic:nvPicPr>
                    <pic:cNvPr descr="fig_10_1_convergence_timeline.png" id="157" name="Picture"/>
                    <pic:cNvPicPr>
                      <a:picLocks noChangeArrowheads="1" noChangeAspect="1"/>
                    </pic:cNvPicPr>
                  </pic:nvPicPr>
                  <pic:blipFill>
                    <a:blip r:embed="rId155"/>
                    <a:stretch>
                      <a:fillRect/>
                    </a:stretch>
                  </pic:blipFill>
                  <pic:spPr bwMode="auto">
                    <a:xfrm>
                      <a:off x="0" y="0"/>
                      <a:ext cx="5334000" cy="2255509"/>
                    </a:xfrm>
                    <a:prstGeom prst="rect">
                      <a:avLst/>
                    </a:prstGeom>
                    <a:noFill/>
                    <a:ln w="9525">
                      <a:noFill/>
                      <a:headEnd/>
                      <a:tailEnd/>
                    </a:ln>
                  </pic:spPr>
                </pic:pic>
              </a:graphicData>
            </a:graphic>
          </wp:inline>
        </w:drawing>
      </w:r>
    </w:p>
    <w:p>
      <w:pPr>
        <w:pStyle w:val="ImageCaption"/>
      </w:pPr>
      <w:r>
        <w:t xml:space="preserve">Figure 10.1</w:t>
      </w:r>
    </w:p>
    <w:p>
      <w:pPr>
        <w:pStyle w:val="BodyText"/>
      </w:pPr>
      <w:r>
        <w:rPr>
          <w:iCs/>
          <w:i/>
        </w:rPr>
        <w:t xml:space="preserve">Figure 10.1: Projected five-year convergence timeline for AI-CAD integration, mapped against autonomy level progression. The 2026–2027 phase focuses on MCP standardization and tool ecosystem maturation. The 2027–2028 phase targets first physics-aware production deployments. Multi-representation research maturity is projected for 2028–2029. Professional adoption at scale (L4–L5) is conditional on resolution of physics, regulatory, and liability frameworks by 2029–2031. Data source: synthesis across dimension reports</w:t>
      </w:r>
      <w:r>
        <w:rPr>
          <w:iCs/>
          <w:i/>
        </w:rPr>
        <w:t xml:space="preserve"> </w:t>
      </w:r>
      <w:fldSimple w:instr="NOTEREF _Ref_Footnote_25 \h \f">
        <w:r>
          <w:rPr>
            <w:vertAlign w:val="superscript"/>
          </w:rPr>
          <w:t>25</w:t>
        </w:r>
      </w:fldSimple>
      <w:r>
        <w:rPr>
          <w:iCs/>
          <w:i/>
        </w:rPr>
        <w:t xml:space="preserve"> </w:t>
      </w:r>
      <w:fldSimple w:instr="NOTEREF _Ref_Footnote_91 \h \f">
        <w:r>
          <w:rPr>
            <w:vertAlign w:val="superscript"/>
          </w:rPr>
          <w:t>91</w:t>
        </w:r>
      </w:fldSimple>
      <w:r>
        <w:rPr>
          <w:iCs/>
          <w:i/>
        </w:rPr>
        <w:t xml:space="preserve"> </w:t>
      </w:r>
      <w:fldSimple w:instr="NOTEREF _Ref_Footnote_111 \h \f">
        <w:r>
          <w:rPr>
            <w:vertAlign w:val="superscript"/>
          </w:rPr>
          <w:t>111</w:t>
        </w:r>
      </w:fldSimple>
      <w:r>
        <w:rPr>
          <w:iCs/>
          <w:i/>
        </w:rPr>
        <w:t xml:space="preserve"> </w:t>
      </w:r>
      <w:fldSimple w:instr="NOTEREF _Ref_Footnote_101 \h \f">
        <w:r>
          <w:rPr>
            <w:vertAlign w:val="superscript"/>
          </w:rPr>
          <w:t>101</w:t>
        </w:r>
      </w:fldSimple>
      <w:r>
        <w:rPr>
          <w:iCs/>
          <w:i/>
        </w:rPr>
        <w:t xml:space="preserve">.</w:t>
      </w:r>
    </w:p>
    <w:p>
      <w:pPr>
        <w:pStyle w:val="BodyText"/>
      </w:pPr>
      <w:r>
        <w:rPr>
          <w:bCs/>
          <w:b/>
        </w:rPr>
        <w:t xml:space="preserve">2026–2027: MCP Standardization and Tool Ecosystem Maturation.</w:t>
      </w:r>
      <w:r>
        <w:t xml:space="preserve"> </w:t>
      </w:r>
      <w:r>
        <w:t xml:space="preserve">MCP is projected to consolidate as the dominant integration standard. Blender Foundation adoption (April 2026)</w:t>
      </w:r>
      <w:r>
        <w:t xml:space="preserve"> </w:t>
      </w:r>
      <w:fldSimple w:instr="NOTEREF _Ref_Footnote_17 \h \f">
        <w:r>
          <w:rPr>
            <w:vertAlign w:val="superscript"/>
          </w:rPr>
          <w:t>17</w:t>
        </w:r>
      </w:fldSimple>
      <w:r>
        <w:t xml:space="preserve">, the Blender MCP ecosystem at ~22,900 GitHub stars, and Anthropic’s EUR 240,000+/year Corporate Patron status</w:t>
      </w:r>
      <w:r>
        <w:t xml:space="preserve"> </w:t>
      </w:r>
      <w:fldSimple w:instr="NOTEREF _Ref_Footnote_17 \h \f">
        <w:r>
          <w:rPr>
            <w:vertAlign w:val="superscript"/>
          </w:rPr>
          <w:t>17</w:t>
        </w:r>
      </w:fldSimple>
      <w:r>
        <w:t xml:space="preserve">signal institutional commitment. MCP standardizes AI-to-tool interaction rather than file formats, enabling dynamic tool discovery and multi-tool orchestration</w:t>
      </w:r>
      <w:r>
        <w:t xml:space="preserve"> </w:t>
      </w:r>
      <w:fldSimple w:instr="NOTEREF _Ref_Footnote_25 \h \f">
        <w:r>
          <w:rPr>
            <w:vertAlign w:val="superscript"/>
          </w:rPr>
          <w:t>25</w:t>
        </w:r>
      </w:fldSimple>
      <w:r>
        <w:t xml:space="preserve">. By 2027, MCP support is projected across all major open-source CAD tools and at least one commercial vendor.</w:t>
      </w:r>
    </w:p>
    <w:p>
      <w:pPr>
        <w:pStyle w:val="BodyText"/>
      </w:pPr>
      <w:r>
        <w:rPr>
          <w:bCs/>
          <w:b/>
        </w:rPr>
        <w:t xml:space="preserve">2027–2028: Physics-Aware First Production Systems.</w:t>
      </w:r>
      <w:r>
        <w:t xml:space="preserve"> </w:t>
      </w:r>
      <w:r>
        <w:t xml:space="preserve">First production deployments of physics-integrated generation are projected for narrow, high-value domains. Jaguar Land Rover’s Neural Concept deployment—increasing evaluations from ~50 to ~1,500 per day with CFD and wind tunnel validation</w:t>
      </w:r>
      <w:r>
        <w:t xml:space="preserve"> </w:t>
      </w:r>
      <w:fldSimple w:instr="NOTEREF _Ref_Footnote_93 \h \f">
        <w:r>
          <w:rPr>
            <w:vertAlign w:val="superscript"/>
          </w:rPr>
          <w:t>93</w:t>
        </w:r>
      </w:fldSimple>
      <w:r>
        <w:t xml:space="preserve">—is the template. Expansion to thermal, crash, and electromagnetic domains requires industrial-scale simulation datasets (10,000+ cases) that only OEMs possess.</w:t>
      </w:r>
    </w:p>
    <w:p>
      <w:pPr>
        <w:pStyle w:val="BodyText"/>
      </w:pPr>
      <w:r>
        <w:rPr>
          <w:bCs/>
          <w:b/>
        </w:rPr>
        <w:t xml:space="preserve">2028–2029: Multi-Representation Research Maturity.</w:t>
      </w:r>
      <w:r>
        <w:t xml:space="preserve"> </w:t>
      </w:r>
      <w:r>
        <w:t xml:space="preserve">Unified systems selecting representations based on downstream constraints are projected from the research community. Enabling technologies—differentiable mesh extraction</w:t>
      </w:r>
      <w:r>
        <w:t xml:space="preserve"> </w:t>
      </w:r>
      <w:fldSimple w:instr="NOTEREF _Ref_Footnote_34 \h \f">
        <w:r>
          <w:rPr>
            <w:vertAlign w:val="superscript"/>
          </w:rPr>
          <w:t>34</w:t>
        </w:r>
      </w:fldSimple>
      <w:r>
        <w:t xml:space="preserve">, neural B-Rep generation</w:t>
      </w:r>
      <w:r>
        <w:t xml:space="preserve"> </w:t>
      </w:r>
      <w:r>
        <w:rPr>
          <w:vertAlign w:val="superscript"/>
        </w:rPr>
        <w:footnoteReference w:id="113"/>
      </w:r>
      <w:r>
        <w:t xml:space="preserve">, hybrid SDF-B-Rep pipelines—are individually maturing. Their integration into a single system is the projected milestone.</w:t>
      </w:r>
    </w:p>
    <w:p>
      <w:pPr>
        <w:pStyle w:val="BodyText"/>
      </w:pPr>
      <w:r>
        <w:rPr>
          <w:bCs/>
          <w:b/>
        </w:rPr>
        <w:t xml:space="preserve">2029–2031: Professional Adoption (Conditional).</w:t>
      </w:r>
      <w:r>
        <w:t xml:space="preserve"> </w:t>
      </w:r>
      <w:r>
        <w:t xml:space="preserve">Large-scale engineering adoption requires three conditions: (1) physics integration across multiple domains, (2) liability clarification in two+ jurisdictions, and (3) 10,000+ fully annotated constraint-rich models. Without these, adoption remains concentrated in visualization and prototyping.</w:t>
      </w:r>
    </w:p>
    <w:bookmarkEnd w:id="158"/>
    <w:bookmarkStart w:id="159" w:name="the-autonomy-level-framework"/>
    <w:p>
      <w:pPr>
        <w:pStyle w:val="Heading4"/>
      </w:pPr>
      <w:r>
        <w:t xml:space="preserve">10.2.2 The Autonomy Level Framework</w:t>
      </w:r>
    </w:p>
    <w:p>
      <w:pPr>
        <w:pStyle w:val="FirstParagraph"/>
      </w:pPr>
      <w:r>
        <w:t xml:space="preserve">The MIT AI Agent Index found that most chat-first assistants operate at L1–L3 autonomy, with browser agents at L4–L5</w:t>
      </w:r>
      <w:r>
        <w:t xml:space="preserve"> </w:t>
      </w:r>
      <w:r>
        <w:rPr>
          <w:vertAlign w:val="superscript"/>
        </w:rPr>
        <w:footnoteReference w:id="114"/>
      </w:r>
      <w:r>
        <w:t xml:space="preserve">. For AI-CAD systems, a five-level framework adapted from the SAE automotive autonomy model provides a structured lens for assessing current and projected capabilities.</w:t>
      </w:r>
    </w:p>
    <w:p>
      <w:pPr>
        <w:pStyle w:val="BodyText"/>
      </w:pPr>
      <w:r>
        <w:rPr>
          <w:bCs/>
          <w:b/>
        </w:rPr>
        <w:t xml:space="preserve">Table 10.2: Autonomy Levels for AI-CAD Systems — Current State and Projected Timelines</w:t>
      </w:r>
    </w:p>
    <w:tbl>
      <w:tblPr>
        <w:tblStyle w:val="Table"/>
        <w:tblW w:type="pct" w:w="5000"/>
        <w:tblLook w:firstRow="1" w:lastRow="0" w:firstColumn="0" w:lastColumn="0" w:noHBand="0" w:noVBand="0" w:val="0020"/>
      </w:tblPr>
      <w:tblGrid>
        <w:gridCol w:w="1267"/>
        <w:gridCol w:w="1267"/>
        <w:gridCol w:w="1267"/>
        <w:gridCol w:w="1267"/>
        <w:gridCol w:w="1267"/>
        <w:gridCol w:w="1584"/>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Human Role</w:t>
            </w:r>
          </w:p>
        </w:tc>
        <w:tc>
          <w:tcPr/>
          <w:p>
            <w:pPr>
              <w:pStyle w:val="Compact"/>
              <w:jc w:val="left"/>
            </w:pPr>
            <w:r>
              <w:t xml:space="preserve">System Capability</w:t>
            </w:r>
          </w:p>
        </w:tc>
        <w:tc>
          <w:tcPr/>
          <w:p>
            <w:pPr>
              <w:pStyle w:val="Compact"/>
              <w:jc w:val="left"/>
            </w:pPr>
            <w:r>
              <w:t xml:space="preserve">Representative Systems (2026)</w:t>
            </w:r>
          </w:p>
        </w:tc>
        <w:tc>
          <w:tcPr/>
          <w:p>
            <w:pPr>
              <w:pStyle w:val="Compact"/>
              <w:jc w:val="center"/>
            </w:pPr>
            <w:r>
              <w:t xml:space="preserve">Projected Timeline</w:t>
            </w:r>
          </w:p>
        </w:tc>
      </w:tr>
      <w:tr>
        <w:tc>
          <w:tcPr/>
          <w:p>
            <w:pPr>
              <w:pStyle w:val="Compact"/>
              <w:jc w:val="left"/>
            </w:pPr>
            <w:r>
              <w:t xml:space="preserve">L1</w:t>
            </w:r>
          </w:p>
        </w:tc>
        <w:tc>
          <w:tcPr/>
          <w:p>
            <w:pPr>
              <w:pStyle w:val="Compact"/>
              <w:jc w:val="left"/>
            </w:pPr>
            <w:r>
              <w:t xml:space="preserve">Assisted Drafting</w:t>
            </w:r>
          </w:p>
        </w:tc>
        <w:tc>
          <w:tcPr/>
          <w:p>
            <w:pPr>
              <w:pStyle w:val="Compact"/>
              <w:jc w:val="left"/>
            </w:pPr>
            <w:r>
              <w:t xml:space="preserve">Operator</w:t>
            </w:r>
          </w:p>
        </w:tc>
        <w:tc>
          <w:tcPr/>
          <w:p>
            <w:pPr>
              <w:pStyle w:val="Compact"/>
              <w:jc w:val="left"/>
            </w:pPr>
            <w:r>
              <w:t xml:space="preserve">Suggests edits, completes repetitive operations; human executes all decisions</w:t>
            </w:r>
          </w:p>
        </w:tc>
        <w:tc>
          <w:tcPr/>
          <w:p>
            <w:pPr>
              <w:pStyle w:val="Compact"/>
              <w:jc w:val="left"/>
            </w:pPr>
            <w:r>
              <w:t xml:space="preserve">Autodesk AI Assist, Siemens NX AI</w:t>
            </w:r>
          </w:p>
        </w:tc>
        <w:tc>
          <w:tcPr/>
          <w:p>
            <w:pPr>
              <w:pStyle w:val="Compact"/>
              <w:jc w:val="center"/>
            </w:pPr>
            <w:r>
              <w:t xml:space="preserve">Current</w:t>
            </w:r>
          </w:p>
        </w:tc>
      </w:tr>
      <w:tr>
        <w:tc>
          <w:tcPr/>
          <w:p>
            <w:pPr>
              <w:pStyle w:val="Compact"/>
              <w:jc w:val="left"/>
            </w:pPr>
            <w:r>
              <w:t xml:space="preserve">L2</w:t>
            </w:r>
          </w:p>
        </w:tc>
        <w:tc>
          <w:tcPr/>
          <w:p>
            <w:pPr>
              <w:pStyle w:val="Compact"/>
              <w:jc w:val="left"/>
            </w:pPr>
            <w:r>
              <w:t xml:space="preserve">Single-Part Generation</w:t>
            </w:r>
          </w:p>
        </w:tc>
        <w:tc>
          <w:tcPr/>
          <w:p>
            <w:pPr>
              <w:pStyle w:val="Compact"/>
              <w:jc w:val="left"/>
            </w:pPr>
            <w:r>
              <w:t xml:space="preserve">Supervisor</w:t>
            </w:r>
          </w:p>
        </w:tc>
        <w:tc>
          <w:tcPr/>
          <w:p>
            <w:pPr>
              <w:pStyle w:val="Compact"/>
              <w:jc w:val="left"/>
            </w:pPr>
            <w:r>
              <w:t xml:space="preserve">Generates individual parts from text; human validates geometry, constraints, manufacturability</w:t>
            </w:r>
          </w:p>
        </w:tc>
        <w:tc>
          <w:tcPr/>
          <w:p>
            <w:pPr>
              <w:pStyle w:val="Compact"/>
              <w:jc w:val="left"/>
            </w:pPr>
            <w:r>
              <w:t xml:space="preserve">CAD-Coder</w:t>
            </w:r>
            <w:r>
              <w:t xml:space="preserve"> </w:t>
            </w:r>
            <w:fldSimple w:instr="NOTEREF _Ref_Footnote_51 \h \f">
              <w:r>
                <w:rPr>
                  <w:vertAlign w:val="superscript"/>
                </w:rPr>
                <w:t>51</w:t>
              </w:r>
            </w:fldSimple>
            <w:r>
              <w:t xml:space="preserve">, FutureCAD</w:t>
            </w:r>
            <w:r>
              <w:t xml:space="preserve"> </w:t>
            </w:r>
            <w:fldSimple w:instr="NOTEREF _Ref_Footnote_5 \h \f">
              <w:r>
                <w:rPr>
                  <w:vertAlign w:val="superscript"/>
                </w:rPr>
                <w:t>5</w:t>
              </w:r>
            </w:fldSimple>
            <w:r>
              <w:t xml:space="preserve">, Seek-CAD</w:t>
            </w:r>
            <w:r>
              <w:t xml:space="preserve"> </w:t>
            </w:r>
            <w:fldSimple w:instr="NOTEREF _Ref_Footnote_110 \h \f">
              <w:r>
                <w:rPr>
                  <w:vertAlign w:val="superscript"/>
                </w:rPr>
                <w:t>110</w:t>
              </w:r>
            </w:fldSimple>
          </w:p>
        </w:tc>
        <w:tc>
          <w:tcPr/>
          <w:p>
            <w:pPr>
              <w:pStyle w:val="Compact"/>
              <w:jc w:val="center"/>
            </w:pPr>
            <w:r>
              <w:t xml:space="preserve">Current</w:t>
            </w:r>
          </w:p>
        </w:tc>
      </w:tr>
      <w:tr>
        <w:tc>
          <w:tcPr/>
          <w:p>
            <w:pPr>
              <w:pStyle w:val="Compact"/>
              <w:jc w:val="left"/>
            </w:pPr>
            <w:r>
              <w:t xml:space="preserve">L3</w:t>
            </w:r>
          </w:p>
        </w:tc>
        <w:tc>
          <w:tcPr/>
          <w:p>
            <w:pPr>
              <w:pStyle w:val="Compact"/>
              <w:jc w:val="left"/>
            </w:pPr>
            <w:r>
              <w:t xml:space="preserve">Multi-Part Assembly</w:t>
            </w:r>
          </w:p>
        </w:tc>
        <w:tc>
          <w:tcPr/>
          <w:p>
            <w:pPr>
              <w:pStyle w:val="Compact"/>
              <w:jc w:val="left"/>
            </w:pPr>
            <w:r>
              <w:t xml:space="preserve">Approver</w:t>
            </w:r>
          </w:p>
        </w:tc>
        <w:tc>
          <w:tcPr/>
          <w:p>
            <w:pPr>
              <w:pStyle w:val="Compact"/>
              <w:jc w:val="left"/>
            </w:pPr>
            <w:r>
              <w:t xml:space="preserve">Generates assemblies with mate constraints; human reviews interference and functional fit</w:t>
            </w:r>
          </w:p>
        </w:tc>
        <w:tc>
          <w:tcPr/>
          <w:p>
            <w:pPr>
              <w:pStyle w:val="Compact"/>
              <w:jc w:val="left"/>
            </w:pPr>
            <w:r>
              <w:t xml:space="preserve">ArtiCAD</w:t>
            </w:r>
            <w:r>
              <w:t xml:space="preserve"> </w:t>
            </w:r>
            <w:fldSimple w:instr="NOTEREF _Ref_Footnote_2 \h \f">
              <w:r>
                <w:rPr>
                  <w:vertAlign w:val="superscript"/>
                </w:rPr>
                <w:t>2</w:t>
              </w:r>
            </w:fldSimple>
            <w:r>
              <w:t xml:space="preserve">(research); no production system</w:t>
            </w:r>
          </w:p>
        </w:tc>
        <w:tc>
          <w:tcPr/>
          <w:p>
            <w:pPr>
              <w:pStyle w:val="Compact"/>
              <w:jc w:val="center"/>
            </w:pPr>
            <w:r>
              <w:t xml:space="preserve">2027–2028</w:t>
            </w:r>
          </w:p>
        </w:tc>
      </w:tr>
      <w:tr>
        <w:tc>
          <w:tcPr/>
          <w:p>
            <w:pPr>
              <w:pStyle w:val="Compact"/>
              <w:jc w:val="left"/>
            </w:pPr>
            <w:r>
              <w:t xml:space="preserve">L4</w:t>
            </w:r>
          </w:p>
        </w:tc>
        <w:tc>
          <w:tcPr/>
          <w:p>
            <w:pPr>
              <w:pStyle w:val="Compact"/>
              <w:jc w:val="left"/>
            </w:pPr>
            <w:r>
              <w:t xml:space="preserve">Constraint-Satisfying Design</w:t>
            </w:r>
          </w:p>
        </w:tc>
        <w:tc>
          <w:tcPr/>
          <w:p>
            <w:pPr>
              <w:pStyle w:val="Compact"/>
              <w:jc w:val="left"/>
            </w:pPr>
            <w:r>
              <w:t xml:space="preserve">Consultant</w:t>
            </w:r>
          </w:p>
        </w:tc>
        <w:tc>
          <w:tcPr/>
          <w:p>
            <w:pPr>
              <w:pStyle w:val="Compact"/>
              <w:jc w:val="left"/>
            </w:pPr>
            <w:r>
              <w:t xml:space="preserve">Generates geometry satisfying physics, manufacturing, and tolerance constraints; human sets objectives and reviews critical decisions</w:t>
            </w:r>
          </w:p>
        </w:tc>
        <w:tc>
          <w:tcPr/>
          <w:p>
            <w:pPr>
              <w:pStyle w:val="Compact"/>
              <w:jc w:val="left"/>
            </w:pPr>
            <w:r>
              <w:t xml:space="preserve">Neural Concept</w:t>
            </w:r>
            <w:r>
              <w:t xml:space="preserve"> </w:t>
            </w:r>
            <w:fldSimple w:instr="NOTEREF _Ref_Footnote_91 \h \f">
              <w:r>
                <w:rPr>
                  <w:vertAlign w:val="superscript"/>
                </w:rPr>
                <w:t>91</w:t>
              </w:r>
            </w:fldSimple>
            <w:r>
              <w:t xml:space="preserve">, FeaGPT</w:t>
            </w:r>
            <w:r>
              <w:t xml:space="preserve"> </w:t>
            </w:r>
            <w:fldSimple w:instr="NOTEREF _Ref_Footnote_95 \h \f">
              <w:r>
                <w:rPr>
                  <w:vertAlign w:val="superscript"/>
                </w:rPr>
                <w:t>95</w:t>
              </w:r>
            </w:fldSimple>
            <w:r>
              <w:t xml:space="preserve">(narrow domains)</w:t>
            </w:r>
          </w:p>
        </w:tc>
        <w:tc>
          <w:tcPr/>
          <w:p>
            <w:pPr>
              <w:pStyle w:val="Compact"/>
              <w:jc w:val="center"/>
            </w:pPr>
            <w:r>
              <w:t xml:space="preserve">2028–2030</w:t>
            </w:r>
          </w:p>
        </w:tc>
      </w:tr>
      <w:tr>
        <w:tc>
          <w:tcPr/>
          <w:p>
            <w:pPr>
              <w:pStyle w:val="Compact"/>
              <w:jc w:val="left"/>
            </w:pPr>
            <w:r>
              <w:t xml:space="preserve">L5</w:t>
            </w:r>
          </w:p>
        </w:tc>
        <w:tc>
          <w:tcPr/>
          <w:p>
            <w:pPr>
              <w:pStyle w:val="Compact"/>
              <w:jc w:val="left"/>
            </w:pPr>
            <w:r>
              <w:t xml:space="preserve">Full Engineering Autonomy</w:t>
            </w:r>
          </w:p>
        </w:tc>
        <w:tc>
          <w:tcPr/>
          <w:p>
            <w:pPr>
              <w:pStyle w:val="Compact"/>
              <w:jc w:val="left"/>
            </w:pPr>
            <w:r>
              <w:t xml:space="preserve">Observer</w:t>
            </w:r>
          </w:p>
        </w:tc>
        <w:tc>
          <w:tcPr/>
          <w:p>
            <w:pPr>
              <w:pStyle w:val="Compact"/>
              <w:jc w:val="left"/>
            </w:pPr>
            <w:r>
              <w:t xml:space="preserve">Autonomously pursues design goals with continuous physics validation; reports progress and exceptions</w:t>
            </w:r>
          </w:p>
        </w:tc>
        <w:tc>
          <w:tcPr/>
          <w:p>
            <w:pPr>
              <w:pStyle w:val="Compact"/>
              <w:jc w:val="left"/>
            </w:pPr>
            <w:r>
              <w:t xml:space="preserve">None; requires L4 + regulatory resolution</w:t>
            </w:r>
          </w:p>
        </w:tc>
        <w:tc>
          <w:tcPr/>
          <w:p>
            <w:pPr>
              <w:pStyle w:val="Compact"/>
              <w:jc w:val="center"/>
            </w:pPr>
            <w:r>
              <w:t xml:space="preserve">2030+ (conditional)</w:t>
            </w:r>
          </w:p>
        </w:tc>
      </w:tr>
    </w:tbl>
    <w:p>
      <w:pPr>
        <w:pStyle w:val="BodyText"/>
      </w:pPr>
      <w:r>
        <w:t xml:space="preserve">Table 10.2 situates the current field overwhelmingly at L1–L2, with occasional L3 demonstrations in research settings. L4 exists only in narrow domains (Neural Concept’s aerodynamic optimization, FeaGPT’s turbocharger FEA workflows) and cannot generalize across engineering disciplines. L5 requires not just technical breakthroughs but the resolution of professional liability, regulatory clarity, and institutional trust that technical progress alone cannot deliver. The transition from L2 to L3 is projected to be the inflection point: assemblies with validated mate constraints would unlock workflows (mechanical systems, consumer products, architectural components) that single-part generation cannot address.</w:t>
      </w:r>
    </w:p>
    <w:bookmarkEnd w:id="159"/>
    <w:bookmarkEnd w:id="160"/>
    <w:bookmarkStart w:id="164" w:name="strategic-implications-by-stakeholder"/>
    <w:p>
      <w:pPr>
        <w:pStyle w:val="Heading3"/>
      </w:pPr>
      <w:r>
        <w:t xml:space="preserve">10.3 Strategic Implications by Stakeholder</w:t>
      </w:r>
    </w:p>
    <w:bookmarkStart w:id="161" w:name="X978c6e3af49e9318369fbc4d0c129755bb899e7"/>
    <w:p>
      <w:pPr>
        <w:pStyle w:val="Heading4"/>
      </w:pPr>
      <w:r>
        <w:t xml:space="preserve">10.3.1 For Researchers: Dataset Innovation Over Architecture</w:t>
      </w:r>
    </w:p>
    <w:p>
      <w:pPr>
        <w:pStyle w:val="FirstParagraph"/>
      </w:pPr>
      <w:r>
        <w:t xml:space="preserve">The highest-impact research investments for 2026–2028 are constraint-rich datasets and physics-integrated generation loops. The training data ceiling is the most binding near-term constraint: a 10,000-model dataset with FEA annotations, GD&amp;T, and manufacturing constraints would likely outperform architectural innovations on existing datasets. Physics-aware generation—SiG and GnS paradigms</w:t>
      </w:r>
      <w:r>
        <w:t xml:space="preserve"> </w:t>
      </w:r>
      <w:fldSimple w:instr="NOTEREF _Ref_Footnote_94 \h \f">
        <w:r>
          <w:rPr>
            <w:vertAlign w:val="superscript"/>
          </w:rPr>
          <w:t>94</w:t>
        </w:r>
      </w:fldSimple>
      <w:r>
        <w:t xml:space="preserve">—is second-highest impact, determining whether AI-CAD crosses from visualization to engineering. Cross-granularity reasoning is the deepest problem but the longest-term investment.</w:t>
      </w:r>
    </w:p>
    <w:bookmarkEnd w:id="161"/>
    <w:bookmarkStart w:id="162" w:name="X372571e71c9856b1ee21071fa1a634c9eef698a"/>
    <w:p>
      <w:pPr>
        <w:pStyle w:val="Heading4"/>
      </w:pPr>
      <w:r>
        <w:t xml:space="preserve">10.3.2 For Practitioners: MCP + Fine-Tuned Qwen2.5 + Visual Feedback</w:t>
      </w:r>
    </w:p>
    <w:p>
      <w:pPr>
        <w:pStyle w:val="FirstParagraph"/>
      </w:pPr>
      <w:r>
        <w:t xml:space="preserve">The most mature open-source pathway in 2026 is a three-component stack: MCP for tool integration, fine-tuned Qwen2.5 (7B or 14B) for code generation, and visual feedback for quality validation. Qwen2.5 is the preferred base model across 8+ research projects</w:t>
      </w:r>
      <w:r>
        <w:t xml:space="preserve"> </w:t>
      </w:r>
      <w:fldSimple w:instr="NOTEREF _Ref_Footnote_51 \h \f">
        <w:r>
          <w:rPr>
            <w:vertAlign w:val="superscript"/>
          </w:rPr>
          <w:t>51</w:t>
        </w:r>
      </w:fldSimple>
      <w:r>
        <w:t xml:space="preserve">, with 5.5T code tokens and Apache 2.0 licensing</w:t>
      </w:r>
      <w:r>
        <w:t xml:space="preserve"> </w:t>
      </w:r>
      <w:fldSimple w:instr="NOTEREF _Ref_Footnote_28 \h \f">
        <w:r>
          <w:rPr>
            <w:vertAlign w:val="superscript"/>
          </w:rPr>
          <w:t>28</w:t>
        </w:r>
      </w:fldSimple>
      <w:r>
        <w:t xml:space="preserve">. MCP provides standardized connectivity to Blender, OpenSCAD, and FreeCAD</w:t>
      </w:r>
      <w:r>
        <w:t xml:space="preserve"> </w:t>
      </w:r>
      <w:fldSimple w:instr="NOTEREF _Ref_Footnote_25 \h \f">
        <w:r>
          <w:rPr>
            <w:vertAlign w:val="superscript"/>
          </w:rPr>
          <w:t>25</w:t>
        </w:r>
      </w:fldSimple>
      <w:r>
        <w:t xml:space="preserve">. Visual feedback has reduced Chamfer Distance by 38x</w:t>
      </w:r>
      <w:r>
        <w:t xml:space="preserve"> </w:t>
      </w:r>
      <w:fldSimple w:instr="NOTEREF _Ref_Footnote_110 \h \f">
        <w:r>
          <w:rPr>
            <w:vertAlign w:val="superscript"/>
          </w:rPr>
          <w:t>110</w:t>
        </w:r>
      </w:fldSimple>
      <w:r>
        <w:t xml:space="preserve">and cut execution errors by 26%</w:t>
      </w:r>
      <w:r>
        <w:t xml:space="preserve"> </w:t>
      </w:r>
      <w:fldSimple w:instr="NOTEREF _Ref_Footnote_10 \h \f">
        <w:r>
          <w:rPr>
            <w:vertAlign w:val="superscript"/>
          </w:rPr>
          <w:t>10</w:t>
        </w:r>
      </w:fldSimple>
      <w:r>
        <w:t xml:space="preserve">. Documented time savings in narrow workflows are substantial: 25–75% in concept development, 60–70% in material creation, ~90% in design-to-STL</w:t>
      </w:r>
      <w:r>
        <w:t xml:space="preserve"> </w:t>
      </w:r>
      <w:fldSimple w:instr="NOTEREF _Ref_Footnote_87 \h \f">
        <w:r>
          <w:rPr>
            <w:vertAlign w:val="superscript"/>
          </w:rPr>
          <w:t>87</w:t>
        </w:r>
      </w:fldSimple>
      <w:r>
        <w:t xml:space="preserve">. But core 3D modeling shows 0% time savings</w:t>
      </w:r>
      <w:r>
        <w:t xml:space="preserve"> </w:t>
      </w:r>
      <w:fldSimple w:instr="NOTEREF _Ref_Footnote_87 \h \f">
        <w:r>
          <w:rPr>
            <w:vertAlign w:val="superscript"/>
          </w:rPr>
          <w:t>87</w:t>
        </w:r>
      </w:fldSimple>
      <w:r>
        <w:t xml:space="preserve">; practitioners should scope AI to augmentation of well-defined sub-tasks rather than full workflow replacement.</w:t>
      </w:r>
    </w:p>
    <w:bookmarkEnd w:id="162"/>
    <w:bookmarkStart w:id="163" w:name="for-investors-the-two-market-problem"/>
    <w:p>
      <w:pPr>
        <w:pStyle w:val="Heading4"/>
      </w:pPr>
      <w:r>
        <w:t xml:space="preserve">10.3.3 For Investors: The Two-Market Problem</w:t>
      </w:r>
    </w:p>
    <w:p>
      <w:pPr>
        <w:pStyle w:val="FirstParagraph"/>
      </w:pPr>
      <w:r>
        <w:t xml:space="preserve">The $2.3B→$12.6B market projection</w:t>
      </w:r>
      <w:r>
        <w:t xml:space="preserve"> </w:t>
      </w:r>
      <w:r>
        <w:rPr>
          <w:vertAlign w:val="superscript"/>
        </w:rPr>
        <w:footnoteReference w:id="115"/>
      </w:r>
      <w:r>
        <w:t xml:space="preserve">conflates two distinct markets with radically different risk-return profiles.</w:t>
      </w:r>
      <w:r>
        <w:t xml:space="preserve"> </w:t>
      </w:r>
      <w:r>
        <w:t xml:space="preserve">“</w:t>
      </w:r>
      <w:r>
        <w:t xml:space="preserve">AI 3D for visualization</w:t>
      </w:r>
      <w:r>
        <w:t xml:space="preserve">”</w:t>
      </w:r>
      <w:r>
        <w:t xml:space="preserve">—game assets, concept art, marketing content—is technically mature, revenue-proven (Tripo AI at ~$1.5B valuation, Meshy at $40M ARR), and increasingly saturated.</w:t>
      </w:r>
      <w:r>
        <w:t xml:space="preserve"> </w:t>
      </w:r>
      <w:r>
        <w:t xml:space="preserve">“</w:t>
      </w:r>
      <w:r>
        <w:t xml:space="preserve">AI 3D for engineering</w:t>
      </w:r>
      <w:r>
        <w:t xml:space="preserve">”</w:t>
      </w:r>
      <w:r>
        <w:t xml:space="preserve">—production CAD, FEA-validated geometry, manufacturing-ready parts—remains largely unsolved but commands substantially higher value per use case. The physics-awareness gap (Insight 8) is the dividing line: visual 3D AI succeeds where physical correctness is irrelevant; engineering AI requires physics integration that current systems lack.</w:t>
      </w:r>
    </w:p>
    <w:p>
      <w:pPr>
        <w:pStyle w:val="BodyText"/>
      </w:pPr>
      <w:r>
        <w:rPr>
          <w:bCs/>
          <w:b/>
        </w:rPr>
        <w:t xml:space="preserve">Case Study: 3D-Agent — A Full Workflow from Prompt to Production-Ready Asset</w:t>
      </w:r>
    </w:p>
    <w:p>
      <w:pPr>
        <w:pStyle w:val="BodyText"/>
      </w:pPr>
      <w:r>
        <w:t xml:space="preserve">3D-Agent represents an instructive case study for investors evaluating the two-market problem. Positioned as a</w:t>
      </w:r>
      <w:r>
        <w:t xml:space="preserve"> </w:t>
      </w:r>
      <w:r>
        <w:t xml:space="preserve">“</w:t>
      </w:r>
      <w:r>
        <w:t xml:space="preserve">Blender-native AI workflow</w:t>
      </w:r>
      <w:r>
        <w:t xml:space="preserve">”</w:t>
      </w:r>
      <w:r>
        <w:t xml:space="preserve"> </w:t>
      </w:r>
      <w:r>
        <w:t xml:space="preserve">tool, 3D-Agent accepts natural language prompts and generates complete Blender scenes through an integrated pipeline: prompt interpretation, Geometry Nodes graph generation, parameter tuning, rendering, and export to production formats (FBX, GLTF, OBJ). The company claims 85% faster workflows compared to manual Blender modeling for procedural objects—turning a 45-minute spiral staircase build into an 8-minute operation.</w:t>
      </w:r>
    </w:p>
    <w:p>
      <w:pPr>
        <w:pStyle w:val="BodyText"/>
      </w:pPr>
      <w:r>
        <w:t xml:space="preserve">The investment thesis hinges on which market 3D-Agent actually serves. For visualization workflows—architectural concept renders, game environment props, motion graphics—the tool delivers genuine value: Geometry Nodes output is parametrically editable, and Blender-native integration eliminates format conversion. For engineering workflows, however, the limitations are structural: Geometry Nodes generates mesh geometry, not B-Rep solids; there is no FEA validation, no tolerance specification, no GD&amp;T export, and no manufacturing constraint checking. The output is production-ready for rendering and real-time visualization but not for CNC machining, injection molding, or structural analysis.</w:t>
      </w:r>
    </w:p>
    <w:p>
      <w:pPr>
        <w:pStyle w:val="BodyText"/>
      </w:pPr>
      <w:r>
        <w:t xml:space="preserve">This is the two-market problem in microcosm. Investors evaluating 3D-Agent—or any AI 3D startup—must distinguish between</w:t>
      </w:r>
      <w:r>
        <w:t xml:space="preserve"> </w:t>
      </w:r>
      <w:r>
        <w:t xml:space="preserve">“</w:t>
      </w:r>
      <w:r>
        <w:t xml:space="preserve">production-ready for rendering</w:t>
      </w:r>
      <w:r>
        <w:t xml:space="preserve">”</w:t>
      </w:r>
      <w:r>
        <w:t xml:space="preserve"> </w:t>
      </w:r>
      <w:r>
        <w:t xml:space="preserve">and</w:t>
      </w:r>
      <w:r>
        <w:t xml:space="preserve"> </w:t>
      </w:r>
      <w:r>
        <w:t xml:space="preserve">“</w:t>
      </w:r>
      <w:r>
        <w:t xml:space="preserve">production-ready for engineering.</w:t>
      </w:r>
      <w:r>
        <w:t xml:space="preserve">”</w:t>
      </w:r>
      <w:r>
        <w:t xml:space="preserve"> </w:t>
      </w:r>
      <w:r>
        <w:t xml:space="preserve">The former market is larger in volume but lower in margin and increasingly competitive. The latter market is smaller but commands 10–100x higher value per use case, with substantial barriers to entry (physics integration, regulatory compliance, professional certification) that protect incumbents. 3D-Agent’s trajectory illustrates the strategic choice facing the entire sector: optimize for the visual market where revenue is immediate but competition is intense, or invest in the engineering market where technical barriers are high but defensibility is correspondingly stronger. The most robust investment strategy is portfolio allocation across both: near-term revenue from visualization tools funding long-term R&amp;D in physics-aware engineering systems.</w:t>
      </w:r>
    </w:p>
    <w:p>
      <w:pPr>
        <w:pStyle w:val="BodyText"/>
      </w:pPr>
      <w:r>
        <w:t xml:space="preserve">The five-year outlook is not deterministic. The convergence timeline depends on regulatory resolution, dataset creation, and the pace of physics integration research. What is certain is that the field’s current position—L1–L2 autonomy, 28% assemblability, 0% physics solve rate, and no unified representation system—represents not a mature market approaching saturation but an early-stage technology with eight clearly defined problems whose resolution will determine whether AI-driven 3D modeling becomes an engineering revolution or remains a visualization convenience.</w:t>
      </w:r>
    </w:p>
    <w:p>
      <w:r>
        <w:pict>
          <v:rect style="width:0;height:1.5pt" o:hralign="center" o:hrstd="t" o:hr="t"/>
        </w:pict>
      </w:r>
    </w:p>
    <w:bookmarkEnd w:id="163"/>
    <w:bookmarkEnd w:id="164"/>
    <w:bookmarkEnd w:id="165"/>
    <w:bookmarkStart w:id="174" w:name="X89eac36fafee4455305b5661232d33f27fcc898"/>
    <w:p>
      <w:pPr>
        <w:pStyle w:val="Heading2"/>
      </w:pPr>
      <w:r>
        <w:t xml:space="preserve">11. Recommendations: Stack Selection and Implementation Guide</w:t>
      </w:r>
    </w:p>
    <w:p>
      <w:pPr>
        <w:pStyle w:val="FirstParagraph"/>
      </w:pPr>
      <w:r>
        <w:t xml:space="preserve">Fine-tuned open-source models now outperform zero-shot proprietary APIs on CAD-specific tasks</w:t>
      </w:r>
      <w:r>
        <w:t xml:space="preserve"> </w:t>
      </w:r>
      <w:fldSimple w:instr="NOTEREF _Ref_Footnote_48 \h \f">
        <w:r>
          <w:rPr>
            <w:vertAlign w:val="superscript"/>
          </w:rPr>
          <w:t>48</w:t>
        </w:r>
      </w:fldSimple>
      <w:r>
        <w:t xml:space="preserve">, multi-agent pipelines with visual feedback have demonstrated 38x Chamfer Distance reductions</w:t>
      </w:r>
      <w:r>
        <w:t xml:space="preserve"> </w:t>
      </w:r>
      <w:fldSimple w:instr="NOTEREF _Ref_Footnote_8 \h \f">
        <w:r>
          <w:rPr>
            <w:vertAlign w:val="superscript"/>
          </w:rPr>
          <w:t>8</w:t>
        </w:r>
      </w:fldSimple>
      <w:r>
        <w:t xml:space="preserve">, and MCP has emerged as the de facto standard for AI-to-CAD integration</w:t>
      </w:r>
      <w:r>
        <w:t xml:space="preserve"> </w:t>
      </w:r>
      <w:fldSimple w:instr="NOTEREF _Ref_Footnote_17 \h \f">
        <w:r>
          <w:rPr>
            <w:vertAlign w:val="superscript"/>
          </w:rPr>
          <w:t>17</w:t>
        </w:r>
      </w:fldSimple>
      <w:r>
        <w:t xml:space="preserve"> </w:t>
      </w:r>
      <w:fldSimple w:instr="NOTEREF _Ref_Footnote_67 \h \f">
        <w:r>
          <w:rPr>
            <w:vertAlign w:val="superscript"/>
          </w:rPr>
          <w:t>67</w:t>
        </w:r>
      </w:fldSimple>
      <w:r>
        <w:t xml:space="preserve">. Yet the MUSE benchmark shows even the best systems achieve only 42/100 functionality and 28/100 assemblability</w:t>
      </w:r>
      <w:r>
        <w:t xml:space="preserve"> </w:t>
      </w:r>
      <w:fldSimple w:instr="NOTEREF _Ref_Footnote_12 \h \f">
        <w:r>
          <w:rPr>
            <w:vertAlign w:val="superscript"/>
          </w:rPr>
          <w:t>12</w:t>
        </w:r>
      </w:fldSimple>
      <w:r>
        <w:t xml:space="preserve">, while industry surveys document 0% time savings in core 3D modeling</w:t>
      </w:r>
      <w:r>
        <w:t xml:space="preserve"> </w:t>
      </w:r>
      <w:fldSimple w:instr="NOTEREF _Ref_Footnote_87 \h \f">
        <w:r>
          <w:rPr>
            <w:vertAlign w:val="superscript"/>
          </w:rPr>
          <w:t>87</w:t>
        </w:r>
      </w:fldSimple>
      <w:r>
        <w:t xml:space="preserve">. Closing this gap between research promise and production reality requires a structured approach.</w:t>
      </w:r>
    </w:p>
    <w:p>
      <w:pPr>
        <w:pStyle w:val="BodyText"/>
      </w:pPr>
      <w:r>
        <w:t xml:space="preserve">What follows is a decision framework, an implementation cost matrix, and a phased roadmap distilled from evidence across all twelve research dimensions. The recommendations assume intermediate Python proficiency, a workstation with 16 GB RAM and an 8 GB VRAM GPU, and a defined use case.</w:t>
      </w:r>
    </w:p>
    <w:bookmarkStart w:id="169" w:name="Xbba77f0b69df131a6f0a3678407b4ae123f85f8"/>
    <w:p>
      <w:pPr>
        <w:pStyle w:val="Heading3"/>
      </w:pPr>
      <w:r>
        <w:t xml:space="preserve">11.1 Decision Framework: Five Questions Before Choosing a Stack</w:t>
      </w:r>
    </w:p>
    <w:p>
      <w:pPr>
        <w:pStyle w:val="FirstParagraph"/>
      </w:pPr>
      <w:r>
        <w:rPr>
          <w:bCs/>
          <w:b/>
        </w:rPr>
        <w:t xml:space="preserve">Question 1: What is the downstream use?</w:t>
      </w:r>
      <w:r>
        <w:t xml:space="preserve"> </w:t>
      </w:r>
      <w:r>
        <w:t xml:space="preserve">Visual-only applications — game assets, concept art, architectural visualization — offer the widest tool choice because mesh appearance is the sole criterion. Tripo AI’s pipeline reduces retopology from 900K faces to 7K game-optimized faces</w:t>
      </w:r>
      <w:r>
        <w:t xml:space="preserve"> </w:t>
      </w:r>
      <w:fldSimple w:instr="NOTEREF _Ref_Footnote_1 \h \f">
        <w:r>
          <w:rPr>
            <w:vertAlign w:val="superscript"/>
          </w:rPr>
          <w:t>1</w:t>
        </w:r>
      </w:fldSimple>
      <w:r>
        <w:t xml:space="preserve">, and 3D-Agent generates quad topology directly in Blender via MCP</w:t>
      </w:r>
      <w:r>
        <w:t xml:space="preserve"> </w:t>
      </w:r>
      <w:fldSimple w:instr="NOTEREF _Ref_Footnote_8 \h \f">
        <w:r>
          <w:rPr>
            <w:vertAlign w:val="superscript"/>
          </w:rPr>
          <w:t>8</w:t>
        </w:r>
      </w:fldSimple>
      <w:r>
        <w:t xml:space="preserve">. Engineering applications mandate B-Rep output: STEP files for CNC machining and parametric editability. Only CadQuery-based pipelines (FutureCAD</w:t>
      </w:r>
      <w:r>
        <w:t xml:space="preserve"> </w:t>
      </w:r>
      <w:fldSimple w:instr="NOTEREF _Ref_Footnote_42 \h \f">
        <w:r>
          <w:rPr>
            <w:vertAlign w:val="superscript"/>
          </w:rPr>
          <w:t>42</w:t>
        </w:r>
      </w:fldSimple>
      <w:r>
        <w:t xml:space="preserve">, Beihang CAD-Coder</w:t>
      </w:r>
      <w:r>
        <w:t xml:space="preserve"> </w:t>
      </w:r>
      <w:fldSimple w:instr="NOTEREF _Ref_Footnote_44 \h \f">
        <w:r>
          <w:rPr>
            <w:vertAlign w:val="superscript"/>
          </w:rPr>
          <w:t>44</w:t>
        </w:r>
      </w:fldSimple>
      <w:r>
        <w:t xml:space="preserve">) satisfy these constraints. The Xometry independent test found even the highest-rated tool scored only 4/5 stars for engineering accuracy</w:t>
      </w:r>
      <w:r>
        <w:t xml:space="preserve"> </w:t>
      </w:r>
      <w:fldSimple w:instr="NOTEREF _Ref_Footnote_14 \h \f">
        <w:r>
          <w:rPr>
            <w:vertAlign w:val="superscript"/>
          </w:rPr>
          <w:t>14</w:t>
        </w:r>
      </w:fldSimple>
      <w:r>
        <w:t xml:space="preserve">.</w:t>
      </w:r>
    </w:p>
    <w:p>
      <w:pPr>
        <w:pStyle w:val="BodyText"/>
      </w:pPr>
      <w:r>
        <w:rPr>
          <w:bCs/>
          <w:b/>
        </w:rPr>
        <w:t xml:space="preserve">Question 2: What topology quality is required?</w:t>
      </w:r>
      <w:r>
        <w:t xml:space="preserve"> </w:t>
      </w:r>
      <w:r>
        <w:t xml:space="preserve">Quad-dominant meshes with clean edge loops are achievable through bpy-based generation, which produces actual Blender operations rather than raw mesh data</w:t>
      </w:r>
      <w:r>
        <w:t xml:space="preserve"> </w:t>
      </w:r>
      <w:fldSimple w:instr="NOTEREF _Ref_Footnote_8 \h \f">
        <w:r>
          <w:rPr>
            <w:vertAlign w:val="superscript"/>
          </w:rPr>
          <w:t>8</w:t>
        </w:r>
      </w:fldSimple>
      <w:r>
        <w:t xml:space="preserve">. Triangle soup — sufficient for 3D printing — can be generated via Signed Distance Field (SDF) methods, though SDF output requires conversion for manufacturing. Parametric editability is available exclusively through B-Rep/CSG pipelines (CadQuery, OpenSCAD, or FeatureScript). Text2CAD-Bench confirms models degrade substantially on L3 advanced features (chamfers, fillets, sweeps) because these require sub-feature-level reasoning not captured by training data</w:t>
      </w:r>
      <w:r>
        <w:t xml:space="preserve"> </w:t>
      </w:r>
      <w:fldSimple w:instr="NOTEREF _Ref_Footnote_21 \h \f">
        <w:r>
          <w:rPr>
            <w:vertAlign w:val="superscript"/>
          </w:rPr>
          <w:t>21</w:t>
        </w:r>
      </w:fldSimple>
      <w:r>
        <w:t xml:space="preserve">.</w:t>
      </w:r>
    </w:p>
    <w:p>
      <w:pPr>
        <w:pStyle w:val="BodyText"/>
      </w:pPr>
      <w:r>
        <w:rPr>
          <w:bCs/>
          <w:b/>
        </w:rPr>
        <w:t xml:space="preserve">Question 3: What is the deployment environment?</w:t>
      </w:r>
      <w:r>
        <w:t xml:space="preserve"> </w:t>
      </w:r>
      <w:r>
        <w:t xml:space="preserve">Local deployment via Ollama eliminates API costs and data exfiltration risks but constrains model size: Qwen2.5-Coder-7B runs comfortably on 8 GB VRAM, while the 14B variant requires 12-16 GB</w:t>
      </w:r>
      <w:r>
        <w:t xml:space="preserve"> </w:t>
      </w:r>
      <w:fldSimple w:instr="NOTEREF _Ref_Footnote_28 \h \f">
        <w:r>
          <w:rPr>
            <w:vertAlign w:val="superscript"/>
          </w:rPr>
          <w:t>28</w:t>
        </w:r>
      </w:fldSimple>
      <w:r>
        <w:t xml:space="preserve">. The CADmium ablation shows a clear quality-cost tradeoff: Invalidity Ratio drops from 22.62% (1.5B) to 12.58% (14B) on the Fusion360 dataset</w:t>
      </w:r>
      <w:r>
        <w:t xml:space="preserve"> </w:t>
      </w:r>
      <w:fldSimple w:instr="NOTEREF _Ref_Footnote_41 \h \f">
        <w:r>
          <w:rPr>
            <w:vertAlign w:val="superscript"/>
          </w:rPr>
          <w:t>41</w:t>
        </w:r>
      </w:fldSimple>
      <w:r>
        <w:t xml:space="preserve">. Cloud API access (GPT-4o, Claude 3.5 Sonnet) offers superior generalization to unseen operations but incurs per-token costs and potential latency. A hybrid architecture — local 7B model for routine generation with cloud API fallback for complex or novel requests — provides the best balance for most teams.</w:t>
      </w:r>
    </w:p>
    <w:p>
      <w:pPr>
        <w:pStyle w:val="BodyText"/>
      </w:pPr>
      <w:r>
        <w:rPr>
          <w:bCs/>
          <w:b/>
        </w:rPr>
        <w:t xml:space="preserve">Question 4: What is the acceptable failure rate?</w:t>
      </w:r>
      <w:r>
        <w:t xml:space="preserve"> </w:t>
      </w:r>
      <w:r>
        <w:t xml:space="preserve">For concept art and rapid prototyping, a 10-20% failure rate is acceptable; artists can simply re-prompt or manually clean output. For production game assets (50K-500K triangles, textured, rig-ready), the failure rate must drop below 5%, which requires multi-agent decomposition with visual feedback: the PAC Framework achieves 93% success on simple tasks but only 47% on complex tasks (16+ operations)</w:t>
      </w:r>
      <w:r>
        <w:t xml:space="preserve"> </w:t>
      </w:r>
      <w:fldSimple w:instr="NOTEREF _Ref_Footnote_7 \h \f">
        <w:r>
          <w:rPr>
            <w:vertAlign w:val="superscript"/>
          </w:rPr>
          <w:t>7</w:t>
        </w:r>
      </w:fldSimple>
      <w:r>
        <w:t xml:space="preserve">, while CADSmith’s five-agent pipeline with VLM-as-Judge achieves 100% execution rate through iterative critique</w:t>
      </w:r>
      <w:r>
        <w:t xml:space="preserve"> </w:t>
      </w:r>
      <w:fldSimple w:instr="NOTEREF _Ref_Footnote_8 \h \f">
        <w:r>
          <w:rPr>
            <w:vertAlign w:val="superscript"/>
          </w:rPr>
          <w:t>8</w:t>
        </w:r>
      </w:fldSimple>
      <w:r>
        <w:t xml:space="preserve">. For mechanical engineering — where a failed bracket or gear carries liability implications — failure rates must remain below 1%, a threshold no current end-to-end pipeline achieves. The MUSE benchmark quantifies the gap: best models reach 68% executable success, 54% geometric validity, and 35/100 manufacturability</w:t>
      </w:r>
      <w:r>
        <w:t xml:space="preserve"> </w:t>
      </w:r>
      <w:fldSimple w:instr="NOTEREF _Ref_Footnote_13 \h \f">
        <w:r>
          <w:rPr>
            <w:vertAlign w:val="superscript"/>
          </w:rPr>
          <w:t>13</w:t>
        </w:r>
      </w:fldSimple>
      <w:r>
        <w:t xml:space="preserve">. Engineering workflows should treat AI-generated geometry as a starting point requiring human validation.</w:t>
      </w:r>
    </w:p>
    <w:p>
      <w:pPr>
        <w:pStyle w:val="BodyText"/>
      </w:pPr>
      <w:r>
        <w:rPr>
          <w:bCs/>
          <w:b/>
        </w:rPr>
        <w:t xml:space="preserve">Question 5: What is the budget and timeline?</w:t>
      </w:r>
      <w:r>
        <w:t xml:space="preserve"> </w:t>
      </w:r>
      <w:r>
        <w:t xml:space="preserve">Table 11.1 presents four implementation paths, each with distinct setup costs, per-generation costs, and time-to-first-mesh estimates. The MVP path requires zero budget and yields printable STL files within minutes. The production path, which the evidence suggests as the minimum for commercial use, requires approximately $5,000 in compute and API costs over eight weeks and delivers game-ready or pilot-grade architectural assets.</w:t>
      </w:r>
    </w:p>
    <w:p>
      <w:pPr>
        <w:pStyle w:val="BodyText"/>
      </w:pPr>
      <w:r>
        <w:rPr>
          <w:bCs/>
          <w:b/>
        </w:rPr>
        <w:t xml:space="preserve">Table 11.1 — Implementation Cost Matrix: Four Paths to AI-Driven 3D Modeling</w:t>
      </w:r>
    </w:p>
    <w:tbl>
      <w:tblPr>
        <w:tblStyle w:val="Table"/>
        <w:tblW w:type="pct" w:w="5000"/>
        <w:tblLook w:firstRow="1" w:lastRow="0" w:firstColumn="0" w:lastColumn="0" w:noHBand="0" w:noVBand="0" w:val="0020"/>
      </w:tblPr>
      <w:tblGrid>
        <w:gridCol w:w="816"/>
        <w:gridCol w:w="898"/>
        <w:gridCol w:w="1143"/>
        <w:gridCol w:w="1551"/>
        <w:gridCol w:w="2204"/>
        <w:gridCol w:w="1306"/>
      </w:tblGrid>
      <w:tr>
        <w:trPr>
          <w:tblHeader w:val="true"/>
        </w:trPr>
        <w:tc>
          <w:tcPr/>
          <w:p>
            <w:pPr>
              <w:pStyle w:val="Compact"/>
              <w:jc w:val="left"/>
            </w:pPr>
            <w:r>
              <w:t xml:space="preserve">Approach</w:t>
            </w:r>
          </w:p>
        </w:tc>
        <w:tc>
          <w:tcPr/>
          <w:p>
            <w:pPr>
              <w:pStyle w:val="Compact"/>
              <w:jc w:val="left"/>
            </w:pPr>
            <w:r>
              <w:t xml:space="preserve">Setup Cost</w:t>
            </w:r>
          </w:p>
        </w:tc>
        <w:tc>
          <w:tcPr/>
          <w:p>
            <w:pPr>
              <w:pStyle w:val="Compact"/>
              <w:jc w:val="left"/>
            </w:pPr>
            <w:r>
              <w:t xml:space="preserve">Per-Gen Cost</w:t>
            </w:r>
          </w:p>
        </w:tc>
        <w:tc>
          <w:tcPr/>
          <w:p>
            <w:pPr>
              <w:pStyle w:val="Compact"/>
              <w:jc w:val="left"/>
            </w:pPr>
            <w:r>
              <w:t xml:space="preserve">Time to First Mesh</w:t>
            </w:r>
          </w:p>
        </w:tc>
        <w:tc>
          <w:tcPr/>
          <w:p>
            <w:pPr>
              <w:pStyle w:val="Compact"/>
              <w:jc w:val="left"/>
            </w:pPr>
            <w:r>
              <w:t xml:space="preserve">Time to Production Quality</w:t>
            </w:r>
          </w:p>
        </w:tc>
        <w:tc>
          <w:tcPr/>
          <w:p>
            <w:pPr>
              <w:pStyle w:val="Compact"/>
              <w:jc w:val="left"/>
            </w:pPr>
            <w:r>
              <w:t xml:space="preserve">Key Components</w:t>
            </w:r>
          </w:p>
        </w:tc>
      </w:tr>
      <w:tr>
        <w:tc>
          <w:tcPr/>
          <w:p>
            <w:pPr>
              <w:pStyle w:val="Compact"/>
              <w:jc w:val="left"/>
            </w:pPr>
            <w:r>
              <w:rPr>
                <w:bCs/>
                <w:b/>
              </w:rPr>
              <w:t xml:space="preserve">MVP Path</w:t>
            </w:r>
          </w:p>
        </w:tc>
        <w:tc>
          <w:tcPr/>
          <w:p>
            <w:pPr>
              <w:pStyle w:val="Compact"/>
              <w:jc w:val="left"/>
            </w:pPr>
            <w:r>
              <w:t xml:space="preserve">$0</w:t>
            </w:r>
          </w:p>
        </w:tc>
        <w:tc>
          <w:tcPr/>
          <w:p>
            <w:pPr>
              <w:pStyle w:val="Compact"/>
              <w:jc w:val="left"/>
            </w:pPr>
            <w:r>
              <w:t xml:space="preserve">~$0.00 (local)</w:t>
            </w:r>
          </w:p>
        </w:tc>
        <w:tc>
          <w:tcPr/>
          <w:p>
            <w:pPr>
              <w:pStyle w:val="Compact"/>
              <w:jc w:val="left"/>
            </w:pPr>
            <w:r>
              <w:t xml:space="preserve">30 min</w:t>
            </w:r>
          </w:p>
        </w:tc>
        <w:tc>
          <w:tcPr/>
          <w:p>
            <w:pPr>
              <w:pStyle w:val="Compact"/>
              <w:jc w:val="left"/>
            </w:pPr>
            <w:r>
              <w:t xml:space="preserve">N/A</w:t>
            </w:r>
          </w:p>
        </w:tc>
        <w:tc>
          <w:tcPr/>
          <w:p>
            <w:pPr>
              <w:pStyle w:val="Compact"/>
              <w:jc w:val="left"/>
            </w:pPr>
            <w:r>
              <w:t xml:space="preserve">OpenSCAD + Ollama (Qwen2.5-7B)</w:t>
            </w:r>
            <w:r>
              <w:t xml:space="preserve"> </w:t>
            </w:r>
            <w:fldSimple w:instr="NOTEREF _Ref_Footnote_28 \h \f">
              <w:r>
                <w:rPr>
                  <w:vertAlign w:val="superscript"/>
                </w:rPr>
                <w:t>28</w:t>
              </w:r>
            </w:fldSimple>
          </w:p>
        </w:tc>
      </w:tr>
      <w:tr>
        <w:tc>
          <w:tcPr/>
          <w:p>
            <w:pPr>
              <w:pStyle w:val="Compact"/>
              <w:jc w:val="left"/>
            </w:pPr>
            <w:r>
              <w:rPr>
                <w:bCs/>
                <w:b/>
              </w:rPr>
              <w:t xml:space="preserve">Quality Path</w:t>
            </w:r>
          </w:p>
        </w:tc>
        <w:tc>
          <w:tcPr/>
          <w:p>
            <w:pPr>
              <w:pStyle w:val="Compact"/>
              <w:jc w:val="left"/>
            </w:pPr>
            <w:r>
              <w:t xml:space="preserve">~$500</w:t>
            </w:r>
          </w:p>
        </w:tc>
        <w:tc>
          <w:tcPr/>
          <w:p>
            <w:pPr>
              <w:pStyle w:val="Compact"/>
              <w:jc w:val="left"/>
            </w:pPr>
            <w:r>
              <w:t xml:space="preserve">~$0.05 (API)</w:t>
            </w:r>
          </w:p>
        </w:tc>
        <w:tc>
          <w:tcPr/>
          <w:p>
            <w:pPr>
              <w:pStyle w:val="Compact"/>
              <w:jc w:val="left"/>
            </w:pPr>
            <w:r>
              <w:t xml:space="preserve">4 hours</w:t>
            </w:r>
          </w:p>
        </w:tc>
        <w:tc>
          <w:tcPr/>
          <w:p>
            <w:pPr>
              <w:pStyle w:val="Compact"/>
              <w:jc w:val="left"/>
            </w:pPr>
            <w:r>
              <w:t xml:space="preserve">2-4 weeks</w:t>
            </w:r>
          </w:p>
        </w:tc>
        <w:tc>
          <w:tcPr/>
          <w:p>
            <w:pPr>
              <w:pStyle w:val="Compact"/>
              <w:jc w:val="left"/>
            </w:pPr>
            <w:r>
              <w:t xml:space="preserve">Blender + MCP + Qwen2.5-7B via API</w:t>
            </w:r>
            <w:r>
              <w:t xml:space="preserve"> </w:t>
            </w:r>
            <w:fldSimple w:instr="NOTEREF _Ref_Footnote_17 \h \f">
              <w:r>
                <w:rPr>
                  <w:vertAlign w:val="superscript"/>
                </w:rPr>
                <w:t>17</w:t>
              </w:r>
            </w:fldSimple>
          </w:p>
        </w:tc>
      </w:tr>
      <w:tr>
        <w:tc>
          <w:tcPr/>
          <w:p>
            <w:pPr>
              <w:pStyle w:val="Compact"/>
              <w:jc w:val="left"/>
            </w:pPr>
            <w:r>
              <w:rPr>
                <w:bCs/>
                <w:b/>
              </w:rPr>
              <w:t xml:space="preserve">Production Path</w:t>
            </w:r>
          </w:p>
        </w:tc>
        <w:tc>
          <w:tcPr/>
          <w:p>
            <w:pPr>
              <w:pStyle w:val="Compact"/>
              <w:jc w:val="left"/>
            </w:pPr>
            <w:r>
              <w:t xml:space="preserve">~$5,000</w:t>
            </w:r>
          </w:p>
        </w:tc>
        <w:tc>
          <w:tcPr/>
          <w:p>
            <w:pPr>
              <w:pStyle w:val="Compact"/>
              <w:jc w:val="left"/>
            </w:pPr>
            <w:r>
              <w:t xml:space="preserve">~$0.20 (API+VLM)</w:t>
            </w:r>
          </w:p>
        </w:tc>
        <w:tc>
          <w:tcPr/>
          <w:p>
            <w:pPr>
              <w:pStyle w:val="Compact"/>
              <w:jc w:val="left"/>
            </w:pPr>
            <w:r>
              <w:t xml:space="preserve">1 day</w:t>
            </w:r>
          </w:p>
        </w:tc>
        <w:tc>
          <w:tcPr/>
          <w:p>
            <w:pPr>
              <w:pStyle w:val="Compact"/>
              <w:jc w:val="left"/>
            </w:pPr>
            <w:r>
              <w:t xml:space="preserve">8 weeks</w:t>
            </w:r>
          </w:p>
        </w:tc>
        <w:tc>
          <w:tcPr/>
          <w:p>
            <w:pPr>
              <w:pStyle w:val="Compact"/>
              <w:jc w:val="left"/>
            </w:pPr>
            <w:r>
              <w:t xml:space="preserve">Blender + Multi-Agent + Visual Feedback</w:t>
            </w:r>
            <w:r>
              <w:t xml:space="preserve"> </w:t>
            </w:r>
            <w:fldSimple w:instr="NOTEREF _Ref_Footnote_8 \h \f">
              <w:r>
                <w:rPr>
                  <w:vertAlign w:val="superscript"/>
                </w:rPr>
                <w:t>8</w:t>
              </w:r>
            </w:fldSimple>
            <w:r>
              <w:t xml:space="preserve"> </w:t>
            </w:r>
            <w:fldSimple w:instr="NOTEREF _Ref_Footnote_7 \h \f">
              <w:r>
                <w:rPr>
                  <w:vertAlign w:val="superscript"/>
                </w:rPr>
                <w:t>7</w:t>
              </w:r>
            </w:fldSimple>
          </w:p>
        </w:tc>
      </w:tr>
      <w:tr>
        <w:tc>
          <w:tcPr/>
          <w:p>
            <w:pPr>
              <w:pStyle w:val="Compact"/>
              <w:jc w:val="left"/>
            </w:pPr>
            <w:r>
              <w:rPr>
                <w:bCs/>
                <w:b/>
              </w:rPr>
              <w:t xml:space="preserve">Enterprise Path</w:t>
            </w:r>
          </w:p>
        </w:tc>
        <w:tc>
          <w:tcPr/>
          <w:p>
            <w:pPr>
              <w:pStyle w:val="Compact"/>
              <w:jc w:val="left"/>
            </w:pPr>
            <w:r>
              <w:t xml:space="preserve">$5K-$20K</w:t>
            </w:r>
          </w:p>
        </w:tc>
        <w:tc>
          <w:tcPr/>
          <w:p>
            <w:pPr>
              <w:pStyle w:val="Compact"/>
              <w:jc w:val="left"/>
            </w:pPr>
            <w:r>
              <w:t xml:space="preserve">~$0.50 (fine-tuned)</w:t>
            </w:r>
          </w:p>
        </w:tc>
        <w:tc>
          <w:tcPr/>
          <w:p>
            <w:pPr>
              <w:pStyle w:val="Compact"/>
              <w:jc w:val="left"/>
            </w:pPr>
            <w:r>
              <w:t xml:space="preserve">3 days</w:t>
            </w:r>
          </w:p>
        </w:tc>
        <w:tc>
          <w:tcPr/>
          <w:p>
            <w:pPr>
              <w:pStyle w:val="Compact"/>
              <w:jc w:val="left"/>
            </w:pPr>
            <w:r>
              <w:t xml:space="preserve">12+ weeks</w:t>
            </w:r>
          </w:p>
        </w:tc>
        <w:tc>
          <w:tcPr/>
          <w:p>
            <w:pPr>
              <w:pStyle w:val="Compact"/>
              <w:jc w:val="left"/>
            </w:pPr>
            <w:r>
              <w:t xml:space="preserve">Custom Fine-tuned Qwen2.5-14B + B-Rep Pipeline</w:t>
            </w:r>
            <w:r>
              <w:t xml:space="preserve"> </w:t>
            </w:r>
            <w:fldSimple w:instr="NOTEREF _Ref_Footnote_41 \h \f">
              <w:r>
                <w:rPr>
                  <w:vertAlign w:val="superscript"/>
                </w:rPr>
                <w:t>41</w:t>
              </w:r>
            </w:fldSimple>
            <w:r>
              <w:t xml:space="preserve"> </w:t>
            </w:r>
            <w:fldSimple w:instr="NOTEREF _Ref_Footnote_42 \h \f">
              <w:r>
                <w:rPr>
                  <w:vertAlign w:val="superscript"/>
                </w:rPr>
                <w:t>42</w:t>
              </w:r>
            </w:fldSimple>
          </w:p>
        </w:tc>
      </w:tr>
    </w:tbl>
    <w:p>
      <w:pPr>
        <w:pStyle w:val="BodyText"/>
      </w:pPr>
      <w:r>
        <w:t xml:space="preserve">The Enterprise Path setup cost reflects GPU rental for fine-tuning: CADmium’s training takes 8-12 hours on 4xA100 GPUs</w:t>
      </w:r>
      <w:r>
        <w:t xml:space="preserve"> </w:t>
      </w:r>
      <w:fldSimple w:instr="NOTEREF _Ref_Footnote_53 \h \f">
        <w:r>
          <w:rPr>
            <w:vertAlign w:val="superscript"/>
          </w:rPr>
          <w:t>53</w:t>
        </w:r>
      </w:fldSimple>
      <w:r>
        <w:t xml:space="preserve">, plus dataset preparation and iteration on the SFT + GRPO pipeline used by FutureCAD, ReCAD, and Beihang CAD-Coder</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The Production Path’s per-generation cost incorporates the 285-515% token overhead of multi-agent orchestration</w:t>
      </w:r>
      <w:r>
        <w:t xml:space="preserve"> </w:t>
      </w:r>
      <w:r>
        <w:rPr>
          <w:vertAlign w:val="superscript"/>
        </w:rPr>
        <w:footnoteReference w:id="116"/>
      </w:r>
      <w:r>
        <w:t xml:space="preserve">, justified only when task complexity exceeds the 8-10 component inflection point where single-agent performance degrades</w:t>
      </w:r>
      <w:r>
        <w:t xml:space="preserve"> </w:t>
      </w:r>
      <w:fldSimple w:instr="NOTEREF _Ref_Footnote_83 \h \f">
        <w:r>
          <w:rPr>
            <w:vertAlign w:val="superscript"/>
          </w:rPr>
          <w:t>83</w:t>
        </w:r>
      </w:fldSimple>
      <w:r>
        <w:t xml:space="preserve">.</w:t>
      </w:r>
    </w:p>
    <w:p>
      <w:pPr>
        <w:pStyle w:val="CaptionedFigure"/>
      </w:pPr>
      <w:r>
        <w:drawing>
          <wp:inline>
            <wp:extent cx="5334000" cy="2808298"/>
            <wp:effectExtent b="0" l="0" r="0" t="0"/>
            <wp:docPr descr="Figure 11.1 — Implementation Cost Matrix Visualization" title="" id="167" name="Picture"/>
            <a:graphic>
              <a:graphicData uri="http://schemas.openxmlformats.org/drawingml/2006/picture">
                <pic:pic>
                  <pic:nvPicPr>
                    <pic:cNvPr descr="fig_11_1_implementation_cost_matrix.png" id="168" name="Picture"/>
                    <pic:cNvPicPr>
                      <a:picLocks noChangeArrowheads="1" noChangeAspect="1"/>
                    </pic:cNvPicPr>
                  </pic:nvPicPr>
                  <pic:blipFill>
                    <a:blip r:embed="rId166"/>
                    <a:stretch>
                      <a:fillRect/>
                    </a:stretch>
                  </pic:blipFill>
                  <pic:spPr bwMode="auto">
                    <a:xfrm>
                      <a:off x="0" y="0"/>
                      <a:ext cx="5334000" cy="2808298"/>
                    </a:xfrm>
                    <a:prstGeom prst="rect">
                      <a:avLst/>
                    </a:prstGeom>
                    <a:noFill/>
                    <a:ln w="9525">
                      <a:noFill/>
                      <a:headEnd/>
                      <a:tailEnd/>
                    </a:ln>
                  </pic:spPr>
                </pic:pic>
              </a:graphicData>
            </a:graphic>
          </wp:inline>
        </w:drawing>
      </w:r>
    </w:p>
    <w:p>
      <w:pPr>
        <w:pStyle w:val="ImageCaption"/>
      </w:pPr>
      <w:r>
        <w:t xml:space="preserve">Figure 11.1 — Implementation Cost Matrix Visualization</w:t>
      </w:r>
    </w:p>
    <w:p>
      <w:pPr>
        <w:pStyle w:val="BodyText"/>
      </w:pPr>
      <w:r>
        <w:rPr>
          <w:iCs/>
          <w:i/>
        </w:rPr>
        <w:t xml:space="preserve">Figure 11.1 compares the four implementation paths by setup cost, time to first mesh, and per-generation cost. The Quality and Production paths represent the steepest value inflection points: the former adds MCP integration for structured tool use, while the latter introduces multi-agent visual feedback that reduces Chamfer Distance by up to 38x</w:t>
      </w:r>
      <w:r>
        <w:rPr>
          <w:iCs/>
          <w:i/>
        </w:rPr>
        <w:t xml:space="preserve"> </w:t>
      </w:r>
      <w:fldSimple w:instr="NOTEREF _Ref_Footnote_8 \h \f">
        <w:r>
          <w:rPr>
            <w:vertAlign w:val="superscript"/>
          </w:rPr>
          <w:t>8</w:t>
        </w:r>
      </w:fldSimple>
      <w:r>
        <w:rPr>
          <w:iCs/>
          <w:i/>
        </w:rPr>
        <w:t xml:space="preserve">.</w:t>
      </w:r>
    </w:p>
    <w:bookmarkEnd w:id="169"/>
    <w:bookmarkStart w:id="170" w:name="implementation-roadmap"/>
    <w:p>
      <w:pPr>
        <w:pStyle w:val="Heading3"/>
      </w:pPr>
      <w:r>
        <w:t xml:space="preserve">11.2 Implementation Roadmap</w:t>
      </w:r>
    </w:p>
    <w:p>
      <w:pPr>
        <w:pStyle w:val="FirstParagraph"/>
      </w:pPr>
      <w:r>
        <w:rPr>
          <w:bCs/>
          <w:b/>
        </w:rPr>
        <w:t xml:space="preserve">Phase 1: Proof of Concept (Weeks 1-2)</w:t>
      </w:r>
      <w:r>
        <w:t xml:space="preserve"> </w:t>
      </w:r>
      <w:r>
        <w:t xml:space="preserve">— Validate output quality with minimal investment. Install Ollama and pull Qwen2.5-Coder-7B (the most widely validated base model across 8+ independent CAD research projects</w:t>
      </w:r>
      <w:r>
        <w:t xml:space="preserve"> </w:t>
      </w:r>
      <w:fldSimple w:instr="NOTEREF _Ref_Footnote_49 \h \f">
        <w:r>
          <w:rPr>
            <w:vertAlign w:val="superscript"/>
          </w:rPr>
          <w:t>49</w:t>
        </w:r>
      </w:fldSimple>
      <w:r>
        <w:t xml:space="preserve">). Connect to OpenSCAD via the trikos529 MCP server</w:t>
      </w:r>
      <w:r>
        <w:t xml:space="preserve"> </w:t>
      </w:r>
      <w:fldSimple w:instr="NOTEREF _Ref_Footnote_8 \h \f">
        <w:r>
          <w:rPr>
            <w:vertAlign w:val="superscript"/>
          </w:rPr>
          <w:t>8</w:t>
        </w:r>
      </w:fldSimple>
      <w:r>
        <w:t xml:space="preserve">, or to Blender via ahujasid/blender-mcp (~22,900 stars</w:t>
      </w:r>
      <w:r>
        <w:t xml:space="preserve"> </w:t>
      </w:r>
      <w:fldSimple w:instr="NOTEREF _Ref_Footnote_67 \h \f">
        <w:r>
          <w:rPr>
            <w:vertAlign w:val="superscript"/>
          </w:rPr>
          <w:t>67</w:t>
        </w:r>
      </w:fldSimple>
      <w:r>
        <w:t xml:space="preserve">). Generate 20-30 representative models and evaluate on: (a) code executability (target: &gt;85%), (b) geometric validity (watertight manifold), and (c) design intent alignment. Expect 15-25% of outputs to require correction. Document failure modes — they guide Phase 2 priorities.</w:t>
      </w:r>
    </w:p>
    <w:p>
      <w:pPr>
        <w:pStyle w:val="BodyText"/>
      </w:pPr>
      <w:r>
        <w:rPr>
          <w:bCs/>
          <w:b/>
        </w:rPr>
        <w:t xml:space="preserve">Phase 2: Quality Improvement (Weeks 3-4)</w:t>
      </w:r>
      <w:r>
        <w:t xml:space="preserve"> </w:t>
      </w:r>
      <w:r>
        <w:t xml:space="preserve">— Add a visual feedback loop: render each generated model and pass the image to a VLM (Qwen2.5-VL-7B locally, or Gemini-2.0 via API) for geometric critique. The evidence is unambiguous on this point: SceneCraft achieves a 45.1% CLIP score improvement over text-only BlenderGPT via render-critique loops</w:t>
      </w:r>
      <w:r>
        <w:t xml:space="preserve"> </w:t>
      </w:r>
      <w:r>
        <w:rPr>
          <w:vertAlign w:val="superscript"/>
        </w:rPr>
        <w:footnoteReference w:id="117"/>
      </w:r>
      <w:r>
        <w:t xml:space="preserve">, and LL3M’s BlenderRAG retrieval system reduces execution errors by 26% while increasing complex operations fivefold</w:t>
      </w:r>
      <w:r>
        <w:t xml:space="preserve"> </w:t>
      </w:r>
      <w:fldSimple w:instr="NOTEREF _Ref_Footnote_8 \h \f">
        <w:r>
          <w:rPr>
            <w:vertAlign w:val="superscript"/>
          </w:rPr>
          <w:t>8</w:t>
        </w:r>
      </w:fldSimple>
      <w:r>
        <w:t xml:space="preserve">. Integrate BlenderRAG or a domain-specific RAG corpus for your target geometry class. Evaluate topology quality using quantitative metrics: triangle count against target, non-manifold edge count, and Chamfer Distance to reference meshes if available. By the end of Phase 2, executability should exceed 90% and the proportion of outputs requiring cleanup should drop below 10%.</w:t>
      </w:r>
    </w:p>
    <w:p>
      <w:pPr>
        <w:pStyle w:val="BodyText"/>
      </w:pPr>
      <w:r>
        <w:rPr>
          <w:bCs/>
          <w:b/>
        </w:rPr>
        <w:t xml:space="preserve">Phase 3: Production Hardening (Weeks 5-8)</w:t>
      </w:r>
      <w:r>
        <w:t xml:space="preserve"> </w:t>
      </w:r>
      <w:r>
        <w:t xml:space="preserve">— Transition to multi-agent orchestration via MCP, officially adopted by the Blender Foundation in April 2026</w:t>
      </w:r>
      <w:r>
        <w:t xml:space="preserve"> </w:t>
      </w:r>
      <w:fldSimple w:instr="NOTEREF _Ref_Footnote_17 \h \f">
        <w:r>
          <w:rPr>
            <w:vertAlign w:val="superscript"/>
          </w:rPr>
          <w:t>17</w:t>
        </w:r>
      </w:fldSimple>
      <w:r>
        <w:t xml:space="preserve">. Implement a Planner-Actor-Critic decomposition: the Planner breaks prompts into subtasks, the Actor generates scripts, and the Critic (VLM) renders and critiques output</w:t>
      </w:r>
      <w:r>
        <w:t xml:space="preserve"> </w:t>
      </w:r>
      <w:fldSimple w:instr="NOTEREF _Ref_Footnote_7 \h \f">
        <w:r>
          <w:rPr>
            <w:vertAlign w:val="superscript"/>
          </w:rPr>
          <w:t>7</w:t>
        </w:r>
      </w:fldSimple>
      <w:r>
        <w:t xml:space="preserve">. Add error recovery: when validation fails, the Critic feeds corrections to the Actor — targeted feedback converges in 3 iterations for 77% of tasks</w:t>
      </w:r>
      <w:r>
        <w:t xml:space="preserve"> </w:t>
      </w:r>
      <w:fldSimple w:instr="NOTEREF _Ref_Footnote_7 \h \f">
        <w:r>
          <w:rPr>
            <w:vertAlign w:val="superscript"/>
          </w:rPr>
          <w:t>7</w:t>
        </w:r>
      </w:fldSimple>
      <w:r>
        <w:t xml:space="preserve">. Sandboxed execution is mandatory; the official Blender MCP server warns it executes LLM-generated code without guards and recommends VM isolation</w:t>
      </w:r>
      <w:r>
        <w:t xml:space="preserve"> </w:t>
      </w:r>
      <w:fldSimple w:instr="NOTEREF _Ref_Footnote_17 \h \f">
        <w:r>
          <w:rPr>
            <w:vertAlign w:val="superscript"/>
          </w:rPr>
          <w:t>17</w:t>
        </w:r>
      </w:fldSimple>
      <w:r>
        <w:t xml:space="preserve">. Deploy scene backups before every batch and gate destructive operations behind human confirmation.</w:t>
      </w:r>
    </w:p>
    <w:bookmarkEnd w:id="170"/>
    <w:bookmarkStart w:id="173" w:name="safety-and-version-control"/>
    <w:p>
      <w:pPr>
        <w:pStyle w:val="Heading3"/>
      </w:pPr>
      <w:r>
        <w:t xml:space="preserve">11.3 Safety and Version Control</w:t>
      </w:r>
    </w:p>
    <w:bookmarkStart w:id="171" w:name="production-safe-agent-profiles"/>
    <w:p>
      <w:pPr>
        <w:pStyle w:val="Heading4"/>
      </w:pPr>
      <w:r>
        <w:t xml:space="preserve">11.3.1 Production-Safe Agent Profiles</w:t>
      </w:r>
    </w:p>
    <w:p>
      <w:pPr>
        <w:pStyle w:val="FirstParagraph"/>
      </w:pPr>
      <w:r>
        <w:t xml:space="preserve">The security model for AI-driven 3D generation differs fundamentally from traditional CAD automation because the agent generates and executes arbitrary code. A production-safe deployment requires three layers of protection. First,</w:t>
      </w:r>
      <w:r>
        <w:t xml:space="preserve"> </w:t>
      </w:r>
      <w:r>
        <w:rPr>
          <w:bCs/>
          <w:b/>
        </w:rPr>
        <w:t xml:space="preserve">sandboxed execution</w:t>
      </w:r>
      <w:r>
        <w:t xml:space="preserve">: run the Blender or OpenSCAD process inside a containerized environment (Docker) or virtual machine with no access to production file systems. The Blender Foundation’s own MCP server documentation prominently displays this warning</w:t>
      </w:r>
      <w:r>
        <w:t xml:space="preserve"> </w:t>
      </w:r>
      <w:fldSimple w:instr="NOTEREF _Ref_Footnote_17 \h \f">
        <w:r>
          <w:rPr>
            <w:vertAlign w:val="superscript"/>
          </w:rPr>
          <w:t>17</w:t>
        </w:r>
      </w:fldSimple>
      <w:r>
        <w:t xml:space="preserve">. Second,</w:t>
      </w:r>
      <w:r>
        <w:t xml:space="preserve"> </w:t>
      </w:r>
      <w:r>
        <w:rPr>
          <w:bCs/>
          <w:b/>
        </w:rPr>
        <w:t xml:space="preserve">scene state backup</w:t>
      </w:r>
      <w:r>
        <w:t xml:space="preserve">: automatically save</w:t>
      </w:r>
      <w:r>
        <w:t xml:space="preserve"> </w:t>
      </w:r>
      <w:r>
        <w:rPr>
          <w:rStyle w:val="VerbatimChar"/>
        </w:rPr>
        <w:t xml:space="preserve">.blend</w:t>
      </w:r>
      <w:r>
        <w:t xml:space="preserve"> </w:t>
      </w:r>
      <w:r>
        <w:t xml:space="preserve">or</w:t>
      </w:r>
      <w:r>
        <w:t xml:space="preserve"> </w:t>
      </w:r>
      <w:r>
        <w:rPr>
          <w:rStyle w:val="VerbatimChar"/>
        </w:rPr>
        <w:t xml:space="preserve">.scad</w:t>
      </w:r>
      <w:r>
        <w:t xml:space="preserve"> </w:t>
      </w:r>
      <w:r>
        <w:t xml:space="preserve">files before each agent operation, enabling one-click rollback. Third,</w:t>
      </w:r>
      <w:r>
        <w:t xml:space="preserve"> </w:t>
      </w:r>
      <w:r>
        <w:rPr>
          <w:bCs/>
          <w:b/>
        </w:rPr>
        <w:t xml:space="preserve">destructive operation gating</w:t>
      </w:r>
      <w:r>
        <w:t xml:space="preserve">: maintain an explicit allow-list of permitted operations; any code containing file deletion, network access, or external process execution triggers automatic rejection and human review.</w:t>
      </w:r>
    </w:p>
    <w:bookmarkEnd w:id="171"/>
    <w:bookmarkStart w:id="172" w:name="monitoring-and-observability"/>
    <w:p>
      <w:pPr>
        <w:pStyle w:val="Heading4"/>
      </w:pPr>
      <w:r>
        <w:t xml:space="preserve">11.3.2 Monitoring and Observability</w:t>
      </w:r>
    </w:p>
    <w:p>
      <w:pPr>
        <w:pStyle w:val="FirstParagraph"/>
      </w:pPr>
      <w:r>
        <w:t xml:space="preserve">Production deployments require structured logging of every generation attempt: prompt, generated code, rendered images, VLM critique, validation results, and human approval or rejection. This telemetry enables continuous improvement by identifying systematic failure modes — for instance, if 40% of failures involve fillets, that signals a training data gap or context-length limitation, as observed with CAD-Coder-Qwen2.5-14B where complex scripts truncate mid-command</w:t>
      </w:r>
      <w:r>
        <w:t xml:space="preserve"> </w:t>
      </w:r>
      <w:fldSimple w:instr="NOTEREF _Ref_Footnote_48 \h \f">
        <w:r>
          <w:rPr>
            <w:vertAlign w:val="superscript"/>
          </w:rPr>
          <w:t>48</w:t>
        </w:r>
      </w:fldSimple>
      <w:r>
        <w:t xml:space="preserve">. It also provides audit trails for quality assurance and compliance.</w:t>
      </w:r>
    </w:p>
    <w:p>
      <w:pPr>
        <w:pStyle w:val="BodyText"/>
      </w:pPr>
      <w:r>
        <w:rPr>
          <w:bCs/>
          <w:b/>
        </w:rPr>
        <w:t xml:space="preserve">Case Study: Production Deployment Checklist</w:t>
      </w:r>
    </w:p>
    <w:p>
      <w:pPr>
        <w:pStyle w:val="BodyText"/>
      </w:pPr>
      <w:r>
        <w:t xml:space="preserve">A game studio deploying AI-generated props followed this eight-week progression. In Week 1, a developer established the OpenSCAD + Ollama pipeline; 62% of 50 test models were geometrically valid but only 34% matched style requirements. In Week 3, Blender MCP with viewport feedback raised style alignment to 71%. By Week 6, a three-agent Planner-Coder-Critic system processed 30-40 props per day at 89% first-pass acceptance, though some assets exceeded the 50K triangle target. Weeks 7-8 added a Docker sandbox, gated destructive operations behind senior artist approval, and deployed a metrics dashboard tracking throughput (37 props/day), failure distribution (41% texture, 29% proportion, 18% topology, 12% other), and cost per asset ($2.30). Total investment: approximately $4,800. The pipeline was production-ready for background and mid-ground assets; hero assets required hand-modeling. This sequence — validate quality, add visual feedback, then harden security — reflects the progression supported by evidence across all twelve dimensions.</w:t>
      </w:r>
    </w:p>
    <w:bookmarkEnd w:id="172"/>
    <w:bookmarkEnd w:id="173"/>
    <w:bookmarkEnd w:id="174"/>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 Community. https://dev.to/glglgl/how-i-built-a-blender-ai-plugin-that-generates-3d-models-from-text-3d-agent-2fkc</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tripo3d.ai. https://www.tripo3d.ai/blog/how-to-create-clean-meshes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https://arxiv.org/html/2509.21007v1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griptapenodes.com. https://docs.griptapenodes.com/en/stable/how_to/mcp/servers/blender/</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Datameister. https://datameister.ai/blog/why-the-future-of-3d-generative-ai-is-programmatic/</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https://arxiv.org/html/2603.26512v1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gao-jin.com. https://gao-jin.com/research/agentic-3d-modeling/</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Blender Artists Community. https://blenderartists.org/t/addon-3d-agent-com-blender-ai-plugin-for-text-to-3d-2026/1633238</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https://arxiv.org/html/2604.02580v1</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3D-Agent. https://3d-agent.com/</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MCP Servers. https://mcpmarket.com/server/blender-1</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Github. https://github.com/fogleman/sdf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CVF Open Access. https://openaccess.thecvf.com/content/ICCV2023/papers/Chou_Diffusion-SDF_Conditional_Generative_Modeling_of_Signed_Distance_Functions_ICCV_2023_paper.pdf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Julia Evans. https://jvns.ca/blog/2020/03/15/writing-shaders-with-signed-distance-functions/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https://arxiv.org/html/2603.11831v1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Inigo Quilez. https://iquilezles.org/articles/distfunctions/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blender.org. https://www.blender.org/lab/mcp-server/</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Fabbaloo. https://www.fabbaloo.com/news/openvcad-an-open-source-tool-for-voxel-based-3d-design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dokumen.pubdokumen.pub. https://dokumen.pub/procedural-3d-modeling-using-geometry-nodes-in-blender.html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Glad Labs. https://www.gladlabs.io/posts/beyond-blocks-and-lines-how-cadquery-is-revolution-481</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https://arxiv.org/html/2605.18430v1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Github. https://github.com/ahujasid/blender-mcp</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zenml.io. https://www.zenml.io/llmops-database/llm-powered-3d-model-generation-for-3d-printing</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getleo.ai. https://www.getleo.ai/blog/open-source-text-to-cad-tools-free</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modelcontextprotocol.io. https://modelcontextprotocol.io/docs/getting-started/intro</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Developer Forum. https://devtalk.blender.org/t/3d-agent-blender-ai-assistant-built-a-multi-agent-system-on-top-of-blenders-mcp-and-python-api-and-sharing-architecture-learnings-for-the-lab-discussion/44260</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Medium. https://medium.com/@laputa99999/using-open-source-models-with-blender-for-ai-assisted-3d-modeling-comparative-study-with-openai-9848209f93b8</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RapidDirect. https://www.rapiddirect.com/blog/best-ai-cad-tools-review/</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NeurIPS. https://papers.neurips.cc/paper_files/paper/2025/file/0d094d83efa5ea99f86527ac7207e023-Paper-Conference.pdf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amd.com. https://rocm.docs.amd.com/projects/taichi/en/docs-25.11/what-is-taichi.html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Lingjie Liu. https://lingjie0206.github.io/papers/NeuS/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mpg.de. https://vcai.mpi-inf.mpg.de/projects/NeuS2/</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nvidia.com. https://research.nvidia.com/labs/cosmos-lab/neuralangelo/</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VizCad. https://viz-cad.com/blog/train-ai-automate-cad-tolerance-review</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PyPI. https://pypi.org/project/OpenVCAD/2.3.3/</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https://www.openaccess.thecvf.com/content/ICCV2025/papers/Zhao_DeepMesh_Auto-Regressive_Artist-mesh_Creation_with_Reinforcement_Learning_ICCV_2025_paper.pdf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kimjy99.github.io. https://kimjy99.github.io/%EB%85%BC%EB%AC%B8%EB%A6%AC%EB%B7%B0/deepmesh/</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ECVA. https://www.ecva.net/papers/eccv_2024/papers_ECCV/papers/07791.pdf</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Hugging Face. https://huggingface.co/learn/ml-for-3d-course/en/unit4/marching-cubes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phermosilla.github.io. https://phermosilla.github.io/assets/projects/neurons/static/files/marching_neurons_high_res.pdf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arXiv.org. https://arxiv.org/html/2507.09792v3</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https://arxiv.org/html/2603.11831v2</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https://arxiv.org/html/2512.06328v1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NeurIPS. https://papers.neurips.cc/paper_files/paper/2025/file/564a224e88f2490f3c1deaae877d37e3-Paper-Conference.pdf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arXiv.org. https://arxiv.org/html/2511.06194v1</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arXiv.org. https://arxiv.org/html/2508.10118v1</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https://arxiv.org/html/2604.07960v2</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arXiv.org. https://arxiv.org/html/2505.14646v1</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mindstudio.ai. https://www.mindstudio.ai/blog/iterative-refinement-loop-claude-design-multimodal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arXiv.org. https://arxiv.org/html/2606.13156v1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CVF Open Access. https://openaccess.thecvf.com/content/CVPR2025/papers/Li_CAD-Llama_Leveraging_Large_Language_Models_for_Computer-Aided_Design_Parametric_3D_CVPR_2025_paper.pdf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复旦大学教师个人主页门户网. https://faculty.fudan.edu.cn/__local/0/D2/CC/D3026842510847F68CEB05EE848_0AE8E22B_128CCF9.pdf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arXiv.org. https://arxiv.org/html/2507.09792v2</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OpenReview. https://openreview.net/pdf/7656104294059c6339990a706684561de4643a62.pdf</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Computer Graphics Stack Exchange. https://computergraphics.stackexchange.com/questions/10831/how-can-i-get-a-signed-distance-sdf-from-a-mesh</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themoonlight.io. https://www.themoonlight.io/en/review/cad-coder-an-open-source-vision-language-model-for-computer-aided-design-code-generation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Github. https://github.com/taichi-dev/taichi</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NVIDIA Developer. https://developer.nvidia.com/blog/kaolin-library-research-3d/</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Github. https://github.com/Intelligent-Internet/ii_verl</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Powered 3D Modeling. https://blender-mcp.com/</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arXiv.org. https://arxiv.org/html/2604.24479v1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arXiv.org. https://arxiv.org/html/2603.12238v1</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arXiv.org. https://arxiv.org/html/2404.17672v1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arXiv.org. https://arxiv.org/html/2509.20414v1</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CVF Open Access. https://openaccess.thecvf.com/content/WACV2026W/VALED/papers/Wang_EZBlender_Efficient_3D_Editing_with_Plan-and-ReAct_Agent_WACVW_2026_paper.pdf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nyu.edu. https://rits.shanghai.nyu.edu/ai/anthropic-plugs-claude-into-adobe-blender-and-ableton-with-nine-new-connectors/</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arXiv.org. https://arxiv.org/abs/2511.06194</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Blender Artists Community. https://blenderartists.org/t/from-blender-mcp-to-3d-agent-anthropic-partners-with-blender-claude-ai-connector-now-official/1639106</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Hugging Face. https://huggingface.co/datasets/redcathode/thingiverse-openscad</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Github. https://github.com/djeada/blender-mcp-server</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mcpservers.org. https://mcpservers.org/servers/patrykiti/blender-ai-mcp</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arXiv.org. https://arxiv.org/abs/2409.17106</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cadinterop.com. https://www.cadinterop.com/en/formats/neutral-format/step.html</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CoLab. https://www.colabsoftware.com/post/autodesk-fusion-mcp-faster-cad-same-bottleneck</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OUTSCALE. https://fr.outscale.com/wp-content/uploads/2024/07/dassault-systemes-mistral-ai-partnership.pdf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Enterprise Times. https://www.enterprisetimes.co.uk/2026/02/04/dassault-systemes-unveils-virtual-companions-and-industrial-ai-strategy-at-3dexperience-world-2026/</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NVIDIA Developer. https://developer.nvidia.com/kaolin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Github. https://github.com/jhacksman/OpenSCAD-MCP-Server</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OpenReview. https://openreview.net/pdf/459bf90d894ce1362ced0dd2fe0df351405931ad.pdf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DEV Community. https://dev.to/glglgl/from-blender-mcp-to-3d-agent-the-evolution-of-ai-powered-blender-modeling-1m7d</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myarchitectai.com. https://www.myarchitectai.com/blog/blender-ai</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DeCoDe Lab. https://decode.mit.edu/assets/papers/IDETC_CadCode_decodeweb.pdf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https://arxiv.org/abs/2508.14879</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Hugging Face. https://huggingface.co/papers/2508.14879</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NeurIPS. https://neurips.cc/virtual/2025/poster/117054</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Springer. https://link.springer.com/article/10.1007/s00170-025-15830-2</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arXiv.org. https://arxiv.org/html/2505.08137v2</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3daistudio.com. https://www.3daistudio.com/Tools/Remesh</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https://arxiv.org/abs/2504.06260</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Dataconomy. https://dataconomy.com/2025/04/09/this-benchmark-asks-if-ai-can-think-like-an-engineer/</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Neural Concept. https://www.neuralconcept.com/post/neural-concept-introduces-a-physics--and-geometry-aware-ai-design-copilot-extending-its-established-engineering-ai-platform</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Automotive Testing Technology International. https://www.automotivetestingtechnologyinternational.com/news/cae-simulation-modeling/ai-design-copilot-introduces-physics-aware-cad-ready-automation-for-engineers.html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Futurride. https://futurride.com/2026/04/08/neural-concept-introduces-a-physics-and-geometry-aware-ai-design-copilot/</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https://arxiv.org/html/2501.10928v1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arXiv.org. https://arxiv.org/abs/2510.21993</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IntechOpen. https://www.intechopen.com/chapters/1195273</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PatSnap. https://www.patsnap.com/resources/blog/rd-blog/generative-ai-topology-optimization-patsnap-eureka/</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arXiv.org. https://arxiv.org/html/2508.19169v1</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x.com. https://x.com/sidahuj/status/1899460492999184534?lang=en</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ScienceDirect. https://www.sciencedirect.com/science/article/pii/S2215016125003838</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Freshfields Bruckhaus Deringer. https://www.freshfields.com/en/our-thinking/blogs/risk-and-compliance/product-risks-today-how-the-new-product-liability-directive-turns-ai-act-complia-102mpu2</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Medium. https://medium.com/@neosrix/blender-claude-on-linux-a-friendly-companion-for-creative-exploration-7be812707c77</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AIPPI. https://www.aippi.org/news/uspto-issues-new-inventorship-guidance-for-ai-assisted-inventions-november-2025-what-it-means-for-innovators-patent-practitioners/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Lexology. https://www.lexology.com/library/detail.aspx?g=d683dece-3c5d-462d-a063-83dcfb3dbd6f</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stephensonharwood.com. https://www.stephensonharwood.com/insights/the-uks-white-paper-on-ai-regulation-a-pro-innovation-approach/</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svetlovallp.com. https://www.svetlovallp.com/the-uks-ai-regulation-white-paper-a-sector-led-vision-for-responsible-innovation/</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GAEEDU | Global AI, Education &amp; Workforce Policy Observatory. https://gaeedu.org/ai-governance-profiles/china</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Cambridge University Press &amp; Assessment. https://www.cambridge.org/core/journals/cambridge-forum-on-ai-law-and-governance/article/navigating-chinas-regulatory-approach-to-generative-artificial-intelligence-and-large-language-models/969B2055997BF42DE693B7A1A1B4E8BA</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AEC Magazine. https://aecmag.com/features/rewriting-the-rules/</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arXiv.org. https://arxiv.org/html/2505.17702v3</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arXiv.org. https://arxiv.org/abs/2411.05823</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arXiv.org. https://arxiv.org/abs/2502.11504</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arXiv.org. https://arxiv.org/abs/2511.22171</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arXiv.org. https://arxiv.org/html/2602.17753v1</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ABI Research. https://www.abiresearch.com/news-resources/chart-data/report-artificial-intelligence-market-size-global</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Medium. https://medium.com/@mjgmario/single-agent-vs-multi-agent-systems-when-coordination-helps-hurts-and-pays-off-57735ee7916d</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chatpaper.com. https://chatpaper.com/zh-CN/chatpaper/paper/208195</w:t>
      </w:r>
      <w:bookmarkEnd w:id="1011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55" Target="media/rId155.png"/><Relationship Type="http://schemas.openxmlformats.org/officeDocument/2006/relationships/image" Id="rId166" Target="media/rId166.png"/><Relationship Type="http://schemas.openxmlformats.org/officeDocument/2006/relationships/image" Id="rId52" Target="media/rId52.png"/><Relationship Type="http://schemas.openxmlformats.org/officeDocument/2006/relationships/image" Id="rId64" Target="media/rId64.png"/><Relationship Type="http://schemas.openxmlformats.org/officeDocument/2006/relationships/image" Id="rId113" Target="media/rId113.png"/><Relationship Type="http://schemas.openxmlformats.org/officeDocument/2006/relationships/image" Id="rId140" Target="media/rId140.png"/><Relationship Type="http://schemas.openxmlformats.org/officeDocument/2006/relationships/image" Id="rId82" Target="media/rId82.png"/><Relationship Type="http://schemas.openxmlformats.org/officeDocument/2006/relationships/image" Id="rId99" Target="media/rId99.png"/><Relationship Id="rId167"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2026-06-17T15:55:11Z</dcterms:created>
  <dcterms:modified xsi:type="dcterms:W3CDTF">2026-06-17T15:55:11Z</dcterms:modified>
</cp:coreProperties>
</file>

<file path=docProps/custom.xml><?xml version="1.0" encoding="utf-8"?>
<Properties xmlns="http://schemas.openxmlformats.org/officeDocument/2006/custom-properties" xmlns:vt="http://schemas.openxmlformats.org/officeDocument/2006/docPropsVTypes"/>
</file>