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179459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lang w:val="es-ES"/>
        </w:rPr>
      </w:sdtEndPr>
      <w:sdtContent>
        <w:p w14:paraId="69F093E1" w14:textId="51157464" w:rsidR="00C231AA" w:rsidRDefault="00C23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661AD2" wp14:editId="611FBC5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7207731" w14:textId="12074ED9" w:rsidR="00C231AA" w:rsidRDefault="00C231AA">
                                <w:pPr>
                                  <w:pStyle w:val="Sinespaciad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/>
                                        <w:color w:val="0E2841" w:themeColor="text2"/>
                                        <w:lang w:val="en-US"/>
                                      </w:rPr>
                                      <w:t>YEHOR BURLACHENKO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61A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7207731" w14:textId="12074ED9" w:rsidR="00C231AA" w:rsidRDefault="00C231AA">
                          <w:pPr>
                            <w:pStyle w:val="Sinespaciado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/>
                                  <w:color w:val="0E2841" w:themeColor="text2"/>
                                  <w:lang w:val="en-US"/>
                                </w:rPr>
                                <w:t>YEHOR BURLACHENKO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989051D" wp14:editId="3895E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6DC57" w14:textId="77777777" w:rsidR="00C231AA" w:rsidRDefault="00C231A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989051D" id="Rectángulo 80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A86DC57" w14:textId="77777777" w:rsidR="00C231AA" w:rsidRDefault="00C231A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84328" wp14:editId="2E75364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3C6282" w14:textId="39A050B3" w:rsidR="00C231AA" w:rsidRPr="00C231AA" w:rsidRDefault="00C231A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9384328" id="Rectángulo 81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4D3C6282" w14:textId="39A050B3" w:rsidR="00C231AA" w:rsidRPr="00C231AA" w:rsidRDefault="00C231A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AF9549" wp14:editId="27FEEF6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09B0FC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33331B" wp14:editId="193C9A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A6E8C9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F49F6C" wp14:editId="7794C69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  <w:lang w:val="es-ES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A03E748" w14:textId="667DCD8B" w:rsidR="00C231AA" w:rsidRPr="00C231AA" w:rsidRDefault="00C231A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C231AA">
                                      <w:rPr>
                                        <w:rFonts w:ascii="Times New Roman" w:eastAsiaTheme="majorEastAsia" w:hAnsi="Times New Roman" w:cstheme="majorBidi"/>
                                        <w:color w:val="156082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Bases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  <w:lang w:val="es-ES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2CC6A22" w14:textId="31B4F436" w:rsidR="00C231AA" w:rsidRPr="00C231AA" w:rsidRDefault="00C231A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 w:rsidRPr="00C231AA">
                                      <w:rPr>
                                        <w:rFonts w:ascii="Times New Roman" w:eastAsiaTheme="majorEastAsia" w:hAnsi="Times New Roman" w:cstheme="majorBidi"/>
                                        <w:color w:val="0E2841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  <w:t>Actividades del t</w:t>
                                    </w:r>
                                    <w:r>
                                      <w:rPr>
                                        <w:rFonts w:ascii="Times New Roman" w:eastAsiaTheme="majorEastAsia" w:hAnsi="Times New Roman" w:cstheme="majorBidi"/>
                                        <w:color w:val="0E2841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  <w:t>ema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4F49F6C" id="Cuadro de texto 84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  <w:lang w:val="es-ES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03E748" w14:textId="667DCD8B" w:rsidR="00C231AA" w:rsidRPr="00C231AA" w:rsidRDefault="00C231A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 w:rsidRPr="00C231AA">
                                <w:rPr>
                                  <w:rFonts w:ascii="Times New Roman" w:eastAsiaTheme="majorEastAsia" w:hAnsi="Times New Roman" w:cstheme="majorBidi"/>
                                  <w:color w:val="156082" w:themeColor="accent1"/>
                                  <w:sz w:val="72"/>
                                  <w:szCs w:val="72"/>
                                  <w:lang w:val="es-ES"/>
                                </w:rPr>
                                <w:t>Bases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  <w:lang w:val="es-ES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2CC6A22" w14:textId="31B4F436" w:rsidR="00C231AA" w:rsidRPr="00C231AA" w:rsidRDefault="00C231A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C231AA">
                                <w:rPr>
                                  <w:rFonts w:ascii="Times New Roman" w:eastAsiaTheme="majorEastAsia" w:hAnsi="Times New Roman" w:cstheme="majorBidi"/>
                                  <w:color w:val="0E2841" w:themeColor="text2"/>
                                  <w:sz w:val="32"/>
                                  <w:szCs w:val="32"/>
                                  <w:lang w:val="es-ES"/>
                                </w:rPr>
                                <w:t>Actividades del t</w:t>
                              </w:r>
                              <w:r>
                                <w:rPr>
                                  <w:rFonts w:ascii="Times New Roman" w:eastAsiaTheme="majorEastAsia" w:hAnsi="Times New Roman" w:cstheme="majorBidi"/>
                                  <w:color w:val="0E2841" w:themeColor="text2"/>
                                  <w:sz w:val="32"/>
                                  <w:szCs w:val="32"/>
                                  <w:lang w:val="es-ES"/>
                                </w:rPr>
                                <w:t>ema 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2C126C" w14:textId="2193F004" w:rsidR="00C231AA" w:rsidRDefault="00C231AA">
          <w:pPr>
            <w:spacing w:after="160" w:line="278" w:lineRule="auto"/>
            <w:ind w:left="0" w:firstLine="0"/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  <w:br w:type="page"/>
          </w:r>
        </w:p>
      </w:sdtContent>
    </w:sdt>
    <w:p w14:paraId="32D171A4" w14:textId="6ACC6ADA" w:rsidR="00C231AA" w:rsidRPr="00C231AA" w:rsidRDefault="00C231AA" w:rsidP="00C231AA">
      <w:pPr>
        <w:spacing w:after="119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Prueba</w:t>
      </w:r>
    </w:p>
    <w:p w14:paraId="1C4BBE83" w14:textId="5CF96A0E" w:rsidR="00C231AA" w:rsidRPr="00C231AA" w:rsidRDefault="00C231AA">
      <w:pPr>
        <w:spacing w:after="119" w:line="259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Identifique las Instrucciones del operador de definición. </w:t>
      </w:r>
      <w:r w:rsidRPr="00C231AA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1. </w:t>
      </w:r>
      <w:r w:rsidRPr="00C231AA">
        <w:rPr>
          <w:rFonts w:ascii="Times New Roman" w:hAnsi="Times New Roman" w:cs="Times New Roman"/>
          <w:sz w:val="28"/>
          <w:szCs w:val="28"/>
          <w:lang w:val="es-ES"/>
        </w:rPr>
        <w:t>Las expresiones</w:t>
      </w: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 de las listas SELECT debe coincidir en número</w:t>
      </w:r>
      <w:r w:rsidRPr="00C231AA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79ADFE88" w14:textId="533F4E0C" w:rsidR="00C231AA" w:rsidRPr="00C231AA" w:rsidRDefault="00C231AA">
      <w:pPr>
        <w:spacing w:after="119" w:line="259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b/>
          <w:bCs/>
          <w:sz w:val="28"/>
          <w:szCs w:val="28"/>
          <w:lang w:val="es-ES"/>
        </w:rPr>
        <w:t>Respuesta:</w:t>
      </w: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 Correcto.</w:t>
      </w:r>
    </w:p>
    <w:p w14:paraId="4A860D65" w14:textId="5006E1FC" w:rsidR="00C231AA" w:rsidRPr="00C231AA" w:rsidRDefault="00C231AA">
      <w:pPr>
        <w:spacing w:after="119" w:line="259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sz w:val="28"/>
          <w:szCs w:val="28"/>
          <w:lang w:val="es-ES"/>
        </w:rPr>
        <w:t>2. Los paréntesis no se pueden utilizar para modificar la secuencia de ejecución.</w:t>
      </w:r>
    </w:p>
    <w:p w14:paraId="62300714" w14:textId="37C20456" w:rsidR="00C231AA" w:rsidRPr="00C231AA" w:rsidRDefault="00C231AA">
      <w:pPr>
        <w:spacing w:after="119" w:line="259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b/>
          <w:bCs/>
          <w:sz w:val="28"/>
          <w:szCs w:val="28"/>
          <w:lang w:val="es-ES"/>
        </w:rPr>
        <w:t>Respuesta:</w:t>
      </w: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C231AA">
        <w:rPr>
          <w:rFonts w:ascii="Times New Roman" w:hAnsi="Times New Roman" w:cs="Times New Roman"/>
          <w:sz w:val="28"/>
          <w:szCs w:val="28"/>
          <w:lang w:val="es-ES"/>
        </w:rPr>
        <w:t>Los paréntesis se pueden usar en subconsultas o para agrupar operaciones dentro de una consulta, pero no afectan el orden de ejecución de los operadores de conjunto (UNION, etc.).</w:t>
      </w:r>
    </w:p>
    <w:p w14:paraId="0C55BB80" w14:textId="77777777" w:rsidR="00C231AA" w:rsidRPr="00C231AA" w:rsidRDefault="00C231AA">
      <w:pPr>
        <w:spacing w:after="119" w:line="259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sz w:val="28"/>
          <w:szCs w:val="28"/>
          <w:lang w:val="es-ES"/>
        </w:rPr>
        <w:t>3. Los tipos de dato para cada columna de la segunda consulta deben coincidir con los tipos de dato de su columna correspondiente en la primera consulta.</w:t>
      </w:r>
    </w:p>
    <w:p w14:paraId="7D05ACB0" w14:textId="7D582B19" w:rsidR="00C231AA" w:rsidRPr="00C231AA" w:rsidRDefault="00C231AA">
      <w:pPr>
        <w:spacing w:after="119" w:line="259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b/>
          <w:bCs/>
          <w:sz w:val="28"/>
          <w:szCs w:val="28"/>
          <w:lang w:val="es-ES"/>
        </w:rPr>
        <w:t>Respuesta:</w:t>
      </w: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 Correcto.</w:t>
      </w:r>
    </w:p>
    <w:p w14:paraId="4C6C7CC2" w14:textId="77777777" w:rsidR="00C231AA" w:rsidRPr="00C231AA" w:rsidRDefault="00C231AA">
      <w:pPr>
        <w:spacing w:after="119" w:line="259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sz w:val="28"/>
          <w:szCs w:val="28"/>
          <w:lang w:val="es-ES"/>
        </w:rPr>
        <w:t>4. La cláusula ORDER BY sólo se puede utilizar una vez en la consulta compuesta, a menos que se utilice un operador UNION ALL</w:t>
      </w:r>
      <w:r w:rsidRPr="00C231AA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.</w:t>
      </w:r>
      <w:r w:rsidRPr="00C231AA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</w:t>
      </w:r>
    </w:p>
    <w:p w14:paraId="7C3C4521" w14:textId="210F9B56" w:rsidR="00C231AA" w:rsidRPr="00C231AA" w:rsidRDefault="00C231AA">
      <w:pPr>
        <w:spacing w:after="119" w:line="259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t>Respuesta:</w:t>
      </w:r>
      <w:r w:rsidRPr="00C231AA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Correcto, pero s</w:t>
      </w:r>
      <w:r w:rsidRPr="00C231AA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i usas UNION ALL, puedes hacer ORDER BY dentro de subconsultas, pero esto solo ordenará internamente cada subconjunto antes de la combinación.</w:t>
      </w:r>
    </w:p>
    <w:p w14:paraId="76BAB7DD" w14:textId="47AD116C" w:rsidR="00427E66" w:rsidRPr="00C231AA" w:rsidRDefault="00000000" w:rsidP="00C231AA">
      <w:pPr>
        <w:spacing w:after="119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b/>
          <w:bCs/>
          <w:sz w:val="28"/>
          <w:szCs w:val="28"/>
          <w:lang w:val="es-ES"/>
        </w:rPr>
        <w:t>Actividades</w:t>
      </w:r>
    </w:p>
    <w:p w14:paraId="742C88A0" w14:textId="77777777" w:rsidR="00427E66" w:rsidRPr="00C231AA" w:rsidRDefault="00000000">
      <w:pPr>
        <w:ind w:left="-5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-) Dime los empleados y su id de trabajo tanto del trabajo actual como de los anteriores </w:t>
      </w:r>
    </w:p>
    <w:p w14:paraId="504A6654" w14:textId="3F44F23C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</w:t>
      </w:r>
      <w:proofErr w:type="gramStart"/>
      <w:r w:rsidRPr="00C231A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1A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 employees </w:t>
      </w:r>
    </w:p>
    <w:p w14:paraId="4A4BCAC4" w14:textId="77777777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UNION SELECT </w:t>
      </w:r>
    </w:p>
    <w:p w14:paraId="2F527649" w14:textId="51447510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</w:t>
      </w:r>
      <w:proofErr w:type="gramStart"/>
      <w:r w:rsidRPr="00C231AA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B825F54" w14:textId="77777777" w:rsidR="00427E66" w:rsidRPr="00C231AA" w:rsidRDefault="00000000">
      <w:pPr>
        <w:ind w:left="-5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-) Empleados que trabajan en un puesto en el que hayan estado antes. </w:t>
      </w:r>
    </w:p>
    <w:p w14:paraId="09303813" w14:textId="77777777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 FROM employees </w:t>
      </w:r>
    </w:p>
    <w:p w14:paraId="55899CBF" w14:textId="77777777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>INTERSECT SELECT</w:t>
      </w:r>
    </w:p>
    <w:p w14:paraId="1E480429" w14:textId="19E3DC5D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</w:t>
      </w:r>
      <w:proofErr w:type="gramStart"/>
      <w:r w:rsidRPr="00C231AA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3900770" w14:textId="77777777" w:rsidR="00427E66" w:rsidRDefault="00000000">
      <w:pPr>
        <w:ind w:left="-5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-) Devuelve los empleados y sus puestos de trabajo los cuales no coincidan con los actuales. </w:t>
      </w:r>
    </w:p>
    <w:p w14:paraId="054E41C7" w14:textId="77777777" w:rsidR="00C231AA" w:rsidRPr="00C231AA" w:rsidRDefault="00C231AA">
      <w:pPr>
        <w:ind w:left="-5"/>
        <w:rPr>
          <w:rFonts w:ascii="Times New Roman" w:hAnsi="Times New Roman" w:cs="Times New Roman"/>
          <w:sz w:val="28"/>
          <w:szCs w:val="28"/>
          <w:lang w:val="es-ES"/>
        </w:rPr>
      </w:pPr>
    </w:p>
    <w:p w14:paraId="488D1906" w14:textId="77777777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 FROM employees </w:t>
      </w:r>
    </w:p>
    <w:p w14:paraId="45D4EF71" w14:textId="77777777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MINUS </w:t>
      </w:r>
    </w:p>
    <w:p w14:paraId="4919F3CC" w14:textId="6805E952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</w:t>
      </w:r>
      <w:proofErr w:type="gramStart"/>
      <w:r w:rsidRPr="00C231AA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77A1925" w14:textId="77777777" w:rsidR="00427E66" w:rsidRPr="00C231AA" w:rsidRDefault="00000000">
      <w:pPr>
        <w:ind w:left="-5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-) Mostrar id de empleado, id del cargo y salario de todos los empleados. </w:t>
      </w:r>
    </w:p>
    <w:p w14:paraId="399E33A6" w14:textId="33CB0C57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salary FROM </w:t>
      </w:r>
      <w:proofErr w:type="gramStart"/>
      <w:r w:rsidRPr="00C231AA">
        <w:rPr>
          <w:rFonts w:ascii="Times New Roman" w:hAnsi="Times New Roman" w:cs="Times New Roman"/>
          <w:sz w:val="28"/>
          <w:szCs w:val="28"/>
          <w:lang w:val="en-US"/>
        </w:rPr>
        <w:t>employees;</w:t>
      </w:r>
      <w:proofErr w:type="gramEnd"/>
    </w:p>
    <w:p w14:paraId="322388E5" w14:textId="77777777" w:rsidR="00427E66" w:rsidRPr="00C231AA" w:rsidRDefault="00000000">
      <w:pPr>
        <w:ind w:left="-5"/>
        <w:rPr>
          <w:rFonts w:ascii="Times New Roman" w:hAnsi="Times New Roman" w:cs="Times New Roman"/>
          <w:sz w:val="28"/>
          <w:szCs w:val="28"/>
          <w:lang w:val="es-ES"/>
        </w:rPr>
      </w:pPr>
      <w:r w:rsidRPr="00C231AA">
        <w:rPr>
          <w:rFonts w:ascii="Times New Roman" w:hAnsi="Times New Roman" w:cs="Times New Roman"/>
          <w:sz w:val="28"/>
          <w:szCs w:val="28"/>
          <w:lang w:val="es-ES"/>
        </w:rPr>
        <w:t xml:space="preserve">-) Repite la consulta anterior, pero ordena los salarios, el primero debe ser el que más cobra </w:t>
      </w:r>
    </w:p>
    <w:p w14:paraId="6E63208B" w14:textId="77777777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31AA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, salary FROM employees </w:t>
      </w:r>
    </w:p>
    <w:p w14:paraId="35ABD0DA" w14:textId="1B780215" w:rsidR="00C231AA" w:rsidRPr="00C231AA" w:rsidRDefault="00C231AA" w:rsidP="00C2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rPr>
          <w:rFonts w:ascii="Times New Roman" w:hAnsi="Times New Roman" w:cs="Times New Roman"/>
          <w:sz w:val="28"/>
          <w:szCs w:val="28"/>
          <w:lang w:val="en-US"/>
        </w:rPr>
      </w:pPr>
      <w:r w:rsidRPr="00C231AA">
        <w:rPr>
          <w:rFonts w:ascii="Times New Roman" w:hAnsi="Times New Roman" w:cs="Times New Roman"/>
          <w:sz w:val="28"/>
          <w:szCs w:val="28"/>
          <w:lang w:val="en-US"/>
        </w:rPr>
        <w:t xml:space="preserve">ORDER by salary </w:t>
      </w:r>
      <w:proofErr w:type="gramStart"/>
      <w:r w:rsidRPr="00C231AA">
        <w:rPr>
          <w:rFonts w:ascii="Times New Roman" w:hAnsi="Times New Roman" w:cs="Times New Roman"/>
          <w:sz w:val="28"/>
          <w:szCs w:val="28"/>
          <w:lang w:val="en-US"/>
        </w:rPr>
        <w:t>DESC;</w:t>
      </w:r>
      <w:proofErr w:type="gramEnd"/>
    </w:p>
    <w:p w14:paraId="737CDBD0" w14:textId="2C3A37B9" w:rsidR="00C231AA" w:rsidRPr="00C231AA" w:rsidRDefault="00C231AA" w:rsidP="00C231AA">
      <w:pPr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sectPr w:rsidR="00C231AA" w:rsidRPr="00C231AA" w:rsidSect="00C231AA">
      <w:pgSz w:w="11906" w:h="16838"/>
      <w:pgMar w:top="1440" w:right="1922" w:bottom="1440" w:left="1702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E66"/>
    <w:rsid w:val="000844CC"/>
    <w:rsid w:val="00427E66"/>
    <w:rsid w:val="00C2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F68C"/>
  <w15:docId w15:val="{87B4C62E-1D51-409A-8392-AEBC60EA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231AA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31A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Actividades del tema 8</dc:subject>
  <dc:creator>YEHOR BURLACHENKO</dc:creator>
  <cp:keywords/>
  <cp:lastModifiedBy>YEHOR BURLACHENKO</cp:lastModifiedBy>
  <cp:revision>2</cp:revision>
  <dcterms:created xsi:type="dcterms:W3CDTF">2025-02-12T16:10:00Z</dcterms:created>
  <dcterms:modified xsi:type="dcterms:W3CDTF">2025-02-12T16:10:00Z</dcterms:modified>
</cp:coreProperties>
</file>