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i/>
          <w:iCs/>
          <w:color w:val="595959"/>
          <w:sz w:val="20"/>
          <w:szCs w:val="20"/>
        </w:rPr>
        <w:t xml:space="preserve">Fundusze Venture Capital i Private Equity – Wariant B</w:t>
      </w:r>
    </w:p>
    <w:p>
      <w:pPr>
        <w:spacing w:after="60"/>
        <w:jc w:val="left"/>
      </w:pPr>
      <w:r>
        <w:rPr>
          <w:i/>
          <w:iCs/>
          <w:color w:val="595959"/>
          <w:sz w:val="20"/>
          <w:szCs w:val="20"/>
        </w:rPr>
        <w:t xml:space="preserve">Andreessen Horowitz (a16z)</w:t>
      </w:r>
    </w:p>
    <w:p>
      <w:pPr>
        <w:pBdr>
          <w:bottom w:val="single" w:color="1E2761" w:sz="8" w:space="4"/>
        </w:pBdr>
        <w:spacing w:after="240"/>
      </w:pPr>
      <w:r>
        <w:t xml:space="preserve"/>
      </w:r>
    </w:p>
    <w:p>
      <w:pPr>
        <w:pStyle w:val="Heading1"/>
        <w:jc w:val="left"/>
      </w:pPr>
      <w:r>
        <w:t xml:space="preserve">Case study: Inwestycja a16z w Roblox Corporation</w:t>
      </w:r>
    </w:p>
    <w:p>
      <w:pPr>
        <w:pStyle w:val="Heading2"/>
      </w:pPr>
      <w:r>
        <w:t xml:space="preserve">1. Tło i charakterystyka spółki</w:t>
      </w:r>
    </w:p>
    <w:p>
      <w:pPr>
        <w:spacing w:after="120" w:line="300"/>
        <w:jc w:val="both"/>
      </w:pPr>
      <w:r>
        <w:rPr>
          <w:b/>
          <w:bCs/>
        </w:rPr>
        <w:t xml:space="preserve">Roblox Corporation</w:t>
      </w:r>
      <w:r>
        <w:t xml:space="preserve"> to amerykańska spółka założona w 2004 r. przez Davida Baszuckiego i Erika Cassela z siedzibą w San Mateo (Kalifornia). Roblox prowadzi globalną platformę gier online, na której to sami użytkownicy tworzą doświadczenia (gry, światy, wydarzenia) udostępniane innym graczom. Spółka zarabia na sprzedaży wewnętrznej waluty „Robux", którą gracze wymieniają na wirtualne dobra i przedmioty w grze, a twórcy mogą wypłacać jako realne pieniądze.</w:t>
      </w:r>
    </w:p>
    <w:p>
      <w:pPr>
        <w:spacing w:after="120" w:line="300"/>
        <w:jc w:val="both"/>
      </w:pPr>
      <w:r>
        <w:t xml:space="preserve">W momencie inwestycji a16z (luty 2020) platforma miała </w:t>
      </w:r>
      <w:r>
        <w:rPr>
          <w:b/>
          <w:bCs/>
        </w:rPr>
        <w:t xml:space="preserve">115 milionów graczy miesięcznie</w:t>
      </w:r>
      <w:r>
        <w:t xml:space="preserve">, głównie z pokolenia Z, a spółka była już cash-flow positive. W ciągu 12 miesięcy od inwestycji liczba dziennych aktywnych użytkowników (DAU) skoczyła z ok. 17,6 mln do ponad 31 mln, a przychody w 2020 r. osiągnęły 923,9 mln USD.</w:t>
      </w:r>
    </w:p>
    <w:p>
      <w:pPr>
        <w:pStyle w:val="Heading2"/>
      </w:pPr>
      <w:r>
        <w:t xml:space="preserve">2. Parametry transakcji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Parametr</w:t>
            </w:r>
          </w:p>
        </w:tc>
        <w:tc>
          <w:tcPr>
            <w:tcW w:type="dxa" w:w="6026"/>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Wartość</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Runda finansowania</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Series G</w:t>
            </w:r>
          </w:p>
        </w:tc>
      </w:tr>
      <w:tr>
        <w:tc>
          <w:tcPr>
            <w:tcW w:type="dxa" w:w="30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2"/>
                <w:szCs w:val="22"/>
              </w:rPr>
              <w:t xml:space="preserve">Data zamknięcia</w:t>
            </w:r>
          </w:p>
        </w:tc>
        <w:tc>
          <w:tcPr>
            <w:tcW w:type="dxa" w:w="6026"/>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26 lutego 2020 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Wartość rundy (łącznie)</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150 mln USD</w:t>
            </w:r>
          </w:p>
        </w:tc>
      </w:tr>
      <w:tr>
        <w:tc>
          <w:tcPr>
            <w:tcW w:type="dxa" w:w="30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2"/>
                <w:szCs w:val="22"/>
              </w:rPr>
              <w:t xml:space="preserve">Lead investor</w:t>
            </w:r>
          </w:p>
        </w:tc>
        <w:tc>
          <w:tcPr>
            <w:tcW w:type="dxa" w:w="6026"/>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Andreessen Horowitz – Late Stage Venture Fund (LSV)</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Nowi współinwestorzy</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Temasek, Tencent Holdings</w:t>
            </w:r>
          </w:p>
        </w:tc>
      </w:tr>
      <w:tr>
        <w:tc>
          <w:tcPr>
            <w:tcW w:type="dxa" w:w="30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2"/>
                <w:szCs w:val="22"/>
              </w:rPr>
              <w:t xml:space="preserve">Inwestorzy follow-on</w:t>
            </w:r>
          </w:p>
        </w:tc>
        <w:tc>
          <w:tcPr>
            <w:tcW w:type="dxa" w:w="6026"/>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Altos Ventures, Meritech Capital, Tiger Global Management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Tender offer</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Do 350 mln USD na odkup akcji od pracowników i wczesnych inwestorów</w:t>
            </w:r>
          </w:p>
        </w:tc>
      </w:tr>
      <w:tr>
        <w:tc>
          <w:tcPr>
            <w:tcW w:type="dxa" w:w="30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2"/>
                <w:szCs w:val="22"/>
              </w:rPr>
              <w:t xml:space="preserve">Wycena post-money</w:t>
            </w:r>
          </w:p>
        </w:tc>
        <w:tc>
          <w:tcPr>
            <w:tcW w:type="dxa" w:w="6026"/>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4 mld USD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Branża</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Gaming / platformy UGC / metaverse / consumer tech</w:t>
            </w:r>
          </w:p>
        </w:tc>
      </w:tr>
    </w:tbl>
    <w:p>
      <w:pPr>
        <w:pStyle w:val="Heading2"/>
      </w:pPr>
      <w:r>
        <w:t xml:space="preserve">3. Cel inwestycji i teza inwestycyjna a16z</w:t>
      </w:r>
    </w:p>
    <w:p>
      <w:pPr>
        <w:spacing w:after="120" w:line="300"/>
        <w:jc w:val="both"/>
      </w:pPr>
      <w:r>
        <w:t xml:space="preserve">Inwestycja została zrealizowana z </w:t>
      </w:r>
      <w:r>
        <w:rPr>
          <w:b/>
          <w:bCs/>
        </w:rPr>
        <w:t xml:space="preserve">Late Stage Venture Fund</w:t>
      </w:r>
      <w:r>
        <w:t xml:space="preserve"> (LSV) – wehikułu a16z stworzonego specjalnie dla dojrzałych spółek wymagających kapitału wzrostowego, ale wciąż wymagających „venture mindset". Według deklaracji a16z środki miały wzmocnić bilans Roblox, pozwolić zwiększyć zespół inżynierski oraz wesprzeć twórców platformy poprzez rozwój infrastruktury dla bardziej zaawansowanych, masowych doświadczeń.</w:t>
      </w:r>
    </w:p>
    <w:p>
      <w:pPr>
        <w:spacing w:after="120" w:line="300"/>
        <w:jc w:val="both"/>
      </w:pPr>
      <w:r>
        <w:t xml:space="preserve">Teza inwestycyjna a16z (David George i Marc Andreessen) opierała się na czterech filarach:</w:t>
      </w:r>
    </w:p>
    <w:p>
      <w:pPr>
        <w:pStyle w:val="ListParagraph"/>
        <w:numPr>
          <w:ilvl w:val="0"/>
          <w:numId w:val="2"/>
        </w:numPr>
        <w:spacing w:after="80" w:line="280"/>
      </w:pPr>
      <w:r>
        <w:rPr>
          <w:b/>
          <w:bCs/>
        </w:rPr>
        <w:t xml:space="preserve">Organiczny wzrost użytkowników</w:t>
      </w:r>
      <w:r>
        <w:t xml:space="preserve"> – wirusowe sign-upy bez płatnego marketingu, silny efekt sieciowy.</w:t>
      </w:r>
    </w:p>
    <w:p>
      <w:pPr>
        <w:pStyle w:val="ListParagraph"/>
        <w:numPr>
          <w:ilvl w:val="0"/>
          <w:numId w:val="2"/>
        </w:numPr>
        <w:spacing w:after="80" w:line="280"/>
      </w:pPr>
      <w:r>
        <w:rPr>
          <w:b/>
          <w:bCs/>
        </w:rPr>
        <w:t xml:space="preserve">Powtarzalne zachowania zakupowe</w:t>
      </w:r>
      <w:r>
        <w:t xml:space="preserve"> – recurring revenue z Robux, wysoka retencja.</w:t>
      </w:r>
    </w:p>
    <w:p>
      <w:pPr>
        <w:pStyle w:val="ListParagraph"/>
        <w:numPr>
          <w:ilvl w:val="0"/>
          <w:numId w:val="2"/>
        </w:numPr>
        <w:spacing w:after="80" w:line="280"/>
      </w:pPr>
      <w:r>
        <w:rPr>
          <w:b/>
          <w:bCs/>
        </w:rPr>
        <w:t xml:space="preserve">Wysokomarżowa struktura platformy</w:t>
      </w:r>
      <w:r>
        <w:t xml:space="preserve"> – model UGC przerzucający koszty tworzenia treści na społeczność.</w:t>
      </w:r>
    </w:p>
    <w:p>
      <w:pPr>
        <w:pStyle w:val="ListParagraph"/>
        <w:numPr>
          <w:ilvl w:val="0"/>
          <w:numId w:val="2"/>
        </w:numPr>
        <w:spacing w:after="80" w:line="280"/>
      </w:pPr>
      <w:r>
        <w:rPr>
          <w:b/>
          <w:bCs/>
        </w:rPr>
        <w:t xml:space="preserve">Wizja metaverse</w:t>
      </w:r>
      <w:r>
        <w:t xml:space="preserve"> – Roblox jako fundament cyfrowego świata persistent identity i interoperacyjnych doświadczeń.</w:t>
      </w:r>
    </w:p>
    <w:p>
      <w:pPr>
        <w:spacing w:after="120" w:line="300"/>
        <w:jc w:val="both"/>
      </w:pPr>
      <w:r>
        <w:t xml:space="preserve">George i Andreessen w blogu inwestycyjnym a16z podkreślili filozofię późnostadialnego inwestowania: </w:t>
      </w:r>
      <w:r>
        <w:rPr>
          <w:i/>
          <w:iCs/>
        </w:rPr>
        <w:t xml:space="preserve">„If early-stage venture is about asking 'What if it works?', later-stage venture is about asking and assessing, 'Is it working?'"</w:t>
      </w:r>
      <w:r>
        <w:t xml:space="preserve"> – Roblox spełniał w 2020 r. drugi z tych testów.</w:t>
      </w:r>
    </w:p>
    <w:p>
      <w:pPr>
        <w:pStyle w:val="Heading2"/>
      </w:pPr>
      <w:r>
        <w:t xml:space="preserve">4. Osoba odpowiedzialna za transakcję</w:t>
      </w:r>
    </w:p>
    <w:p>
      <w:pPr>
        <w:spacing w:after="120" w:line="300"/>
        <w:jc w:val="both"/>
      </w:pPr>
      <w:r>
        <w:rPr>
          <w:b/>
          <w:bCs/>
        </w:rPr>
        <w:t xml:space="preserve">David George</w:t>
      </w:r>
      <w:r>
        <w:t xml:space="preserve"> – General Partner w Andreessen Horowitz i szef a16z Growth, odpowiadał za prowadzenie rundy i kontynuuje współpracę z Davidem Baszuckim do dziś. George specjalizuje się w późnostadialnych inwestycjach w „compounder businesses" – spółki o długim okresie wzrostu i organicznej dystrybucji. W swoich publicznych wystąpieniach wielokrotnie wskazywał Roblox jako modelowy przykład „Modelbuster" – spółki, której rynek końcowy okazał się dramatycznie większy niż zakładały modele analityków. Współsygnatariuszem inwestycji był </w:t>
      </w:r>
      <w:r>
        <w:rPr>
          <w:b/>
          <w:bCs/>
        </w:rPr>
        <w:t xml:space="preserve">Marc Andreessen</w:t>
      </w:r>
      <w:r>
        <w:t xml:space="preserve"> (współzałożyciel a16z), który publicznie wspierał tezę metaversową spółki.</w:t>
      </w:r>
    </w:p>
    <w:p>
      <w:pPr>
        <w:pStyle w:val="Heading2"/>
      </w:pPr>
      <w:r>
        <w:t xml:space="preserve">5. Działania a16z po inwestycji</w:t>
      </w:r>
    </w:p>
    <w:p>
      <w:pPr>
        <w:spacing w:after="120" w:line="300"/>
        <w:jc w:val="both"/>
      </w:pPr>
      <w:r>
        <w:t xml:space="preserve">Wsparcie a16z dla Roblox po wejściu kapitałowym miało charakter strategiczny, a nie operacyjny – typowy dla późnostadialnych inwestycji growth:</w:t>
      </w:r>
    </w:p>
    <w:p>
      <w:pPr>
        <w:pStyle w:val="ListParagraph"/>
        <w:numPr>
          <w:ilvl w:val="0"/>
          <w:numId w:val="2"/>
        </w:numPr>
        <w:spacing w:after="80" w:line="280"/>
      </w:pPr>
      <w:r>
        <w:rPr>
          <w:b/>
          <w:bCs/>
        </w:rPr>
        <w:t xml:space="preserve">Pozycjonowanie narracyjne</w:t>
      </w:r>
      <w:r>
        <w:t xml:space="preserve"> – wpis na blogu a16z „Investing in Roblox" oraz późniejsze publikacje (m.in. „Modelbusters") konsekwentnie pozycjonowały Roblox jako lidera kategorii metaverse, co znacząco wpłynęło na percepcję rynkową spółki przed debiutem giełdowym.</w:t>
      </w:r>
    </w:p>
    <w:p>
      <w:pPr>
        <w:pStyle w:val="ListParagraph"/>
        <w:numPr>
          <w:ilvl w:val="0"/>
          <w:numId w:val="2"/>
        </w:numPr>
        <w:spacing w:after="80" w:line="280"/>
      </w:pPr>
      <w:r>
        <w:rPr>
          <w:b/>
          <w:bCs/>
        </w:rPr>
        <w:t xml:space="preserve">Przygotowanie do wejścia na giełdę</w:t>
      </w:r>
      <w:r>
        <w:t xml:space="preserve"> – a16z, jako fundusz z bogatym doświadczeniem w direct listings (m.in. Coinbase), wspierał spółkę w wyborze tej formy debiutu zamiast tradycyjnego IPO, co minimalizowało dilution i pozwoliło wczesnym inwestorom oraz pracownikom na płynne wyjście.</w:t>
      </w:r>
    </w:p>
    <w:p>
      <w:pPr>
        <w:pStyle w:val="ListParagraph"/>
        <w:numPr>
          <w:ilvl w:val="0"/>
          <w:numId w:val="2"/>
        </w:numPr>
        <w:spacing w:after="80" w:line="280"/>
      </w:pPr>
      <w:r>
        <w:rPr>
          <w:b/>
          <w:bCs/>
        </w:rPr>
        <w:t xml:space="preserve">Networking branżowy</w:t>
      </w:r>
      <w:r>
        <w:t xml:space="preserve"> – w maju 2022 r. a16z uruchomił „Games Fund One" o wartości 600 mln USD, w którym David Baszucki (CEO Roblox) został jednym z LP/advisorów obok założycieli Discorda, Twitcha, Zyngi czy Riot Games. Stworzyło to dodatkową sieć współpracy w ekosystemie gier.</w:t>
      </w:r>
    </w:p>
    <w:p>
      <w:pPr>
        <w:pStyle w:val="ListParagraph"/>
        <w:numPr>
          <w:ilvl w:val="0"/>
          <w:numId w:val="2"/>
        </w:numPr>
        <w:spacing w:after="80" w:line="280"/>
      </w:pPr>
      <w:r>
        <w:rPr>
          <w:b/>
          <w:bCs/>
        </w:rPr>
        <w:t xml:space="preserve">Mentoring CEO</w:t>
      </w:r>
      <w:r>
        <w:t xml:space="preserve"> – David George publicznie określa Baszuckiego jako „commercial killer" i potwierdza wieloletnią bliską relację mentoringową, charakterystyczną dla portfolio a16z.</w:t>
      </w:r>
    </w:p>
    <w:p>
      <w:pPr>
        <w:pStyle w:val="Heading2"/>
      </w:pPr>
      <w:r>
        <w:t xml:space="preserve">6. Follow-on i pełna ścieżka inwestycyjna</w:t>
      </w:r>
    </w:p>
    <w:p>
      <w:pPr>
        <w:spacing w:after="120" w:line="300"/>
        <w:jc w:val="both"/>
      </w:pPr>
      <w:r>
        <w:t xml:space="preserve">a16z, mimo wejścia dopiero w rundzie Series G, nie uczestniczył jako lead w kolejnej rundzie Series H (styczeń 2021, 520 mln USD przy wycenie 29,5 mld USD), którą poprowadzili Altimeter Capital i Dragoneer Investment Group. Runda H była tzw. crossover roundą bezpośrednio przed direct listing i zwykle w takich transakcjach prym wiodą fundusze hybrydowe (private/public). Według doniesień TechCrunch i PYMNTS w rundzie tej brali udział „obecni inwestorzy" – co najprawdopodobniej obejmowało także a16z – jednak fundusz nie był wymieniany imiennie jako lead.</w:t>
      </w:r>
    </w:p>
    <w:p>
      <w:pPr>
        <w:spacing w:after="120" w:line="300"/>
        <w:jc w:val="both"/>
      </w:pPr>
      <w:r>
        <w:t xml:space="preserve">Ścieżka spółki po inwestycji a16z:</w:t>
      </w:r>
    </w:p>
    <w:p>
      <w:pPr>
        <w:pStyle w:val="ListParagraph"/>
        <w:numPr>
          <w:ilvl w:val="0"/>
          <w:numId w:val="2"/>
        </w:numPr>
        <w:spacing w:after="80" w:line="280"/>
      </w:pPr>
      <w:r>
        <w:rPr>
          <w:b/>
          <w:bCs/>
        </w:rPr>
        <w:t xml:space="preserve">Luty 2020</w:t>
      </w:r>
      <w:r>
        <w:t xml:space="preserve"> – Series G prowadzona przez a16z, wycena 4 mld USD.</w:t>
      </w:r>
    </w:p>
    <w:p>
      <w:pPr>
        <w:pStyle w:val="ListParagraph"/>
        <w:numPr>
          <w:ilvl w:val="0"/>
          <w:numId w:val="2"/>
        </w:numPr>
        <w:spacing w:after="80" w:line="280"/>
      </w:pPr>
      <w:r>
        <w:rPr>
          <w:b/>
          <w:bCs/>
        </w:rPr>
        <w:t xml:space="preserve">Styczeń 2021</w:t>
      </w:r>
      <w:r>
        <w:t xml:space="preserve"> – Series H (Altimeter/Dragoneer), 520 mln USD, wycena 29,5 mld USD (7,4× wzrost vs. Series G w 11 miesięcy).</w:t>
      </w:r>
    </w:p>
    <w:p>
      <w:pPr>
        <w:pStyle w:val="ListParagraph"/>
        <w:numPr>
          <w:ilvl w:val="0"/>
          <w:numId w:val="2"/>
        </w:numPr>
        <w:spacing w:after="80" w:line="280"/>
      </w:pPr>
      <w:r>
        <w:rPr>
          <w:b/>
          <w:bCs/>
        </w:rPr>
        <w:t xml:space="preserve">10 marca 2021</w:t>
      </w:r>
      <w:r>
        <w:t xml:space="preserve"> – Direct listing na NYSE (ticker: RBLX). Cena referencyjna 45 USD, zamknięcie pierwszego dnia 69,50 USD, wycena fully diluted 45,3 mld USD – największy debiut w historii spółek gamingowych i największy direct listing przed Coinbase.</w:t>
      </w:r>
    </w:p>
    <w:p>
      <w:pPr>
        <w:pStyle w:val="Heading2"/>
      </w:pPr>
      <w:r>
        <w:t xml:space="preserve">7. Wyniki inwestycji</w:t>
      </w:r>
    </w:p>
    <w:p>
      <w:pPr>
        <w:spacing w:after="120" w:line="300"/>
        <w:jc w:val="both"/>
      </w:pPr>
      <w:r>
        <w:t xml:space="preserve">Inwestycja Series G okazała się dla a16z spektakularnym sukcesem na poziomie księgowym (paper return) na moment direct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Moment</w:t>
            </w:r>
          </w:p>
        </w:tc>
        <w:tc>
          <w:tcPr>
            <w:tcW w:type="dxa" w:w="4513"/>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Wycena Roblox</w:t>
            </w:r>
          </w:p>
        </w:tc>
      </w:tr>
      <w:tr>
        <w:tc>
          <w:tcPr>
            <w:tcW w:type="dxa" w:w="4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Wejście a16z (luty 2020)</w:t>
            </w:r>
          </w:p>
        </w:tc>
        <w:tc>
          <w:tcPr>
            <w:tcW w:type="dxa" w:w="4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4 mld USD</w:t>
            </w:r>
          </w:p>
        </w:tc>
      </w:tr>
      <w:tr>
        <w:tc>
          <w:tcPr>
            <w:tcW w:type="dxa" w:w="451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Series H (styczeń 2021)</w:t>
            </w:r>
          </w:p>
        </w:tc>
        <w:tc>
          <w:tcPr>
            <w:tcW w:type="dxa" w:w="451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29,5 mld USD (+638%)</w:t>
            </w:r>
          </w:p>
        </w:tc>
      </w:tr>
      <w:tr>
        <w:tc>
          <w:tcPr>
            <w:tcW w:type="dxa" w:w="4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Direct listing close (10.03.2021)</w:t>
            </w:r>
          </w:p>
        </w:tc>
        <w:tc>
          <w:tcPr>
            <w:tcW w:type="dxa" w:w="4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45,3 mld USD (+1 033%)</w:t>
            </w:r>
          </w:p>
        </w:tc>
      </w:tr>
    </w:tbl>
    <w:p>
      <w:pPr>
        <w:spacing w:after="120"/>
      </w:pPr>
      <w:r>
        <w:t xml:space="preserve"/>
      </w:r>
    </w:p>
    <w:p>
      <w:pPr>
        <w:spacing w:after="120" w:line="300"/>
        <w:jc w:val="both"/>
      </w:pPr>
      <w:r>
        <w:rPr>
          <w:i w:val="false"/>
          <w:iCs w:val="false"/>
        </w:rPr>
        <w:t xml:space="preserve">W ciągu 12,5 miesiąca papierowy zwrot a16z na akcjach Series G wzrósł ok. </w:t>
      </w:r>
      <w:r>
        <w:rPr>
          <w:b/>
          <w:bCs/>
        </w:rPr>
        <w:t xml:space="preserve">11-krotnie</w:t>
      </w:r>
      <w:r>
        <w:t xml:space="preserve"> (mierzony wyceną spółki). Po debiucie kurs RBLX podlegał silnym wahaniom – od szczytu ok. 134 USD w listopadzie 2021 r., przez głęboki spadek do ok. 25 USD w 2022 r. (korekta sektora tech i ostudzenie narracji metaversowej), z odbiciem w latach 2024–2025 w okolice 60–80 USD. Realny IRR a16z zależy od momentu i tempa upłynniania pozycji, których fundusz publicznie nie ujawnia.</w:t>
      </w:r>
    </w:p>
    <w:p>
      <w:pPr>
        <w:pStyle w:val="Heading2"/>
      </w:pPr>
      <w:r>
        <w:t xml:space="preserve">8. Ryzyka inwestycyjne i wnioski</w:t>
      </w:r>
    </w:p>
    <w:p>
      <w:pPr>
        <w:pStyle w:val="Heading3"/>
      </w:pPr>
      <w:r>
        <w:t xml:space="preserve">Główne ryzyka identyfikowane w momencie inwestycji:</w:t>
      </w:r>
    </w:p>
    <w:p>
      <w:pPr>
        <w:pStyle w:val="ListParagraph"/>
        <w:numPr>
          <w:ilvl w:val="0"/>
          <w:numId w:val="2"/>
        </w:numPr>
        <w:spacing w:after="80" w:line="280"/>
      </w:pPr>
      <w:r>
        <w:rPr>
          <w:b/>
          <w:bCs/>
        </w:rPr>
        <w:t xml:space="preserve">Ryzyko koncentracji demograficznej</w:t>
      </w:r>
      <w:r>
        <w:t xml:space="preserve"> – większość graczy poniżej 16 r.ż., co rodzi ryzyko regulacyjne (ochrona danych dzieci, COPPA, treści) oraz biznesowe (powrót do szkół po pandemii = spadek engagementu).</w:t>
      </w:r>
    </w:p>
    <w:p>
      <w:pPr>
        <w:pStyle w:val="ListParagraph"/>
        <w:numPr>
          <w:ilvl w:val="0"/>
          <w:numId w:val="2"/>
        </w:numPr>
        <w:spacing w:after="80" w:line="280"/>
      </w:pPr>
      <w:r>
        <w:rPr>
          <w:b/>
          <w:bCs/>
        </w:rPr>
        <w:t xml:space="preserve">Ryzyko wyceny</w:t>
      </w:r>
      <w:r>
        <w:t xml:space="preserve"> – 7-krotny wzrost wyceny w 11 miesięcy w warunkach pandemii był ekstremalny i pozostawiał niewielki margines bezpieczeństwa.</w:t>
      </w:r>
    </w:p>
    <w:p>
      <w:pPr>
        <w:pStyle w:val="ListParagraph"/>
        <w:numPr>
          <w:ilvl w:val="0"/>
          <w:numId w:val="2"/>
        </w:numPr>
        <w:spacing w:after="80" w:line="280"/>
      </w:pPr>
      <w:r>
        <w:rPr>
          <w:b/>
          <w:bCs/>
        </w:rPr>
        <w:t xml:space="preserve">Ryzyko platformowe</w:t>
      </w:r>
      <w:r>
        <w:t xml:space="preserve"> – uzależnienie od polityk App Store i Google Play oraz ich opłat (do 30%).</w:t>
      </w:r>
    </w:p>
    <w:p>
      <w:pPr>
        <w:pStyle w:val="ListParagraph"/>
        <w:numPr>
          <w:ilvl w:val="0"/>
          <w:numId w:val="2"/>
        </w:numPr>
        <w:spacing w:after="80" w:line="280"/>
      </w:pPr>
      <w:r>
        <w:rPr>
          <w:b/>
          <w:bCs/>
        </w:rPr>
        <w:t xml:space="preserve">Ryzyko monetyzacji twórców</w:t>
      </w:r>
      <w:r>
        <w:t xml:space="preserve"> – kontrowersje wokół niskich wypłat dla młodych twórców mogły uderzyć w reputację i przyciąganie talentów.</w:t>
      </w:r>
    </w:p>
    <w:p>
      <w:pPr>
        <w:pStyle w:val="ListParagraph"/>
        <w:numPr>
          <w:ilvl w:val="0"/>
          <w:numId w:val="2"/>
        </w:numPr>
        <w:spacing w:after="80" w:line="280"/>
      </w:pPr>
      <w:r>
        <w:rPr>
          <w:b/>
          <w:bCs/>
        </w:rPr>
        <w:t xml:space="preserve">Ryzyko narracji metaverse</w:t>
      </w:r>
      <w:r>
        <w:t xml:space="preserve"> – uzależnienie wyceny od trendu, który okazał się znacznie wolniejszy niż prognozowano.</w:t>
      </w:r>
    </w:p>
    <w:p>
      <w:pPr>
        <w:pStyle w:val="Heading3"/>
      </w:pPr>
      <w:r>
        <w:t xml:space="preserve">Wnioski o skuteczności strategii a16z</w:t>
      </w:r>
    </w:p>
    <w:p>
      <w:pPr>
        <w:spacing w:after="120" w:line="300"/>
        <w:jc w:val="both"/>
      </w:pPr>
      <w:r>
        <w:t xml:space="preserve">Case Roblox doskonale ilustruje strategię Late Stage Venture a16z: </w:t>
      </w:r>
      <w:r>
        <w:rPr>
          <w:b/>
          <w:bCs/>
        </w:rPr>
        <w:t xml:space="preserve">wchodzenie do spółek już zweryfikowanych operacyjnie, ale przed największą ekspansją wyceny</w:t>
      </w:r>
      <w:r>
        <w:t xml:space="preserve">. Fundusz nie szukał wczesnej, ryzykownej tezy – wszedł, gdy Roblox był już cash-flow positive, miał 115 mln MAU i jasny model przychodów. Zwrot 11× w 13 miesięcy potwierdza tezę „compounder + późne wejście" wypracowaną przez Davida George'a.</w:t>
      </w:r>
    </w:p>
    <w:p>
      <w:pPr>
        <w:spacing w:after="120" w:line="300"/>
        <w:jc w:val="both"/>
      </w:pPr>
      <w:r>
        <w:t xml:space="preserve">Słabością strategii był brak pełnoetatowego miejsca w radzie nadzorczej i ograniczona kontrola operacyjna – typowa dla growth investingu, ale ograniczająca możliwość reakcji w trudnych momentach (np. korekta 2022). Z perspektywy 5 lat (2020–2025) inwestycja pozostaje zyskowna, ale realizowany IRR jest istotnie niższy niż papierowy z marca 2021 r.</w:t>
      </w:r>
    </w:p>
    <w:p>
      <w:pPr>
        <w:pStyle w:val="Heading2"/>
      </w:pPr>
      <w:r>
        <w:t xml:space="preserve">9. Analiza przedstawicieli funduszu</w:t>
      </w:r>
    </w:p>
    <w:p>
      <w:pPr>
        <w:spacing w:after="120" w:line="300"/>
        <w:jc w:val="both"/>
      </w:pPr>
      <w:r>
        <w:t xml:space="preserve">Poniżej przedstawiono analizę kluczowych przedstawicieli a16z odpowiedzialnych za inwestycję w Roblox oraz ich publicznych wystąpień (wywiady, podcasty, materiały prasowe i wpisy blogowe). Łącznie zidentyfikowano 7 materiałów źródłowych pozwalających odtworzyć filozofię inwestycyjną funduszu i tezy dotyczące Roblox / sektora gier.</w:t>
      </w:r>
    </w:p>
    <w:p>
      <w:pPr>
        <w:pStyle w:val="Heading3"/>
      </w:pPr>
      <w:r>
        <w:t xml:space="preserve">9.1. David George – General Partner, Head of a16z Growth</w:t>
      </w:r>
    </w:p>
    <w:p>
      <w:pPr>
        <w:spacing w:after="120" w:line="300"/>
        <w:jc w:val="both"/>
      </w:pPr>
      <w:r>
        <w:rPr>
          <w:b/>
          <w:bCs/>
        </w:rPr>
        <w:t xml:space="preserve">Background: </w:t>
      </w:r>
      <w:r>
        <w:t xml:space="preserve">Dołączył do a16z w 2019 r., aby kierować nowym wehikułem Late Stage Venture / Growth. Wcześniej spędził 7 lat w General Atlantic jako growth investor (m.in. inwestycje w Airbnb, CrowdStrike, Opendoor, Slack, Uber). Po dołączeniu do a16z poprowadził inwestycje w Clubhouse, Coinbase, Databricks, Figma, Instacart, Robinhood i TripActions. Zasiada w radach Current, Greenlight i Workrise. </w:t>
      </w:r>
      <w:r>
        <w:rPr>
          <w:b/>
          <w:bCs/>
        </w:rPr>
        <w:t xml:space="preserve">To on prowadził inwestycję w Roblox i pozostaje głównym kontaktem a16z dla Davida Baszuckiego do dziś.</w:t>
      </w:r>
    </w:p>
    <w:p>
      <w:pPr>
        <w:pStyle w:val="Heading3"/>
      </w:pPr>
      <w:r>
        <w:t xml:space="preserve">9.2. Marc Andreessen – współzałożyciel i General Partner a16z</w:t>
      </w:r>
    </w:p>
    <w:p>
      <w:pPr>
        <w:spacing w:after="120" w:line="300"/>
        <w:jc w:val="both"/>
      </w:pPr>
      <w:r>
        <w:rPr>
          <w:b/>
          <w:bCs/>
        </w:rPr>
        <w:t xml:space="preserve">Background: </w:t>
      </w:r>
      <w:r>
        <w:t xml:space="preserve">Założyciel Netscape, autor manifestu „Software Is Eating the World" (2011) oraz „It's Time to Build" (2020). Współzałożył a16z w 2009 r. wspólnie z Benem Horowitzem. Współpodpisał blog inwestycyjny dotyczący Roblox, gdzie wyłożył wizję metaverse jako głównej tezy uzasadniającej inwestycję.</w:t>
      </w:r>
    </w:p>
    <w:p>
      <w:pPr>
        <w:pStyle w:val="Heading3"/>
      </w:pPr>
      <w:r>
        <w:t xml:space="preserve">9.3. Andrew Chen – General Partner, Consumer/Gaming</w:t>
      </w:r>
    </w:p>
    <w:p>
      <w:pPr>
        <w:spacing w:after="120" w:line="300"/>
        <w:jc w:val="both"/>
      </w:pPr>
      <w:r>
        <w:rPr>
          <w:b/>
          <w:bCs/>
        </w:rPr>
        <w:t xml:space="preserve">Background: </w:t>
      </w:r>
      <w:r>
        <w:t xml:space="preserve">Lider praktyki gamingowej a16z, współzarządzający Games Fund One ($600M, 2022). Bezpośrednio nie poprowadził rundy w Roblox, ale to jego teza „multiplayer game experiences as the next social networks" stanowiła ramę intelektualną dla decyzji a16z o wejściu w sektor gier, w tym w Roblox. Wcześniej szef growth w Uber.</w:t>
      </w:r>
    </w:p>
    <w:p>
      <w:pPr>
        <w:pStyle w:val="Heading3"/>
      </w:pPr>
      <w:r>
        <w:t xml:space="preserve">9.4. Zestawienie źródeł i kluczowe tezy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426"/>
      </w:tblGrid>
      <w:tr>
        <w:tc>
          <w:tcPr>
            <w:tcW w:type="dxa" w:w="8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w:t>
            </w:r>
          </w:p>
        </w:tc>
        <w:tc>
          <w:tcPr>
            <w:tcW w:type="dxa" w:w="24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Źródło / format</w:t>
            </w:r>
          </w:p>
        </w:tc>
        <w:tc>
          <w:tcPr>
            <w:tcW w:type="dxa" w:w="24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Przedstawiciel</w:t>
            </w:r>
          </w:p>
        </w:tc>
        <w:tc>
          <w:tcPr>
            <w:tcW w:type="dxa" w:w="3426"/>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Kluczowa teza relevantna dla case Roblox</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lw7qam7j8cpnhr46i9ecr">
              <w:r>
                <w:rPr>
                  <w:color w:val="0563C1"/>
                  <w:sz w:val="22"/>
                  <w:szCs w:val="22"/>
                  <w:u w:val="single" w:color="0563C1"/>
                </w:rPr>
                <w:t xml:space="preserve">Blog a16z – „Investing in Roblox" (26.02.2020)</w:t>
              </w:r>
            </w:hyperlink>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David George, Marc Andreessen</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Późnostadialny VC pyta „is it working?". Roblox = fundament metaverse: persistent identity, interoperowalność, bezpieczeństwo.</w:t>
            </w:r>
          </w:p>
        </w:tc>
      </w:tr>
      <w:tr>
        <w:tc>
          <w:tcPr>
            <w:tcW w:type="dxa" w:w="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2"/>
                <w:szCs w:val="22"/>
              </w:rPr>
              <w:t xml:space="preserve">2</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hyperlink w:history="1" r:id="rId3ohdpl3w8h6gqv8iwkfxm">
              <w:r>
                <w:rPr>
                  <w:color w:val="0563C1"/>
                  <w:sz w:val="22"/>
                  <w:szCs w:val="22"/>
                  <w:u w:val="single" w:color="0563C1"/>
                </w:rPr>
                <w:t xml:space="preserve">Blog a16z – „Modelbusters" (2025)</w:t>
              </w:r>
            </w:hyperlink>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David George</w:t>
            </w:r>
          </w:p>
        </w:tc>
        <w:tc>
          <w:tcPr>
            <w:tcW w:type="dxa" w:w="3426"/>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Roblox jako modelowy „compounder" – rynek docelowy okazał się wielokrotnie większy niż prognozowały modele analityków. Lekcja: przy platform shifts adopcja jest niedoszacowana.</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seo5hh32z77befqrmobj5">
              <w:r>
                <w:rPr>
                  <w:color w:val="0563C1"/>
                  <w:sz w:val="22"/>
                  <w:szCs w:val="22"/>
                  <w:u w:val="single" w:color="0563C1"/>
                </w:rPr>
                <w:t xml:space="preserve">Podcast a16z I/O – „Frameworks for Late-Stage Investing" (2024)</w:t>
              </w:r>
            </w:hyperlink>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David George (z Tylerem Hogge &amp; Sterlingiem Snowem)</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Trzy frameworki: uniqueness of product + uniqueness of distribution; identifying compounders; backing „commercial killer" founderów. Baszucki jako jeden z trzech wymienionych z imienia.</w:t>
            </w:r>
          </w:p>
        </w:tc>
      </w:tr>
      <w:tr>
        <w:tc>
          <w:tcPr>
            <w:tcW w:type="dxa" w:w="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2"/>
                <w:szCs w:val="22"/>
              </w:rPr>
              <w:t xml:space="preserve">4</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hyperlink w:history="1" r:id="rIdbrgmrjuavhmbibmu-eyua">
              <w:r>
                <w:rPr>
                  <w:color w:val="0563C1"/>
                  <w:sz w:val="22"/>
                  <w:szCs w:val="22"/>
                  <w:u w:val="single" w:color="0563C1"/>
                </w:rPr>
                <w:t xml:space="preserve">Podcast 20VC (Harry Stebbings) – odc. z Davidem George (2021)</w:t>
              </w:r>
            </w:hyperlink>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David George</w:t>
            </w:r>
          </w:p>
        </w:tc>
        <w:tc>
          <w:tcPr>
            <w:tcW w:type="dxa" w:w="3426"/>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Filozofia growth investing w a16z, „single trigger-puller model" – pojedynczy partner ma decyzyjność, co przekłada się na większą conviction w inwestycjach takich jak Roblox.</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o_jwivvlgvqok74z8v9j4">
              <w:r>
                <w:rPr>
                  <w:color w:val="0563C1"/>
                  <w:sz w:val="22"/>
                  <w:szCs w:val="22"/>
                  <w:u w:val="single" w:color="0563C1"/>
                </w:rPr>
                <w:t xml:space="preserve">Bloomberg Odd Lots – „When Giants Don't Go Public" (luty 2026)</w:t>
              </w:r>
            </w:hyperlink>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David George (z Joe Weisenthalem i Tracy Alloway)</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 bln kapitalizacji tech siedzi w private markets – rosnąca rola tender offers i secondaries (jak $350M tender offer towarzyszący rundzie G Roblox).</w:t>
            </w:r>
          </w:p>
        </w:tc>
      </w:tr>
      <w:tr>
        <w:tc>
          <w:tcPr>
            <w:tcW w:type="dxa" w:w="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2"/>
                <w:szCs w:val="22"/>
              </w:rPr>
              <w:t xml:space="preserve">6</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hyperlink w:history="1" r:id="rIdmjen3aupmfkgkmwgp3m6r">
              <w:r>
                <w:rPr>
                  <w:color w:val="0563C1"/>
                  <w:sz w:val="22"/>
                  <w:szCs w:val="22"/>
                  <w:u w:val="single" w:color="0563C1"/>
                </w:rPr>
                <w:t xml:space="preserve">VentureBeat – „Why Andreessen Horowitz is investing in games" (2020)</w:t>
              </w:r>
            </w:hyperlink>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Andrew Chen</w:t>
            </w:r>
          </w:p>
        </w:tc>
        <w:tc>
          <w:tcPr>
            <w:tcW w:type="dxa" w:w="3426"/>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val="false"/>
                <w:bCs w:val="false"/>
                <w:sz w:val="22"/>
                <w:szCs w:val="22"/>
              </w:rPr>
              <w:t xml:space="preserve">Teza a16z dot. gier: UGC + moddable platforms + persistent identity. Wprost wymienia Roblox jako case potwierdzający tezę.</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kxtyfyyggtg0adugn36lh">
              <w:r>
                <w:rPr>
                  <w:color w:val="0563C1"/>
                  <w:sz w:val="22"/>
                  <w:szCs w:val="22"/>
                  <w:u w:val="single" w:color="0563C1"/>
                </w:rPr>
                <w:t xml:space="preserve">Wywiad video Andrew Chen z Markiem Andreessenem (2024)</w:t>
              </w:r>
            </w:hyperlink>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Marc Andreessen</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Osobista relacja z gamingiem (gry z synem w Roblox, Minecraft); uzasadnienie utworzenia Games Fund One; teza o przejściu gier z hit-driven entertainment do long-term platforms.</w:t>
            </w:r>
          </w:p>
        </w:tc>
      </w:tr>
    </w:tbl>
    <w:p>
      <w:pPr>
        <w:spacing w:after="120"/>
      </w:pPr>
      <w:r>
        <w:t xml:space="preserve"/>
      </w:r>
    </w:p>
    <w:p>
      <w:pPr>
        <w:pStyle w:val="Heading3"/>
      </w:pPr>
      <w:r>
        <w:t xml:space="preserve">9.5. Wnioski z analizy materiałów</w:t>
      </w:r>
    </w:p>
    <w:p>
      <w:pPr>
        <w:spacing w:after="120" w:line="300"/>
        <w:jc w:val="both"/>
      </w:pPr>
      <w:r>
        <w:t xml:space="preserve">Analiza wystąpień przedstawicieli a16z prowadzi do kilku wniosków istotnych dla oceny inwestycji w Roblox:</w:t>
      </w:r>
    </w:p>
    <w:p>
      <w:pPr>
        <w:pStyle w:val="ListParagraph"/>
        <w:numPr>
          <w:ilvl w:val="0"/>
          <w:numId w:val="2"/>
        </w:numPr>
        <w:spacing w:after="80" w:line="280"/>
      </w:pPr>
      <w:r>
        <w:rPr>
          <w:b/>
          <w:bCs/>
        </w:rPr>
        <w:t xml:space="preserve">Spójność tezy w czasie</w:t>
      </w:r>
      <w:r>
        <w:t xml:space="preserve"> – stanowiska a16z dot. Roblox, UGC i metaverse są niezmiennie powtarzane od 2020 r. (blog inwestycyjny) przez 2022 (Games Fund One), aż po 2025 r. (Modelbusters). Brak retoryki „pivot" mimo bessy w 2022 r. wskazuje na realną convicition, a nie taktyczne marketingowe sloganowanie.</w:t>
      </w:r>
    </w:p>
    <w:p>
      <w:pPr>
        <w:pStyle w:val="ListParagraph"/>
        <w:numPr>
          <w:ilvl w:val="0"/>
          <w:numId w:val="2"/>
        </w:numPr>
        <w:spacing w:after="80" w:line="280"/>
      </w:pPr>
      <w:r>
        <w:rPr>
          <w:b/>
          <w:bCs/>
        </w:rPr>
        <w:t xml:space="preserve">Personalna relacja George – Baszucki</w:t>
      </w:r>
      <w:r>
        <w:t xml:space="preserve"> – George w podcaście I/O publicznie określa Baszuckiego jako „commercial killer" i „mission-driven". Ten typ bezpośredniej, długoterminowej relacji jest charakterystyczny dla strategii a16z i tłumaczy, dlaczego fundusz preferuje wchodzić do spółek, w których założyciel zostaje na pokładzie.</w:t>
      </w:r>
    </w:p>
    <w:p>
      <w:pPr>
        <w:pStyle w:val="ListParagraph"/>
        <w:numPr>
          <w:ilvl w:val="0"/>
          <w:numId w:val="2"/>
        </w:numPr>
        <w:spacing w:after="80" w:line="280"/>
      </w:pPr>
      <w:r>
        <w:rPr>
          <w:b/>
          <w:bCs/>
        </w:rPr>
        <w:t xml:space="preserve">Otwartość komunikacyjna jako element value-add</w:t>
      </w:r>
      <w:r>
        <w:t xml:space="preserve"> – publiczne pozycjonowanie Roblox przez Andreessena i George'a w mediach branżowych (CNBC, Bloomberg, VentureBeat, podcasty) wpłynęło na percepcję narracji metaverse i prawdopodobnie na wycenę pre-listing. To jeden z najbardziej wymiernych elementów wsparcia post-investment a16z.</w:t>
      </w:r>
    </w:p>
    <w:p>
      <w:pPr>
        <w:pStyle w:val="ListParagraph"/>
        <w:numPr>
          <w:ilvl w:val="0"/>
          <w:numId w:val="2"/>
        </w:numPr>
        <w:spacing w:after="80" w:line="280"/>
      </w:pPr>
      <w:r>
        <w:rPr>
          <w:b/>
          <w:bCs/>
        </w:rPr>
        <w:t xml:space="preserve">Slabość: brak komunikacji w trudnych momentach</w:t>
      </w:r>
      <w:r>
        <w:t xml:space="preserve"> – po korekcie kursu Roblox w 2022 r. (-65%) a16z nie publikował materiałów reasekuracyjnych ani komentarzy. Komunikacja jest asymetryczna – mocna w okresach wzrostu, milcząca w okresach spadku.</w:t>
      </w:r>
    </w:p>
    <w:p>
      <w:pPr>
        <w:pStyle w:val="ListParagraph"/>
        <w:numPr>
          <w:ilvl w:val="0"/>
          <w:numId w:val="2"/>
        </w:numPr>
        <w:spacing w:after="80" w:line="280"/>
      </w:pPr>
      <w:r>
        <w:rPr>
          <w:b/>
          <w:bCs/>
        </w:rPr>
        <w:t xml:space="preserve">Konsekwentne ramy intelektualne</w:t>
      </w:r>
      <w:r>
        <w:t xml:space="preserve"> – wszyscy trzej przedstawiciele (George, Andreessen, Chen) używają tych samych ram analitycznych (network effects, persistent identity, UGC, compounders), co świadczy o silnej kulturze instytucjonalnej a16z i jakości procesu inwestycyjnego.</w:t>
      </w:r>
    </w:p>
    <w:p>
      <w:pPr>
        <w:pStyle w:val="Heading2"/>
      </w:pPr>
      <w:r>
        <w:t xml:space="preserve">Źródła</w:t>
      </w:r>
    </w:p>
    <w:p>
      <w:pPr>
        <w:pStyle w:val="ListParagraph"/>
        <w:numPr>
          <w:ilvl w:val="0"/>
          <w:numId w:val="2"/>
        </w:numPr>
        <w:spacing w:after="80" w:line="280"/>
      </w:pPr>
      <w:r>
        <w:t xml:space="preserve"/>
      </w:r>
      <w:hyperlink w:history="1" r:id="rId90evzbitz2zdwkxreho5a">
        <w:r>
          <w:rPr>
            <w:color w:val="0563C1"/>
            <w:u w:val="single" w:color="0563C1"/>
          </w:rPr>
          <w:t xml:space="preserve">Roblox IR – „Roblox Raises $150M in Series G Financing, Led by Andreessen Horowitz" (26.02.2020)</w:t>
        </w:r>
      </w:hyperlink>
      <w:r>
        <w:t xml:space="preserve"/>
      </w:r>
    </w:p>
    <w:p>
      <w:pPr>
        <w:pStyle w:val="ListParagraph"/>
        <w:numPr>
          <w:ilvl w:val="0"/>
          <w:numId w:val="2"/>
        </w:numPr>
        <w:spacing w:after="80" w:line="280"/>
      </w:pPr>
      <w:r>
        <w:t xml:space="preserve"/>
      </w:r>
      <w:hyperlink w:history="1" r:id="rId7jvu35qkbpqemtxwgfsmg">
        <w:r>
          <w:rPr>
            <w:color w:val="0563C1"/>
            <w:u w:val="single" w:color="0563C1"/>
          </w:rPr>
          <w:t xml:space="preserve">a16z – „Investing in Roblox" (David George, Marc Andreessen, blog a16z.com, 2020)</w:t>
        </w:r>
      </w:hyperlink>
      <w:r>
        <w:t xml:space="preserve"/>
      </w:r>
    </w:p>
    <w:p>
      <w:pPr>
        <w:pStyle w:val="ListParagraph"/>
        <w:numPr>
          <w:ilvl w:val="0"/>
          <w:numId w:val="2"/>
        </w:numPr>
        <w:spacing w:after="80" w:line="280"/>
      </w:pPr>
      <w:r>
        <w:t xml:space="preserve"/>
      </w:r>
      <w:hyperlink w:history="1" r:id="rIdsvwbpziq9se1uybeiu_jq">
        <w:r>
          <w:rPr>
            <w:color w:val="0563C1"/>
            <w:u w:val="single" w:color="0563C1"/>
          </w:rPr>
          <w:t xml:space="preserve">a16z – „Modelbusters" (David George, a16z.com, 2025)</w:t>
        </w:r>
      </w:hyperlink>
      <w:r>
        <w:t xml:space="preserve"/>
      </w:r>
    </w:p>
    <w:p>
      <w:pPr>
        <w:pStyle w:val="ListParagraph"/>
        <w:numPr>
          <w:ilvl w:val="0"/>
          <w:numId w:val="2"/>
        </w:numPr>
        <w:spacing w:after="80" w:line="280"/>
      </w:pPr>
      <w:r>
        <w:t xml:space="preserve"/>
      </w:r>
      <w:hyperlink w:history="1" r:id="rId2gfcorruzbqd4tu6hnag3">
        <w:r>
          <w:rPr>
            <w:color w:val="0563C1"/>
            <w:u w:val="single" w:color="0563C1"/>
          </w:rPr>
          <w:t xml:space="preserve">a16z Podcast / I/O – „a16z Growth's David George on His Frameworks for Late-Stage Investing" (2024)</w:t>
        </w:r>
      </w:hyperlink>
      <w:r>
        <w:t xml:space="preserve"/>
      </w:r>
    </w:p>
    <w:p>
      <w:pPr>
        <w:pStyle w:val="ListParagraph"/>
        <w:numPr>
          <w:ilvl w:val="0"/>
          <w:numId w:val="2"/>
        </w:numPr>
        <w:spacing w:after="80" w:line="280"/>
      </w:pPr>
      <w:r>
        <w:t xml:space="preserve"/>
      </w:r>
      <w:hyperlink w:history="1" r:id="rIdg-e08kesgd1mkxeyld1lx">
        <w:r>
          <w:rPr>
            <w:color w:val="0563C1"/>
            <w:u w:val="single" w:color="0563C1"/>
          </w:rPr>
          <w:t xml:space="preserve">20VC Podcast (Harry Stebbings) – odcinek z Davidem George, „On Leading a16z's Growth Fund" (2021)</w:t>
        </w:r>
      </w:hyperlink>
      <w:r>
        <w:t xml:space="preserve"/>
      </w:r>
    </w:p>
    <w:p>
      <w:pPr>
        <w:pStyle w:val="ListParagraph"/>
        <w:numPr>
          <w:ilvl w:val="0"/>
          <w:numId w:val="2"/>
        </w:numPr>
        <w:spacing w:after="80" w:line="280"/>
      </w:pPr>
      <w:r>
        <w:t xml:space="preserve"/>
      </w:r>
      <w:hyperlink w:history="1" r:id="rIdl4wfavsw-mgsbz3zwx_gp">
        <w:r>
          <w:rPr>
            <w:color w:val="0563C1"/>
            <w:u w:val="single" w:color="0563C1"/>
          </w:rPr>
          <w:t xml:space="preserve">Bloomberg Odd Lots – „A16z's David George on How Private and Public Markets Fused Into One" / „When Giants Don't Go Public" (luty 2026)</w:t>
        </w:r>
      </w:hyperlink>
      <w:r>
        <w:t xml:space="preserve"/>
      </w:r>
    </w:p>
    <w:p>
      <w:pPr>
        <w:pStyle w:val="ListParagraph"/>
        <w:numPr>
          <w:ilvl w:val="0"/>
          <w:numId w:val="2"/>
        </w:numPr>
        <w:spacing w:after="80" w:line="280"/>
      </w:pPr>
      <w:r>
        <w:t xml:space="preserve"/>
      </w:r>
      <w:hyperlink w:history="1" r:id="rIdis9pm9lugkzoaxqx127bg">
        <w:r>
          <w:rPr>
            <w:color w:val="0563C1"/>
            <w:u w:val="single" w:color="0563C1"/>
          </w:rPr>
          <w:t xml:space="preserve">VentureBeat / GamesBeat – „Why Andreessen Horowitz is investing in games" (wywiad z Andrew Chenem, 2020)</w:t>
        </w:r>
      </w:hyperlink>
      <w:r>
        <w:t xml:space="preserve"/>
      </w:r>
    </w:p>
    <w:p>
      <w:pPr>
        <w:pStyle w:val="ListParagraph"/>
        <w:numPr>
          <w:ilvl w:val="0"/>
          <w:numId w:val="2"/>
        </w:numPr>
        <w:spacing w:after="80" w:line="280"/>
      </w:pPr>
      <w:r>
        <w:t xml:space="preserve"/>
      </w:r>
      <w:hyperlink w:history="1" r:id="rIdhaa4ycprcgsonnzjzab_c">
        <w:r>
          <w:rPr>
            <w:color w:val="0563C1"/>
            <w:u w:val="single" w:color="0563C1"/>
          </w:rPr>
          <w:t xml:space="preserve">Andrew Chen Substack / video – wywiad z Markiem Andreessenem o gamingu i metaverse (2024)</w:t>
        </w:r>
      </w:hyperlink>
      <w:r>
        <w:t xml:space="preserve"/>
      </w:r>
    </w:p>
    <w:p>
      <w:pPr>
        <w:pStyle w:val="ListParagraph"/>
        <w:numPr>
          <w:ilvl w:val="0"/>
          <w:numId w:val="2"/>
        </w:numPr>
        <w:spacing w:after="80" w:line="280"/>
      </w:pPr>
      <w:r>
        <w:t xml:space="preserve"/>
      </w:r>
      <w:hyperlink w:history="1" r:id="rId3qnd5n3tiwpz5j0vypfjc">
        <w:r>
          <w:rPr>
            <w:color w:val="0563C1"/>
            <w:u w:val="single" w:color="0563C1"/>
          </w:rPr>
          <w:t xml:space="preserve">TechCrunch – „Roblox raises $150M Series G, led by Andreessen Horowitz, now valued at $4B" (26.02.2020)</w:t>
        </w:r>
      </w:hyperlink>
      <w:r>
        <w:t xml:space="preserve"/>
      </w:r>
    </w:p>
    <w:p>
      <w:pPr>
        <w:pStyle w:val="ListParagraph"/>
        <w:numPr>
          <w:ilvl w:val="0"/>
          <w:numId w:val="2"/>
        </w:numPr>
        <w:spacing w:after="80" w:line="280"/>
      </w:pPr>
      <w:r>
        <w:t xml:space="preserve"/>
      </w:r>
      <w:hyperlink w:history="1" r:id="rIdaesyiiquxraunfukavee9">
        <w:r>
          <w:rPr>
            <w:color w:val="0563C1"/>
            <w:u w:val="single" w:color="0563C1"/>
          </w:rPr>
          <w:t xml:space="preserve">TechCrunch – „Roblox raises at $29.5 billion valuation, readies for direct listing" (07.01.2021)</w:t>
        </w:r>
      </w:hyperlink>
      <w:r>
        <w:t xml:space="preserve"/>
      </w:r>
    </w:p>
    <w:p>
      <w:pPr>
        <w:pStyle w:val="ListParagraph"/>
        <w:numPr>
          <w:ilvl w:val="0"/>
          <w:numId w:val="2"/>
        </w:numPr>
        <w:spacing w:after="80" w:line="280"/>
      </w:pPr>
      <w:r>
        <w:t xml:space="preserve"/>
      </w:r>
      <w:hyperlink w:history="1" r:id="rIdf4in_ouxhlzj1dkx6hfvd">
        <w:r>
          <w:rPr>
            <w:color w:val="0563C1"/>
            <w:u w:val="single" w:color="0563C1"/>
          </w:rPr>
          <w:t xml:space="preserve">PitchBook – „Roblox valued at $45.3B in record-setting direct listing" (10.03.2021)</w:t>
        </w:r>
      </w:hyperlink>
      <w:r>
        <w:t xml:space="preserve"/>
      </w:r>
    </w:p>
    <w:p>
      <w:pPr>
        <w:pStyle w:val="ListParagraph"/>
        <w:numPr>
          <w:ilvl w:val="0"/>
          <w:numId w:val="2"/>
        </w:numPr>
        <w:spacing w:after="80" w:line="280"/>
      </w:pPr>
      <w:r>
        <w:t xml:space="preserve"/>
      </w:r>
      <w:hyperlink w:history="1" r:id="rId9cqamb5_xrmcionp5guml">
        <w:r>
          <w:rPr>
            <w:color w:val="0563C1"/>
            <w:u w:val="single" w:color="0563C1"/>
          </w:rPr>
          <w:t xml:space="preserve">InvestGame – „Roblox Goes Public Through Direct Listing" (marzec 2021)</w:t>
        </w:r>
      </w:hyperlink>
      <w:r>
        <w:t xml:space="preserve"/>
      </w:r>
    </w:p>
    <w:p>
      <w:pPr>
        <w:pStyle w:val="ListParagraph"/>
        <w:numPr>
          <w:ilvl w:val="0"/>
          <w:numId w:val="2"/>
        </w:numPr>
        <w:spacing w:after="80" w:line="280"/>
      </w:pPr>
      <w:r>
        <w:t xml:space="preserve"/>
      </w:r>
      <w:hyperlink w:history="1" r:id="rIdo4t2_lrmz4teq1qtxtb_f">
        <w:r>
          <w:rPr>
            <w:color w:val="0563C1"/>
            <w:u w:val="single" w:color="0563C1"/>
          </w:rPr>
          <w:t xml:space="preserve">Crunchbase News – „Roblox Building A Busier Platform With $150M Series G" (luty 2020)</w:t>
        </w:r>
      </w:hyperlink>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2761"/>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65F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w7qam7j8cpnhr46i9ecr" Type="http://schemas.openxmlformats.org/officeDocument/2006/relationships/hyperlink" Target="https://a16z.com/announcement/investing-in-roblox/" TargetMode="External"/><Relationship Id="rId3ohdpl3w8h6gqv8iwkfxm" Type="http://schemas.openxmlformats.org/officeDocument/2006/relationships/hyperlink" Target="https://a16z.com/modelbusters/" TargetMode="External"/><Relationship Id="rIdseo5hh32z77befqrmobj5" Type="http://schemas.openxmlformats.org/officeDocument/2006/relationships/hyperlink" Target="https://a16z.com/podcast/a16z-frameworks-late-stage-investing/" TargetMode="External"/><Relationship Id="rIdbrgmrjuavhmbibmu-eyua" Type="http://schemas.openxmlformats.org/officeDocument/2006/relationships/hyperlink" Target="https://open.spotify.com/episode/5rkCPAnmqPoRmM2zWaIzFu" TargetMode="External"/><Relationship Id="rIdo_jwivvlgvqok74z8v9j4" Type="http://schemas.openxmlformats.org/officeDocument/2006/relationships/hyperlink" Target="https://www.bloomberg.com/news/articles/2026-02-20/a16z-s-david-george-on-how-private-and-public-markets-fused-into-one" TargetMode="External"/><Relationship Id="rIdmjen3aupmfkgkmwgp3m6r" Type="http://schemas.openxmlformats.org/officeDocument/2006/relationships/hyperlink" Target="https://venturebeat.com/games/why-andreessen-horowitz-is-investing-in-games/" TargetMode="External"/><Relationship Id="rIdkxtyfyyggtg0adugn36lh" Type="http://schemas.openxmlformats.org/officeDocument/2006/relationships/hyperlink" Target="https://andrewchen.substack.com/p/marc-andreessen-on-alpha-nerds-moral" TargetMode="External"/><Relationship Id="rId90evzbitz2zdwkxreho5a" Type="http://schemas.openxmlformats.org/officeDocument/2006/relationships/hyperlink" Target="https://ir.roblox.com/news/news-details/2020/Roblox-Raises-150M-in-Series-G-Financing-Led-by-Andreessen-Horowitz/default.aspx" TargetMode="External"/><Relationship Id="rId7jvu35qkbpqemtxwgfsmg" Type="http://schemas.openxmlformats.org/officeDocument/2006/relationships/hyperlink" Target="https://a16z.com/announcement/investing-in-roblox/" TargetMode="External"/><Relationship Id="rIdsvwbpziq9se1uybeiu_jq" Type="http://schemas.openxmlformats.org/officeDocument/2006/relationships/hyperlink" Target="https://a16z.com/modelbusters/" TargetMode="External"/><Relationship Id="rId2gfcorruzbqd4tu6hnag3" Type="http://schemas.openxmlformats.org/officeDocument/2006/relationships/hyperlink" Target="https://a16z.com/podcast/a16z-frameworks-late-stage-investing/" TargetMode="External"/><Relationship Id="rIdg-e08kesgd1mkxeyld1lx" Type="http://schemas.openxmlformats.org/officeDocument/2006/relationships/hyperlink" Target="https://open.spotify.com/episode/5rkCPAnmqPoRmM2zWaIzFu" TargetMode="External"/><Relationship Id="rIdl4wfavsw-mgsbz3zwx_gp" Type="http://schemas.openxmlformats.org/officeDocument/2006/relationships/hyperlink" Target="https://www.bloomberg.com/news/articles/2026-02-20/a16z-s-david-george-on-how-private-and-public-markets-fused-into-one" TargetMode="External"/><Relationship Id="rIdis9pm9lugkzoaxqx127bg" Type="http://schemas.openxmlformats.org/officeDocument/2006/relationships/hyperlink" Target="https://venturebeat.com/games/why-andreessen-horowitz-is-investing-in-games/" TargetMode="External"/><Relationship Id="rIdhaa4ycprcgsonnzjzab_c" Type="http://schemas.openxmlformats.org/officeDocument/2006/relationships/hyperlink" Target="https://andrewchen.substack.com/p/marc-andreessen-on-alpha-nerds-moral" TargetMode="External"/><Relationship Id="rId3qnd5n3tiwpz5j0vypfjc" Type="http://schemas.openxmlformats.org/officeDocument/2006/relationships/hyperlink" Target="https://techcrunch.com/2020/02/26/roblox-raises-150m-series-g-led-by-andreessen-horowitz-now-valued-at-4b/" TargetMode="External"/><Relationship Id="rIdaesyiiquxraunfukavee9" Type="http://schemas.openxmlformats.org/officeDocument/2006/relationships/hyperlink" Target="https://techcrunch.com/2021/01/07/robloxs-raises-at-29-5-billion-valuation-as-it-readies-for-direct-listing/" TargetMode="External"/><Relationship Id="rIdf4in_ouxhlzj1dkx6hfvd" Type="http://schemas.openxmlformats.org/officeDocument/2006/relationships/hyperlink" Target="https://pitchbook.com/news/articles/roblox-gaming-direct-listing-valuation" TargetMode="External"/><Relationship Id="rId9cqamb5_xrmcionp5guml" Type="http://schemas.openxmlformats.org/officeDocument/2006/relationships/hyperlink" Target="https://investgame.net/news/roblox-raised-520m-ahead-of-direct-listing/" TargetMode="External"/><Relationship Id="rIdo4t2_lrmz4teq1qtxtb_f" Type="http://schemas.openxmlformats.org/officeDocument/2006/relationships/hyperlink" Target="https://news.crunchbase.com/venture/roblox-building-a-busier-platform-with-150m-series-g-andreessen-horowitz-led-round/"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2026-05-11T12:40:35.651Z</dcterms:created>
  <dcterms:modified xsi:type="dcterms:W3CDTF">2026-05-11T12:40:35.670Z</dcterms:modified>
</cp:coreProperties>
</file>

<file path=docProps/custom.xml><?xml version="1.0" encoding="utf-8"?>
<Properties xmlns="http://schemas.openxmlformats.org/officeDocument/2006/custom-properties" xmlns:vt="http://schemas.openxmlformats.org/officeDocument/2006/docPropsVTypes"/>
</file>