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</w:rPr>
        <w:t>Fundusze Venture Capital i Private Equity – Wariant B</w:t>
      </w:r>
    </w:p>
    <w:p>
      <w:pPr>
        <w:jc w:val="center"/>
      </w:pPr>
      <w:r>
        <w:rPr>
          <w:b/>
        </w:rPr>
        <w:t>Andreessen Horowitz (a16z)</w:t>
      </w:r>
    </w:p>
    <w:p>
      <w:r>
        <w:rPr>
          <w:b/>
        </w:rPr>
        <w:t>Case study: Inwestycja a16z w GitHub Inc. – podsumowanie</w:t>
      </w:r>
    </w:p>
    <w:p>
      <w:pPr>
        <w:pStyle w:val="Heading1"/>
      </w:pPr>
      <w:r>
        <w:t>Wnioski</w:t>
      </w:r>
    </w:p>
    <w:p>
      <w:pPr>
        <w:jc w:val="both"/>
      </w:pPr>
      <w:r>
        <w:t>Inwestycja a16z w GitHub (Series A, lipiec 2012, 100 mln USD przy wycenie 750 mln USD) jest modelowym przykładem wczesnostadialnej strategii funduszu: wejście jako jedyny inwestor z dużym czekiem w spółkę będącą infrastrukturą krytyczną dla globalnego procesu wytwarzania oprogramowania, lewarowanie sieci operacyjnej a16z (rekrutacja kadry enterprise, strategia go-to-market, doradztwo boardowe) oraz konsekwentne pozycjonowanie GitHub w publicznym dyskursie jako „sieci społecznościowej programistów”. Peter Levine prowadził transakcję i pełnił rolę board membera przez cały okres holdowania – od Series A (2012) przez follow-on w Series B (lipiec 2015, 250 mln USD, Sequoia Capital lead) aż do przejęcia przez Microsoft (październik 2018).</w:t>
      </w:r>
    </w:p>
    <w:p>
      <w:pPr>
        <w:jc w:val="both"/>
      </w:pPr>
      <w:r>
        <w:t>Z perspektywy księgowej inwestycja przyniosła a16z spektakularny zwrot: w momencie przejęcia przez Microsoft (czerwiec 2018, 7,5 mld USD w akcjach MSFT) fundusz posiadał udział o szacunkowej wartości ok. 1 mld USD – ok. 10-krotny mnożnik na 100 mln USD zainwestowanego kapitału w Series A w ciągu 6 lat. GitHub był jednym z głównych driverów wyników Fund III a16z (Net TVPI ok. 11,3× wg danych z 2025 r.), obok Coinbase, Pinterest, Databricks i Lyft. Przejęcie przez Microsoft – sam w sobie jednego z największych nabywców oprogramowania na świecie – stanowiło walidację strategicznego znaczenia platformy i tezy inwestycyjnej Petera Levine o narzędziach deweloperskich jako infrastrukturze krytycznej.</w:t>
      </w:r>
    </w:p>
    <w:p>
      <w:pPr>
        <w:jc w:val="both"/>
      </w:pPr>
      <w:r>
        <w:t>Case GitHub pokazuje zarówno siłę, jak i specyficzne ograniczenia modelu wczesnostadialnego venture w sektorze developer tools. Strategia a16z zadziałała znakomicie na etapie transformacji GitHub z platformy community-driven w przedsiębiorstwo enterprise-grade, a cierpliwość inwestycyjna (6 lat bez presji na przedwczesne wyjście) pozwoliła na pełną realizację potencjału. Słabością strategii był ograniczony wpływ na tranzycję CEO w 2014 roku (kontrowersyjna rezygnacja Toma Prestona-Wernera) oraz brak możliwości wymuszenia szybszego tempa monetyzacji enterprise. Wniosek dla strategii a16z: w sektorze infrastruktury deweloperskiej kluczową kompetencją jest nie timing wejścia (tu trafny), lecz cierpliwość – organiczny wzrost platformy z silnymi efektami sieciowymi generuje wartość wolniej, ale trwalej niż marketplace’y konsumenckie.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