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3C95" w14:textId="77777777" w:rsidR="00A1307C" w:rsidRDefault="00000000">
      <w:pPr>
        <w:jc w:val="center"/>
      </w:pPr>
      <w:r>
        <w:rPr>
          <w:i/>
        </w:rPr>
        <w:t>Fundusze Venture Capital i Private Equity – Wariant B</w:t>
      </w:r>
    </w:p>
    <w:p w14:paraId="76C8F7A4" w14:textId="77777777" w:rsidR="00A1307C" w:rsidRPr="00205573" w:rsidRDefault="00000000">
      <w:pPr>
        <w:jc w:val="center"/>
        <w:rPr>
          <w:lang w:val="pl-PL"/>
        </w:rPr>
      </w:pPr>
      <w:proofErr w:type="spellStart"/>
      <w:r w:rsidRPr="00205573">
        <w:rPr>
          <w:i/>
          <w:lang w:val="pl-PL"/>
        </w:rPr>
        <w:t>Andreessen</w:t>
      </w:r>
      <w:proofErr w:type="spellEnd"/>
      <w:r w:rsidRPr="00205573">
        <w:rPr>
          <w:i/>
          <w:lang w:val="pl-PL"/>
        </w:rPr>
        <w:t xml:space="preserve"> Horowitz (a16z)</w:t>
      </w:r>
    </w:p>
    <w:p w14:paraId="16D154C7" w14:textId="77777777" w:rsidR="00A1307C" w:rsidRPr="00205573" w:rsidRDefault="00000000">
      <w:pPr>
        <w:pStyle w:val="Title"/>
        <w:jc w:val="center"/>
        <w:rPr>
          <w:lang w:val="pl-PL"/>
        </w:rPr>
      </w:pPr>
      <w:r w:rsidRPr="00205573">
        <w:rPr>
          <w:lang w:val="pl-PL"/>
        </w:rPr>
        <w:t xml:space="preserve">Case </w:t>
      </w:r>
      <w:proofErr w:type="spellStart"/>
      <w:r w:rsidRPr="00205573">
        <w:rPr>
          <w:lang w:val="pl-PL"/>
        </w:rPr>
        <w:t>study</w:t>
      </w:r>
      <w:proofErr w:type="spellEnd"/>
      <w:r w:rsidRPr="00205573">
        <w:rPr>
          <w:lang w:val="pl-PL"/>
        </w:rPr>
        <w:t xml:space="preserve">: Inwestycja a16z w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Corporation</w:t>
      </w:r>
    </w:p>
    <w:p w14:paraId="77AE160E" w14:textId="77777777" w:rsidR="00A1307C" w:rsidRPr="00205573" w:rsidRDefault="00000000">
      <w:pPr>
        <w:pStyle w:val="Heading2"/>
        <w:rPr>
          <w:lang w:val="pl-PL"/>
        </w:rPr>
      </w:pPr>
      <w:r w:rsidRPr="00205573">
        <w:rPr>
          <w:lang w:val="pl-PL"/>
        </w:rPr>
        <w:t>1. Tło i charakterystyka spółki</w:t>
      </w:r>
    </w:p>
    <w:p w14:paraId="6C910707" w14:textId="77777777" w:rsidR="00A1307C" w:rsidRPr="00205573" w:rsidRDefault="00000000">
      <w:pPr>
        <w:rPr>
          <w:lang w:val="pl-PL"/>
        </w:rPr>
      </w:pPr>
      <w:proofErr w:type="spellStart"/>
      <w:r w:rsidRPr="00205573">
        <w:rPr>
          <w:b/>
          <w:lang w:val="pl-PL"/>
        </w:rPr>
        <w:t>Roblox</w:t>
      </w:r>
      <w:proofErr w:type="spellEnd"/>
      <w:r w:rsidRPr="00205573">
        <w:rPr>
          <w:b/>
          <w:lang w:val="pl-PL"/>
        </w:rPr>
        <w:t xml:space="preserve"> Corporation</w:t>
      </w:r>
      <w:r w:rsidRPr="00205573">
        <w:rPr>
          <w:lang w:val="pl-PL"/>
        </w:rPr>
        <w:t xml:space="preserve"> to amerykańska spółka założona w 2004 r. przez Davida </w:t>
      </w:r>
      <w:proofErr w:type="spellStart"/>
      <w:r w:rsidRPr="00205573">
        <w:rPr>
          <w:lang w:val="pl-PL"/>
        </w:rPr>
        <w:t>Baszuckiego</w:t>
      </w:r>
      <w:proofErr w:type="spellEnd"/>
      <w:r w:rsidRPr="00205573">
        <w:rPr>
          <w:lang w:val="pl-PL"/>
        </w:rPr>
        <w:t xml:space="preserve"> i Erika </w:t>
      </w:r>
      <w:proofErr w:type="spellStart"/>
      <w:r w:rsidRPr="00205573">
        <w:rPr>
          <w:lang w:val="pl-PL"/>
        </w:rPr>
        <w:t>Cassela</w:t>
      </w:r>
      <w:proofErr w:type="spellEnd"/>
      <w:r w:rsidRPr="00205573">
        <w:rPr>
          <w:lang w:val="pl-PL"/>
        </w:rPr>
        <w:t xml:space="preserve"> z siedzibą w San Mateo (Kalifornia).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prowadzi globalną platformę gier online, na której to sami użytkownicy tworzą doświadczenia (gry, światy, wydarzenia) udostępniane innym graczom. Spółka zarabia na sprzedaży wewnętrznej waluty „</w:t>
      </w:r>
      <w:proofErr w:type="spellStart"/>
      <w:r w:rsidRPr="00205573">
        <w:rPr>
          <w:lang w:val="pl-PL"/>
        </w:rPr>
        <w:t>Robux</w:t>
      </w:r>
      <w:proofErr w:type="spellEnd"/>
      <w:r w:rsidRPr="00205573">
        <w:rPr>
          <w:lang w:val="pl-PL"/>
        </w:rPr>
        <w:t>”, którą gracze wymieniają na wirtualne dobra i przedmioty w grze, a twórcy mogą wypłacać jako realne pieniądze.</w:t>
      </w:r>
    </w:p>
    <w:p w14:paraId="12C77F9F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W momencie inwestycji a16z (luty 2020) platforma miała </w:t>
      </w:r>
      <w:r w:rsidRPr="00205573">
        <w:rPr>
          <w:b/>
          <w:lang w:val="pl-PL"/>
        </w:rPr>
        <w:t>115 milionów graczy miesięcznie</w:t>
      </w:r>
      <w:r w:rsidRPr="00205573">
        <w:rPr>
          <w:lang w:val="pl-PL"/>
        </w:rPr>
        <w:t xml:space="preserve">, głównie z pokolenia Z, a spółka była już </w:t>
      </w:r>
      <w:proofErr w:type="spellStart"/>
      <w:r w:rsidRPr="00205573">
        <w:rPr>
          <w:lang w:val="pl-PL"/>
        </w:rPr>
        <w:t>cash-flow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positive</w:t>
      </w:r>
      <w:proofErr w:type="spellEnd"/>
      <w:r w:rsidRPr="00205573">
        <w:rPr>
          <w:lang w:val="pl-PL"/>
        </w:rPr>
        <w:t>. W ciągu 12 miesięcy od inwestycji liczba dziennych aktywnych użytkowników (DAU) skoczyła z ok. 17,6 mln do ponad 31 mln, a przychody w 2020 r. osiągnęły 923,9 mln USD.</w:t>
      </w:r>
    </w:p>
    <w:p w14:paraId="0A77B5C8" w14:textId="77777777" w:rsidR="00A1307C" w:rsidRDefault="00000000">
      <w:pPr>
        <w:pStyle w:val="Heading2"/>
      </w:pPr>
      <w:r>
        <w:t>2. Parametry transakcji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1307C" w14:paraId="2FB27605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D8563EB" w14:textId="77777777" w:rsidR="00A1307C" w:rsidRDefault="00000000">
            <w:r>
              <w:rPr>
                <w:b/>
              </w:rPr>
              <w:t>Parametr</w:t>
            </w:r>
          </w:p>
        </w:tc>
        <w:tc>
          <w:tcPr>
            <w:tcW w:w="4968" w:type="dxa"/>
            <w:shd w:val="clear" w:color="auto" w:fill="D9EAF7"/>
          </w:tcPr>
          <w:p w14:paraId="7156F2EE" w14:textId="77777777" w:rsidR="00A1307C" w:rsidRDefault="00000000">
            <w:r>
              <w:rPr>
                <w:b/>
              </w:rPr>
              <w:t>Wartość</w:t>
            </w:r>
          </w:p>
        </w:tc>
      </w:tr>
      <w:tr w:rsidR="00A1307C" w14:paraId="0400CFFE" w14:textId="77777777">
        <w:trPr>
          <w:jc w:val="center"/>
        </w:trPr>
        <w:tc>
          <w:tcPr>
            <w:tcW w:w="4968" w:type="dxa"/>
          </w:tcPr>
          <w:p w14:paraId="6C666452" w14:textId="77777777" w:rsidR="00A1307C" w:rsidRDefault="00000000">
            <w:r>
              <w:rPr>
                <w:b/>
              </w:rPr>
              <w:t>Runda finansowania</w:t>
            </w:r>
          </w:p>
        </w:tc>
        <w:tc>
          <w:tcPr>
            <w:tcW w:w="4968" w:type="dxa"/>
          </w:tcPr>
          <w:p w14:paraId="2F239B12" w14:textId="77777777" w:rsidR="00A1307C" w:rsidRDefault="00000000">
            <w:r>
              <w:t>Series G</w:t>
            </w:r>
          </w:p>
        </w:tc>
      </w:tr>
      <w:tr w:rsidR="00A1307C" w14:paraId="7D38ADAC" w14:textId="77777777">
        <w:trPr>
          <w:jc w:val="center"/>
        </w:trPr>
        <w:tc>
          <w:tcPr>
            <w:tcW w:w="4968" w:type="dxa"/>
          </w:tcPr>
          <w:p w14:paraId="2E37FD92" w14:textId="77777777" w:rsidR="00A1307C" w:rsidRDefault="00000000">
            <w:r>
              <w:rPr>
                <w:b/>
              </w:rPr>
              <w:t>Data zamknięcia</w:t>
            </w:r>
          </w:p>
        </w:tc>
        <w:tc>
          <w:tcPr>
            <w:tcW w:w="4968" w:type="dxa"/>
          </w:tcPr>
          <w:p w14:paraId="350789A7" w14:textId="77777777" w:rsidR="00A1307C" w:rsidRDefault="00000000">
            <w:r>
              <w:t>26 lutego 2020 r.</w:t>
            </w:r>
          </w:p>
        </w:tc>
      </w:tr>
      <w:tr w:rsidR="00A1307C" w14:paraId="733D0D1C" w14:textId="77777777">
        <w:trPr>
          <w:jc w:val="center"/>
        </w:trPr>
        <w:tc>
          <w:tcPr>
            <w:tcW w:w="4968" w:type="dxa"/>
          </w:tcPr>
          <w:p w14:paraId="026B8FCE" w14:textId="77777777" w:rsidR="00A1307C" w:rsidRDefault="00000000">
            <w:r>
              <w:rPr>
                <w:b/>
              </w:rPr>
              <w:t>Wartość rundy (łącznie)</w:t>
            </w:r>
          </w:p>
        </w:tc>
        <w:tc>
          <w:tcPr>
            <w:tcW w:w="4968" w:type="dxa"/>
          </w:tcPr>
          <w:p w14:paraId="73789019" w14:textId="77777777" w:rsidR="00A1307C" w:rsidRDefault="00000000">
            <w:r>
              <w:t>150 mln USD</w:t>
            </w:r>
          </w:p>
        </w:tc>
      </w:tr>
      <w:tr w:rsidR="00A1307C" w14:paraId="4002EC8F" w14:textId="77777777">
        <w:trPr>
          <w:jc w:val="center"/>
        </w:trPr>
        <w:tc>
          <w:tcPr>
            <w:tcW w:w="4968" w:type="dxa"/>
          </w:tcPr>
          <w:p w14:paraId="082CEFE0" w14:textId="77777777" w:rsidR="00A1307C" w:rsidRDefault="00000000">
            <w:r>
              <w:rPr>
                <w:b/>
              </w:rPr>
              <w:t>Lead investor</w:t>
            </w:r>
          </w:p>
        </w:tc>
        <w:tc>
          <w:tcPr>
            <w:tcW w:w="4968" w:type="dxa"/>
          </w:tcPr>
          <w:p w14:paraId="3EFB0BDD" w14:textId="77777777" w:rsidR="00A1307C" w:rsidRDefault="00000000">
            <w:r>
              <w:t>Andreessen Horowitz – Late Stage Venture Fund (LSV)</w:t>
            </w:r>
          </w:p>
        </w:tc>
      </w:tr>
      <w:tr w:rsidR="00A1307C" w14:paraId="45A4E2A3" w14:textId="77777777">
        <w:trPr>
          <w:jc w:val="center"/>
        </w:trPr>
        <w:tc>
          <w:tcPr>
            <w:tcW w:w="4968" w:type="dxa"/>
          </w:tcPr>
          <w:p w14:paraId="4B3A0A88" w14:textId="77777777" w:rsidR="00A1307C" w:rsidRDefault="00000000">
            <w:r>
              <w:rPr>
                <w:b/>
              </w:rPr>
              <w:t>Nowi współinwestorzy</w:t>
            </w:r>
          </w:p>
        </w:tc>
        <w:tc>
          <w:tcPr>
            <w:tcW w:w="4968" w:type="dxa"/>
          </w:tcPr>
          <w:p w14:paraId="0CB2E26B" w14:textId="77777777" w:rsidR="00A1307C" w:rsidRDefault="00000000">
            <w:r>
              <w:t>Temasek, Tencent Holdings</w:t>
            </w:r>
          </w:p>
        </w:tc>
      </w:tr>
      <w:tr w:rsidR="00A1307C" w14:paraId="6E195497" w14:textId="77777777">
        <w:trPr>
          <w:jc w:val="center"/>
        </w:trPr>
        <w:tc>
          <w:tcPr>
            <w:tcW w:w="4968" w:type="dxa"/>
          </w:tcPr>
          <w:p w14:paraId="619750CB" w14:textId="77777777" w:rsidR="00A1307C" w:rsidRDefault="00000000">
            <w:r>
              <w:rPr>
                <w:b/>
              </w:rPr>
              <w:t>Inwestorzy follow-on</w:t>
            </w:r>
          </w:p>
        </w:tc>
        <w:tc>
          <w:tcPr>
            <w:tcW w:w="4968" w:type="dxa"/>
          </w:tcPr>
          <w:p w14:paraId="050363D3" w14:textId="77777777" w:rsidR="00A1307C" w:rsidRDefault="00000000">
            <w:r>
              <w:t>Altos Ventures, Meritech Capital, Tiger Global Management</w:t>
            </w:r>
          </w:p>
        </w:tc>
      </w:tr>
      <w:tr w:rsidR="00A1307C" w:rsidRPr="00205573" w14:paraId="089F4024" w14:textId="77777777">
        <w:trPr>
          <w:jc w:val="center"/>
        </w:trPr>
        <w:tc>
          <w:tcPr>
            <w:tcW w:w="4968" w:type="dxa"/>
          </w:tcPr>
          <w:p w14:paraId="5CCF14DF" w14:textId="77777777" w:rsidR="00A1307C" w:rsidRDefault="00000000">
            <w:r>
              <w:rPr>
                <w:b/>
              </w:rPr>
              <w:t>Tender offer</w:t>
            </w:r>
          </w:p>
        </w:tc>
        <w:tc>
          <w:tcPr>
            <w:tcW w:w="4968" w:type="dxa"/>
          </w:tcPr>
          <w:p w14:paraId="0F609E22" w14:textId="77777777" w:rsidR="00A1307C" w:rsidRPr="00205573" w:rsidRDefault="00000000">
            <w:pPr>
              <w:rPr>
                <w:lang w:val="pl-PL"/>
              </w:rPr>
            </w:pPr>
            <w:r w:rsidRPr="00205573">
              <w:rPr>
                <w:lang w:val="pl-PL"/>
              </w:rPr>
              <w:t>Do 350 mln USD na odkup akcji od pracowników i wczesnych inwestorów</w:t>
            </w:r>
          </w:p>
        </w:tc>
      </w:tr>
      <w:tr w:rsidR="00A1307C" w14:paraId="57E2AB78" w14:textId="77777777">
        <w:trPr>
          <w:jc w:val="center"/>
        </w:trPr>
        <w:tc>
          <w:tcPr>
            <w:tcW w:w="4968" w:type="dxa"/>
          </w:tcPr>
          <w:p w14:paraId="606C6AFC" w14:textId="77777777" w:rsidR="00A1307C" w:rsidRDefault="00000000">
            <w:proofErr w:type="spellStart"/>
            <w:r>
              <w:rPr>
                <w:b/>
              </w:rPr>
              <w:t>Wycena</w:t>
            </w:r>
            <w:proofErr w:type="spellEnd"/>
            <w:r>
              <w:rPr>
                <w:b/>
              </w:rPr>
              <w:t xml:space="preserve"> post-money</w:t>
            </w:r>
          </w:p>
        </w:tc>
        <w:tc>
          <w:tcPr>
            <w:tcW w:w="4968" w:type="dxa"/>
          </w:tcPr>
          <w:p w14:paraId="3A513172" w14:textId="77777777" w:rsidR="00A1307C" w:rsidRDefault="00000000">
            <w:r>
              <w:t>4 mld USD</w:t>
            </w:r>
          </w:p>
        </w:tc>
      </w:tr>
      <w:tr w:rsidR="00A1307C" w14:paraId="037A8374" w14:textId="77777777">
        <w:trPr>
          <w:jc w:val="center"/>
        </w:trPr>
        <w:tc>
          <w:tcPr>
            <w:tcW w:w="4968" w:type="dxa"/>
          </w:tcPr>
          <w:p w14:paraId="2DD8F841" w14:textId="77777777" w:rsidR="00A1307C" w:rsidRDefault="00000000">
            <w:r>
              <w:rPr>
                <w:b/>
              </w:rPr>
              <w:t>Branża</w:t>
            </w:r>
          </w:p>
        </w:tc>
        <w:tc>
          <w:tcPr>
            <w:tcW w:w="4968" w:type="dxa"/>
          </w:tcPr>
          <w:p w14:paraId="77B8B166" w14:textId="77777777" w:rsidR="00A1307C" w:rsidRDefault="00000000">
            <w:r>
              <w:t>Gaming / platformy UGC / metaverse / consumer tech</w:t>
            </w:r>
          </w:p>
        </w:tc>
      </w:tr>
    </w:tbl>
    <w:p w14:paraId="0E11B41D" w14:textId="77777777" w:rsidR="00A1307C" w:rsidRDefault="00A1307C"/>
    <w:p w14:paraId="58376E23" w14:textId="77777777" w:rsidR="00A1307C" w:rsidRPr="00205573" w:rsidRDefault="00000000">
      <w:pPr>
        <w:pStyle w:val="Heading2"/>
        <w:rPr>
          <w:lang w:val="pl-PL"/>
        </w:rPr>
      </w:pPr>
      <w:r w:rsidRPr="00205573">
        <w:rPr>
          <w:lang w:val="pl-PL"/>
        </w:rPr>
        <w:t>3. Cel inwestycji i teza inwestycyjna a16z</w:t>
      </w:r>
    </w:p>
    <w:p w14:paraId="618917FE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Inwestycja została zrealizowana z </w:t>
      </w:r>
      <w:proofErr w:type="spellStart"/>
      <w:r w:rsidRPr="00205573">
        <w:rPr>
          <w:b/>
          <w:lang w:val="pl-PL"/>
        </w:rPr>
        <w:t>Late</w:t>
      </w:r>
      <w:proofErr w:type="spellEnd"/>
      <w:r w:rsidRPr="00205573">
        <w:rPr>
          <w:b/>
          <w:lang w:val="pl-PL"/>
        </w:rPr>
        <w:t xml:space="preserve"> </w:t>
      </w:r>
      <w:proofErr w:type="spellStart"/>
      <w:r w:rsidRPr="00205573">
        <w:rPr>
          <w:b/>
          <w:lang w:val="pl-PL"/>
        </w:rPr>
        <w:t>Stage</w:t>
      </w:r>
      <w:proofErr w:type="spellEnd"/>
      <w:r w:rsidRPr="00205573">
        <w:rPr>
          <w:b/>
          <w:lang w:val="pl-PL"/>
        </w:rPr>
        <w:t xml:space="preserve"> Venture Fund</w:t>
      </w:r>
      <w:r w:rsidRPr="00205573">
        <w:rPr>
          <w:lang w:val="pl-PL"/>
        </w:rPr>
        <w:t xml:space="preserve"> (LSV) – wehikułu a16z stworzonego specjalnie dla dojrzałych spółek wymagających kapitału wzrostowego, ale wciąż wymagających „venture </w:t>
      </w:r>
      <w:proofErr w:type="spellStart"/>
      <w:r w:rsidRPr="00205573">
        <w:rPr>
          <w:lang w:val="pl-PL"/>
        </w:rPr>
        <w:t>mindset</w:t>
      </w:r>
      <w:proofErr w:type="spellEnd"/>
      <w:r w:rsidRPr="00205573">
        <w:rPr>
          <w:lang w:val="pl-PL"/>
        </w:rPr>
        <w:t xml:space="preserve">”. Według deklaracji a16z środki miały wzmocnić bilans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>, pozwolić zwiększyć zespół inżynierski oraz wesprzeć twórców platformy poprzez rozwój infrastruktury dla bardziej zaawansowanych, masowych doświadczeń.</w:t>
      </w:r>
    </w:p>
    <w:p w14:paraId="636A5EF6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Teza inwestycyjna a16z (David George i </w:t>
      </w:r>
      <w:proofErr w:type="spellStart"/>
      <w:r w:rsidRPr="00205573">
        <w:rPr>
          <w:lang w:val="pl-PL"/>
        </w:rPr>
        <w:t>Marc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Andreessen</w:t>
      </w:r>
      <w:proofErr w:type="spellEnd"/>
      <w:r w:rsidRPr="00205573">
        <w:rPr>
          <w:lang w:val="pl-PL"/>
        </w:rPr>
        <w:t>) opierała się na czterech filarach:</w:t>
      </w:r>
    </w:p>
    <w:p w14:paraId="02C9EE98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Organiczny wzrost użytkowników</w:t>
      </w:r>
      <w:r w:rsidRPr="00205573">
        <w:rPr>
          <w:lang w:val="pl-PL"/>
        </w:rPr>
        <w:t xml:space="preserve"> – wirusowe </w:t>
      </w:r>
      <w:proofErr w:type="spellStart"/>
      <w:r w:rsidRPr="00205573">
        <w:rPr>
          <w:lang w:val="pl-PL"/>
        </w:rPr>
        <w:t>sign-upy</w:t>
      </w:r>
      <w:proofErr w:type="spellEnd"/>
      <w:r w:rsidRPr="00205573">
        <w:rPr>
          <w:lang w:val="pl-PL"/>
        </w:rPr>
        <w:t xml:space="preserve"> bez płatnego marketingu, silny efekt sieciowy.</w:t>
      </w:r>
    </w:p>
    <w:p w14:paraId="17D2EDED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Powtarzalne zachowania zakupowe</w:t>
      </w:r>
      <w:r w:rsidRPr="00205573">
        <w:rPr>
          <w:lang w:val="pl-PL"/>
        </w:rPr>
        <w:t xml:space="preserve"> – </w:t>
      </w:r>
      <w:proofErr w:type="spellStart"/>
      <w:r w:rsidRPr="00205573">
        <w:rPr>
          <w:lang w:val="pl-PL"/>
        </w:rPr>
        <w:t>recurring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revenue</w:t>
      </w:r>
      <w:proofErr w:type="spellEnd"/>
      <w:r w:rsidRPr="00205573">
        <w:rPr>
          <w:lang w:val="pl-PL"/>
        </w:rPr>
        <w:t xml:space="preserve"> z </w:t>
      </w:r>
      <w:proofErr w:type="spellStart"/>
      <w:r w:rsidRPr="00205573">
        <w:rPr>
          <w:lang w:val="pl-PL"/>
        </w:rPr>
        <w:t>Robux</w:t>
      </w:r>
      <w:proofErr w:type="spellEnd"/>
      <w:r w:rsidRPr="00205573">
        <w:rPr>
          <w:lang w:val="pl-PL"/>
        </w:rPr>
        <w:t>, wysoka retencja.</w:t>
      </w:r>
    </w:p>
    <w:p w14:paraId="11FE5320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Wysokomarżowa struktura platformy</w:t>
      </w:r>
      <w:r w:rsidRPr="00205573">
        <w:rPr>
          <w:lang w:val="pl-PL"/>
        </w:rPr>
        <w:t xml:space="preserve"> – model UGC przerzucający koszty tworzenia treści na społeczność.</w:t>
      </w:r>
    </w:p>
    <w:p w14:paraId="64C7BBAE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 xml:space="preserve">Wizja </w:t>
      </w:r>
      <w:proofErr w:type="spellStart"/>
      <w:r w:rsidRPr="00205573">
        <w:rPr>
          <w:b/>
          <w:lang w:val="pl-PL"/>
        </w:rPr>
        <w:t>metaverse</w:t>
      </w:r>
      <w:proofErr w:type="spellEnd"/>
      <w:r w:rsidRPr="00205573">
        <w:rPr>
          <w:lang w:val="pl-PL"/>
        </w:rPr>
        <w:t xml:space="preserve"> –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jako fundament cyfrowego świata </w:t>
      </w:r>
      <w:proofErr w:type="spellStart"/>
      <w:r w:rsidRPr="00205573">
        <w:rPr>
          <w:lang w:val="pl-PL"/>
        </w:rPr>
        <w:t>persistent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identity</w:t>
      </w:r>
      <w:proofErr w:type="spellEnd"/>
      <w:r w:rsidRPr="00205573">
        <w:rPr>
          <w:lang w:val="pl-PL"/>
        </w:rPr>
        <w:t xml:space="preserve"> i </w:t>
      </w:r>
      <w:proofErr w:type="spellStart"/>
      <w:r w:rsidRPr="00205573">
        <w:rPr>
          <w:lang w:val="pl-PL"/>
        </w:rPr>
        <w:t>interoperacyjnych</w:t>
      </w:r>
      <w:proofErr w:type="spellEnd"/>
      <w:r w:rsidRPr="00205573">
        <w:rPr>
          <w:lang w:val="pl-PL"/>
        </w:rPr>
        <w:t xml:space="preserve"> doświadczeń.</w:t>
      </w:r>
    </w:p>
    <w:p w14:paraId="5D77DFDF" w14:textId="77777777" w:rsidR="00A1307C" w:rsidRDefault="00000000">
      <w:r>
        <w:lastRenderedPageBreak/>
        <w:t xml:space="preserve">George </w:t>
      </w:r>
      <w:proofErr w:type="spellStart"/>
      <w:r>
        <w:t>i</w:t>
      </w:r>
      <w:proofErr w:type="spellEnd"/>
      <w:r>
        <w:t xml:space="preserve"> Andreessen w blogu inwestycyjnym a16z podkreślili filozofię późnostadialnego inwestowania: </w:t>
      </w:r>
      <w:r>
        <w:rPr>
          <w:i/>
        </w:rPr>
        <w:t>„If early-stage venture is about asking ‘What if it works?’, later-stage venture is about asking and assessing, ‘Is it working?</w:t>
      </w:r>
      <w:proofErr w:type="gramStart"/>
      <w:r>
        <w:rPr>
          <w:i/>
        </w:rPr>
        <w:t>’“</w:t>
      </w:r>
      <w:r>
        <w:t xml:space="preserve"> –</w:t>
      </w:r>
      <w:proofErr w:type="gramEnd"/>
      <w:r>
        <w:t xml:space="preserve"> Roblox spełniał w 2020 r. drugi z tych testów.</w:t>
      </w:r>
    </w:p>
    <w:p w14:paraId="5AD449CC" w14:textId="77777777" w:rsidR="00A1307C" w:rsidRPr="00205573" w:rsidRDefault="00000000">
      <w:pPr>
        <w:pStyle w:val="Heading2"/>
        <w:rPr>
          <w:lang w:val="pl-PL"/>
        </w:rPr>
      </w:pPr>
      <w:r w:rsidRPr="00205573">
        <w:rPr>
          <w:lang w:val="pl-PL"/>
        </w:rPr>
        <w:t>4. Osoba odpowiedzialna za transakcję</w:t>
      </w:r>
    </w:p>
    <w:p w14:paraId="1D200482" w14:textId="77777777" w:rsidR="00A1307C" w:rsidRPr="00205573" w:rsidRDefault="00000000">
      <w:pPr>
        <w:rPr>
          <w:lang w:val="pl-PL"/>
        </w:rPr>
      </w:pPr>
      <w:r w:rsidRPr="00205573">
        <w:rPr>
          <w:b/>
          <w:lang w:val="pl-PL"/>
        </w:rPr>
        <w:t>David George</w:t>
      </w:r>
      <w:r w:rsidRPr="00205573">
        <w:rPr>
          <w:lang w:val="pl-PL"/>
        </w:rPr>
        <w:t xml:space="preserve"> – General Partner w </w:t>
      </w:r>
      <w:proofErr w:type="spellStart"/>
      <w:r w:rsidRPr="00205573">
        <w:rPr>
          <w:lang w:val="pl-PL"/>
        </w:rPr>
        <w:t>Andreessen</w:t>
      </w:r>
      <w:proofErr w:type="spellEnd"/>
      <w:r w:rsidRPr="00205573">
        <w:rPr>
          <w:lang w:val="pl-PL"/>
        </w:rPr>
        <w:t xml:space="preserve"> Horowitz i szef a16z </w:t>
      </w:r>
      <w:proofErr w:type="spellStart"/>
      <w:r w:rsidRPr="00205573">
        <w:rPr>
          <w:lang w:val="pl-PL"/>
        </w:rPr>
        <w:t>Growth</w:t>
      </w:r>
      <w:proofErr w:type="spellEnd"/>
      <w:r w:rsidRPr="00205573">
        <w:rPr>
          <w:lang w:val="pl-PL"/>
        </w:rPr>
        <w:t xml:space="preserve">, odpowiadał za prowadzenie rundy i kontynuuje współpracę z Davidem </w:t>
      </w:r>
      <w:proofErr w:type="spellStart"/>
      <w:r w:rsidRPr="00205573">
        <w:rPr>
          <w:lang w:val="pl-PL"/>
        </w:rPr>
        <w:t>Baszuckim</w:t>
      </w:r>
      <w:proofErr w:type="spellEnd"/>
      <w:r w:rsidRPr="00205573">
        <w:rPr>
          <w:lang w:val="pl-PL"/>
        </w:rPr>
        <w:t xml:space="preserve"> do dziś. George specjalizuje się w </w:t>
      </w:r>
      <w:proofErr w:type="spellStart"/>
      <w:r w:rsidRPr="00205573">
        <w:rPr>
          <w:lang w:val="pl-PL"/>
        </w:rPr>
        <w:t>późnostadialnych</w:t>
      </w:r>
      <w:proofErr w:type="spellEnd"/>
      <w:r w:rsidRPr="00205573">
        <w:rPr>
          <w:lang w:val="pl-PL"/>
        </w:rPr>
        <w:t xml:space="preserve"> inwestycjach w „</w:t>
      </w:r>
      <w:proofErr w:type="spellStart"/>
      <w:r w:rsidRPr="00205573">
        <w:rPr>
          <w:lang w:val="pl-PL"/>
        </w:rPr>
        <w:t>compounder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businesses</w:t>
      </w:r>
      <w:proofErr w:type="spellEnd"/>
      <w:r w:rsidRPr="00205573">
        <w:rPr>
          <w:lang w:val="pl-PL"/>
        </w:rPr>
        <w:t xml:space="preserve">” – spółki o długim okresie wzrostu i organicznej dystrybucji. W swoich publicznych wystąpieniach wielokrotnie wskazywał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jako modelowy przykład „</w:t>
      </w:r>
      <w:proofErr w:type="spellStart"/>
      <w:r w:rsidRPr="00205573">
        <w:rPr>
          <w:lang w:val="pl-PL"/>
        </w:rPr>
        <w:t>Modelbuster</w:t>
      </w:r>
      <w:proofErr w:type="spellEnd"/>
      <w:r w:rsidRPr="00205573">
        <w:rPr>
          <w:lang w:val="pl-PL"/>
        </w:rPr>
        <w:t xml:space="preserve">” – spółki, której rynek końcowy okazał się dramatycznie większy niż zakładały modele analityków. </w:t>
      </w:r>
      <w:proofErr w:type="spellStart"/>
      <w:r w:rsidRPr="00205573">
        <w:rPr>
          <w:lang w:val="pl-PL"/>
        </w:rPr>
        <w:t>Współsygnatariuszem</w:t>
      </w:r>
      <w:proofErr w:type="spellEnd"/>
      <w:r w:rsidRPr="00205573">
        <w:rPr>
          <w:lang w:val="pl-PL"/>
        </w:rPr>
        <w:t xml:space="preserve"> inwestycji był </w:t>
      </w:r>
      <w:proofErr w:type="spellStart"/>
      <w:r w:rsidRPr="00205573">
        <w:rPr>
          <w:b/>
          <w:lang w:val="pl-PL"/>
        </w:rPr>
        <w:t>Marc</w:t>
      </w:r>
      <w:proofErr w:type="spellEnd"/>
      <w:r w:rsidRPr="00205573">
        <w:rPr>
          <w:b/>
          <w:lang w:val="pl-PL"/>
        </w:rPr>
        <w:t xml:space="preserve"> </w:t>
      </w:r>
      <w:proofErr w:type="spellStart"/>
      <w:r w:rsidRPr="00205573">
        <w:rPr>
          <w:b/>
          <w:lang w:val="pl-PL"/>
        </w:rPr>
        <w:t>Andreessen</w:t>
      </w:r>
      <w:proofErr w:type="spellEnd"/>
      <w:r w:rsidRPr="00205573">
        <w:rPr>
          <w:lang w:val="pl-PL"/>
        </w:rPr>
        <w:t xml:space="preserve"> (współzałożyciel a16z), który publicznie wspierał tezę </w:t>
      </w:r>
      <w:proofErr w:type="spellStart"/>
      <w:r w:rsidRPr="00205573">
        <w:rPr>
          <w:lang w:val="pl-PL"/>
        </w:rPr>
        <w:t>metaversową</w:t>
      </w:r>
      <w:proofErr w:type="spellEnd"/>
      <w:r w:rsidRPr="00205573">
        <w:rPr>
          <w:lang w:val="pl-PL"/>
        </w:rPr>
        <w:t xml:space="preserve"> spółki.</w:t>
      </w:r>
    </w:p>
    <w:p w14:paraId="7059AA31" w14:textId="77777777" w:rsidR="00A1307C" w:rsidRPr="00205573" w:rsidRDefault="00000000">
      <w:pPr>
        <w:pStyle w:val="Heading2"/>
        <w:rPr>
          <w:lang w:val="pl-PL"/>
        </w:rPr>
      </w:pPr>
      <w:r w:rsidRPr="00205573">
        <w:rPr>
          <w:lang w:val="pl-PL"/>
        </w:rPr>
        <w:t>5. Działania a16z po inwestycji</w:t>
      </w:r>
    </w:p>
    <w:p w14:paraId="3AE31821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Wsparcie a16z dla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po wejściu kapitałowym miało charakter strategiczny, a nie operacyjny – typowy dla </w:t>
      </w:r>
      <w:proofErr w:type="spellStart"/>
      <w:r w:rsidRPr="00205573">
        <w:rPr>
          <w:lang w:val="pl-PL"/>
        </w:rPr>
        <w:t>późnostadialnych</w:t>
      </w:r>
      <w:proofErr w:type="spellEnd"/>
      <w:r w:rsidRPr="00205573">
        <w:rPr>
          <w:lang w:val="pl-PL"/>
        </w:rPr>
        <w:t xml:space="preserve"> inwestycji </w:t>
      </w:r>
      <w:proofErr w:type="spellStart"/>
      <w:r w:rsidRPr="00205573">
        <w:rPr>
          <w:lang w:val="pl-PL"/>
        </w:rPr>
        <w:t>growth</w:t>
      </w:r>
      <w:proofErr w:type="spellEnd"/>
      <w:r w:rsidRPr="00205573">
        <w:rPr>
          <w:lang w:val="pl-PL"/>
        </w:rPr>
        <w:t>:</w:t>
      </w:r>
    </w:p>
    <w:p w14:paraId="35218D45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Pozycjonowanie narracyjne</w:t>
      </w:r>
      <w:r w:rsidRPr="00205573">
        <w:rPr>
          <w:lang w:val="pl-PL"/>
        </w:rPr>
        <w:t xml:space="preserve"> – wpis na blogu a16z „</w:t>
      </w:r>
      <w:proofErr w:type="spellStart"/>
      <w:r w:rsidRPr="00205573">
        <w:rPr>
          <w:lang w:val="pl-PL"/>
        </w:rPr>
        <w:t>Investing</w:t>
      </w:r>
      <w:proofErr w:type="spellEnd"/>
      <w:r w:rsidRPr="00205573">
        <w:rPr>
          <w:lang w:val="pl-PL"/>
        </w:rPr>
        <w:t xml:space="preserve"> in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>” oraz późniejsze publikacje (m.in. „</w:t>
      </w:r>
      <w:proofErr w:type="spellStart"/>
      <w:r w:rsidRPr="00205573">
        <w:rPr>
          <w:lang w:val="pl-PL"/>
        </w:rPr>
        <w:t>Modelbusters</w:t>
      </w:r>
      <w:proofErr w:type="spellEnd"/>
      <w:r w:rsidRPr="00205573">
        <w:rPr>
          <w:lang w:val="pl-PL"/>
        </w:rPr>
        <w:t xml:space="preserve">”) konsekwentnie pozycjonowały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jako lidera kategorii </w:t>
      </w:r>
      <w:proofErr w:type="spellStart"/>
      <w:r w:rsidRPr="00205573">
        <w:rPr>
          <w:lang w:val="pl-PL"/>
        </w:rPr>
        <w:t>metaverse</w:t>
      </w:r>
      <w:proofErr w:type="spellEnd"/>
      <w:r w:rsidRPr="00205573">
        <w:rPr>
          <w:lang w:val="pl-PL"/>
        </w:rPr>
        <w:t>, co znacząco wpłynęło na percepcję rynkową spółki przed debiutem giełdowym.</w:t>
      </w:r>
    </w:p>
    <w:p w14:paraId="63355D64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Przygotowanie do wejścia na giełdę</w:t>
      </w:r>
      <w:r w:rsidRPr="00205573">
        <w:rPr>
          <w:lang w:val="pl-PL"/>
        </w:rPr>
        <w:t xml:space="preserve"> – </w:t>
      </w:r>
      <w:proofErr w:type="gramStart"/>
      <w:r w:rsidRPr="00205573">
        <w:rPr>
          <w:lang w:val="pl-PL"/>
        </w:rPr>
        <w:t>a16z,</w:t>
      </w:r>
      <w:proofErr w:type="gramEnd"/>
      <w:r w:rsidRPr="00205573">
        <w:rPr>
          <w:lang w:val="pl-PL"/>
        </w:rPr>
        <w:t xml:space="preserve"> jako fundusz z bogatym doświadczeniem w </w:t>
      </w:r>
      <w:proofErr w:type="spellStart"/>
      <w:r w:rsidRPr="00205573">
        <w:rPr>
          <w:lang w:val="pl-PL"/>
        </w:rPr>
        <w:t>direct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listings</w:t>
      </w:r>
      <w:proofErr w:type="spellEnd"/>
      <w:r w:rsidRPr="00205573">
        <w:rPr>
          <w:lang w:val="pl-PL"/>
        </w:rPr>
        <w:t xml:space="preserve"> (m.in. </w:t>
      </w:r>
      <w:proofErr w:type="spellStart"/>
      <w:r w:rsidRPr="00205573">
        <w:rPr>
          <w:lang w:val="pl-PL"/>
        </w:rPr>
        <w:t>Coinbase</w:t>
      </w:r>
      <w:proofErr w:type="spellEnd"/>
      <w:r w:rsidRPr="00205573">
        <w:rPr>
          <w:lang w:val="pl-PL"/>
        </w:rPr>
        <w:t xml:space="preserve">), wspierał spółkę w wyborze tej formy debiutu zamiast tradycyjnego IPO, co minimalizowało </w:t>
      </w:r>
      <w:proofErr w:type="spellStart"/>
      <w:r w:rsidRPr="00205573">
        <w:rPr>
          <w:lang w:val="pl-PL"/>
        </w:rPr>
        <w:t>dilution</w:t>
      </w:r>
      <w:proofErr w:type="spellEnd"/>
      <w:r w:rsidRPr="00205573">
        <w:rPr>
          <w:lang w:val="pl-PL"/>
        </w:rPr>
        <w:t xml:space="preserve"> i pozwoliło wczesnym inwestorom oraz pracownikom na płynne wyjście.</w:t>
      </w:r>
    </w:p>
    <w:p w14:paraId="114CB08E" w14:textId="77777777" w:rsidR="00A1307C" w:rsidRDefault="00000000">
      <w:pPr>
        <w:pStyle w:val="ListBullet"/>
      </w:pPr>
      <w:r w:rsidRPr="00205573">
        <w:rPr>
          <w:b/>
          <w:lang w:val="pl-PL"/>
        </w:rPr>
        <w:t>Networking branżowy</w:t>
      </w:r>
      <w:r w:rsidRPr="00205573">
        <w:rPr>
          <w:lang w:val="pl-PL"/>
        </w:rPr>
        <w:t xml:space="preserve"> – w maju 2022 r. a16z uruchomił „Games Fund One” o wartości 600 mln USD, w którym David </w:t>
      </w:r>
      <w:proofErr w:type="spellStart"/>
      <w:r w:rsidRPr="00205573">
        <w:rPr>
          <w:lang w:val="pl-PL"/>
        </w:rPr>
        <w:t>Baszucki</w:t>
      </w:r>
      <w:proofErr w:type="spellEnd"/>
      <w:r w:rsidRPr="00205573">
        <w:rPr>
          <w:lang w:val="pl-PL"/>
        </w:rPr>
        <w:t xml:space="preserve"> (CEO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>) został jednym z LP/</w:t>
      </w:r>
      <w:proofErr w:type="spellStart"/>
      <w:r w:rsidRPr="00205573">
        <w:rPr>
          <w:lang w:val="pl-PL"/>
        </w:rPr>
        <w:t>advisorów</w:t>
      </w:r>
      <w:proofErr w:type="spellEnd"/>
      <w:r w:rsidRPr="00205573">
        <w:rPr>
          <w:lang w:val="pl-PL"/>
        </w:rPr>
        <w:t xml:space="preserve"> obok założycieli </w:t>
      </w:r>
      <w:proofErr w:type="spellStart"/>
      <w:r w:rsidRPr="00205573">
        <w:rPr>
          <w:lang w:val="pl-PL"/>
        </w:rPr>
        <w:t>Discorda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Twitcha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Zyngi</w:t>
      </w:r>
      <w:proofErr w:type="spellEnd"/>
      <w:r w:rsidRPr="00205573">
        <w:rPr>
          <w:lang w:val="pl-PL"/>
        </w:rPr>
        <w:t xml:space="preserve"> czy Riot Games. </w:t>
      </w:r>
      <w:proofErr w:type="spellStart"/>
      <w:r>
        <w:t>Stworzyło</w:t>
      </w:r>
      <w:proofErr w:type="spellEnd"/>
      <w:r>
        <w:t xml:space="preserve"> to </w:t>
      </w:r>
      <w:proofErr w:type="spellStart"/>
      <w:r>
        <w:t>dodatkową</w:t>
      </w:r>
      <w:proofErr w:type="spellEnd"/>
      <w:r>
        <w:t xml:space="preserve"> </w:t>
      </w:r>
      <w:proofErr w:type="spellStart"/>
      <w:r>
        <w:t>sieć</w:t>
      </w:r>
      <w:proofErr w:type="spellEnd"/>
      <w:r>
        <w:t xml:space="preserve"> współpracy w ekosystemie gier.</w:t>
      </w:r>
    </w:p>
    <w:p w14:paraId="461DE84A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Mentoring CEO</w:t>
      </w:r>
      <w:r w:rsidRPr="00205573">
        <w:rPr>
          <w:lang w:val="pl-PL"/>
        </w:rPr>
        <w:t xml:space="preserve"> – David George publicznie określa </w:t>
      </w:r>
      <w:proofErr w:type="spellStart"/>
      <w:r w:rsidRPr="00205573">
        <w:rPr>
          <w:lang w:val="pl-PL"/>
        </w:rPr>
        <w:t>Baszuckiego</w:t>
      </w:r>
      <w:proofErr w:type="spellEnd"/>
      <w:r w:rsidRPr="00205573">
        <w:rPr>
          <w:lang w:val="pl-PL"/>
        </w:rPr>
        <w:t xml:space="preserve"> jako „</w:t>
      </w:r>
      <w:proofErr w:type="spellStart"/>
      <w:r w:rsidRPr="00205573">
        <w:rPr>
          <w:lang w:val="pl-PL"/>
        </w:rPr>
        <w:t>commercial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killer</w:t>
      </w:r>
      <w:proofErr w:type="spellEnd"/>
      <w:r w:rsidRPr="00205573">
        <w:rPr>
          <w:lang w:val="pl-PL"/>
        </w:rPr>
        <w:t xml:space="preserve">” i potwierdza wieloletnią bliską relację </w:t>
      </w:r>
      <w:proofErr w:type="spellStart"/>
      <w:r w:rsidRPr="00205573">
        <w:rPr>
          <w:lang w:val="pl-PL"/>
        </w:rPr>
        <w:t>mentoringową</w:t>
      </w:r>
      <w:proofErr w:type="spellEnd"/>
      <w:r w:rsidRPr="00205573">
        <w:rPr>
          <w:lang w:val="pl-PL"/>
        </w:rPr>
        <w:t>, charakterystyczną dla portfolio a16z.</w:t>
      </w:r>
    </w:p>
    <w:p w14:paraId="04653B46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Wykorzystanie platformy operacyjnej a16z</w:t>
      </w:r>
      <w:r w:rsidRPr="00205573">
        <w:rPr>
          <w:lang w:val="pl-PL"/>
        </w:rPr>
        <w:t xml:space="preserve"> – choć w </w:t>
      </w:r>
      <w:proofErr w:type="spellStart"/>
      <w:r w:rsidRPr="00205573">
        <w:rPr>
          <w:lang w:val="pl-PL"/>
        </w:rPr>
        <w:t>późnostadialnych</w:t>
      </w:r>
      <w:proofErr w:type="spellEnd"/>
      <w:r w:rsidRPr="00205573">
        <w:rPr>
          <w:lang w:val="pl-PL"/>
        </w:rPr>
        <w:t xml:space="preserve"> inwestycjach </w:t>
      </w:r>
      <w:proofErr w:type="spellStart"/>
      <w:r w:rsidRPr="00205573">
        <w:rPr>
          <w:lang w:val="pl-PL"/>
        </w:rPr>
        <w:t>growth</w:t>
      </w:r>
      <w:proofErr w:type="spellEnd"/>
      <w:r w:rsidRPr="00205573">
        <w:rPr>
          <w:lang w:val="pl-PL"/>
        </w:rPr>
        <w:t xml:space="preserve"> wsparcie operacyjne jest z natury bardziej ograniczone niż w rundach </w:t>
      </w:r>
      <w:proofErr w:type="spellStart"/>
      <w:r w:rsidRPr="00205573">
        <w:rPr>
          <w:lang w:val="pl-PL"/>
        </w:rPr>
        <w:t>early-stage</w:t>
      </w:r>
      <w:proofErr w:type="spellEnd"/>
      <w:r w:rsidRPr="00205573">
        <w:rPr>
          <w:lang w:val="pl-PL"/>
        </w:rPr>
        <w:t xml:space="preserve"> (porównaj: GitHub, gdzie a16z pomógł zbudować 70-osobowy zespół rekrutacyjny i obsadzić liderów sprzedaży </w:t>
      </w:r>
      <w:proofErr w:type="spellStart"/>
      <w:r w:rsidRPr="00205573">
        <w:rPr>
          <w:lang w:val="pl-PL"/>
        </w:rPr>
        <w:t>enterprise</w:t>
      </w:r>
      <w:proofErr w:type="spellEnd"/>
      <w:r w:rsidRPr="00205573">
        <w:rPr>
          <w:lang w:val="pl-PL"/>
        </w:rPr>
        <w:t xml:space="preserve">, czy Lyft, w którym fundusz wspierał negocjacje z California Public Utilities </w:t>
      </w:r>
      <w:proofErr w:type="spellStart"/>
      <w:r w:rsidRPr="00205573">
        <w:rPr>
          <w:lang w:val="pl-PL"/>
        </w:rPr>
        <w:t>Commission</w:t>
      </w:r>
      <w:proofErr w:type="spellEnd"/>
      <w:r w:rsidRPr="00205573">
        <w:rPr>
          <w:lang w:val="pl-PL"/>
        </w:rPr>
        <w:t xml:space="preserve">), w przypadku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a16z dostarczył wsparcie w obszarach typowych dla </w:t>
      </w:r>
      <w:proofErr w:type="spellStart"/>
      <w:r w:rsidRPr="00205573">
        <w:rPr>
          <w:lang w:val="pl-PL"/>
        </w:rPr>
        <w:t>pre</w:t>
      </w:r>
      <w:proofErr w:type="spellEnd"/>
      <w:r w:rsidRPr="00205573">
        <w:rPr>
          <w:lang w:val="pl-PL"/>
        </w:rPr>
        <w:t xml:space="preserve">-IPO: relacje inwestorskie, dobór banków przy </w:t>
      </w:r>
      <w:proofErr w:type="spellStart"/>
      <w:r w:rsidRPr="00205573">
        <w:rPr>
          <w:lang w:val="pl-PL"/>
        </w:rPr>
        <w:t>direct</w:t>
      </w:r>
      <w:proofErr w:type="spellEnd"/>
      <w:r w:rsidRPr="00205573">
        <w:rPr>
          <w:lang w:val="pl-PL"/>
        </w:rPr>
        <w:t xml:space="preserve"> listingu, doradztwo w komunikacji z analitykami </w:t>
      </w:r>
      <w:proofErr w:type="spellStart"/>
      <w:r w:rsidRPr="00205573">
        <w:rPr>
          <w:lang w:val="pl-PL"/>
        </w:rPr>
        <w:t>sell-side</w:t>
      </w:r>
      <w:proofErr w:type="spellEnd"/>
      <w:r w:rsidRPr="00205573">
        <w:rPr>
          <w:lang w:val="pl-PL"/>
        </w:rPr>
        <w:t xml:space="preserve"> oraz wprowadzenia do potencjalnych partnerów korporacyjnych (m.in. Sony, Nike, NFL – wszyscy weszli we współpracę z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w latach 2020–2021).</w:t>
      </w:r>
    </w:p>
    <w:p w14:paraId="3A9F9E7C" w14:textId="77777777" w:rsidR="00A1307C" w:rsidRPr="00205573" w:rsidRDefault="00000000">
      <w:pPr>
        <w:pStyle w:val="Heading2"/>
        <w:rPr>
          <w:lang w:val="pl-PL"/>
        </w:rPr>
      </w:pPr>
      <w:r w:rsidRPr="00205573">
        <w:rPr>
          <w:lang w:val="pl-PL"/>
        </w:rPr>
        <w:t xml:space="preserve">6. </w:t>
      </w:r>
      <w:proofErr w:type="spellStart"/>
      <w:r w:rsidRPr="00205573">
        <w:rPr>
          <w:lang w:val="pl-PL"/>
        </w:rPr>
        <w:t>Follow</w:t>
      </w:r>
      <w:proofErr w:type="spellEnd"/>
      <w:r w:rsidRPr="00205573">
        <w:rPr>
          <w:lang w:val="pl-PL"/>
        </w:rPr>
        <w:t>-on i pełna ścieżka inwestycyjna</w:t>
      </w:r>
    </w:p>
    <w:p w14:paraId="188FBB6A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a16z, mimo wejścia dopiero w rundzie Series G, nie uczestniczył jako </w:t>
      </w:r>
      <w:proofErr w:type="spellStart"/>
      <w:r w:rsidRPr="00205573">
        <w:rPr>
          <w:lang w:val="pl-PL"/>
        </w:rPr>
        <w:t>lead</w:t>
      </w:r>
      <w:proofErr w:type="spellEnd"/>
      <w:r w:rsidRPr="00205573">
        <w:rPr>
          <w:lang w:val="pl-PL"/>
        </w:rPr>
        <w:t xml:space="preserve"> w kolejnej rundzie Series H (styczeń 2021, 520 mln USD przy wycenie 29,5 mld USD), którą poprowadzili </w:t>
      </w:r>
      <w:proofErr w:type="spellStart"/>
      <w:r w:rsidRPr="00205573">
        <w:rPr>
          <w:lang w:val="pl-PL"/>
        </w:rPr>
        <w:t>Altimeter</w:t>
      </w:r>
      <w:proofErr w:type="spellEnd"/>
      <w:r w:rsidRPr="00205573">
        <w:rPr>
          <w:lang w:val="pl-PL"/>
        </w:rPr>
        <w:t xml:space="preserve"> Capital i </w:t>
      </w:r>
      <w:proofErr w:type="spellStart"/>
      <w:r w:rsidRPr="00205573">
        <w:rPr>
          <w:lang w:val="pl-PL"/>
        </w:rPr>
        <w:t>Dragoneer</w:t>
      </w:r>
      <w:proofErr w:type="spellEnd"/>
      <w:r w:rsidRPr="00205573">
        <w:rPr>
          <w:lang w:val="pl-PL"/>
        </w:rPr>
        <w:t xml:space="preserve"> Investment </w:t>
      </w:r>
      <w:proofErr w:type="spellStart"/>
      <w:r w:rsidRPr="00205573">
        <w:rPr>
          <w:lang w:val="pl-PL"/>
        </w:rPr>
        <w:t>Group</w:t>
      </w:r>
      <w:proofErr w:type="spellEnd"/>
      <w:r w:rsidRPr="00205573">
        <w:rPr>
          <w:lang w:val="pl-PL"/>
        </w:rPr>
        <w:t xml:space="preserve">. Runda H była tzw. </w:t>
      </w:r>
      <w:proofErr w:type="spellStart"/>
      <w:r w:rsidRPr="00205573">
        <w:rPr>
          <w:lang w:val="pl-PL"/>
        </w:rPr>
        <w:t>crossover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roundą</w:t>
      </w:r>
      <w:proofErr w:type="spellEnd"/>
      <w:r w:rsidRPr="00205573">
        <w:rPr>
          <w:lang w:val="pl-PL"/>
        </w:rPr>
        <w:t xml:space="preserve"> bezpośrednio przed </w:t>
      </w:r>
      <w:proofErr w:type="spellStart"/>
      <w:r w:rsidRPr="00205573">
        <w:rPr>
          <w:lang w:val="pl-PL"/>
        </w:rPr>
        <w:t>direct</w:t>
      </w:r>
      <w:proofErr w:type="spellEnd"/>
      <w:r w:rsidRPr="00205573">
        <w:rPr>
          <w:lang w:val="pl-PL"/>
        </w:rPr>
        <w:t xml:space="preserve"> listing i zwykle w takich transakcjach prym wiodą fundusze hybrydowe (</w:t>
      </w:r>
      <w:proofErr w:type="spellStart"/>
      <w:r w:rsidRPr="00205573">
        <w:rPr>
          <w:lang w:val="pl-PL"/>
        </w:rPr>
        <w:t>private</w:t>
      </w:r>
      <w:proofErr w:type="spellEnd"/>
      <w:r w:rsidRPr="00205573">
        <w:rPr>
          <w:lang w:val="pl-PL"/>
        </w:rPr>
        <w:t xml:space="preserve">/public). Według doniesień </w:t>
      </w:r>
      <w:proofErr w:type="spellStart"/>
      <w:r w:rsidRPr="00205573">
        <w:rPr>
          <w:lang w:val="pl-PL"/>
        </w:rPr>
        <w:t>TechCrunch</w:t>
      </w:r>
      <w:proofErr w:type="spellEnd"/>
      <w:r w:rsidRPr="00205573">
        <w:rPr>
          <w:lang w:val="pl-PL"/>
        </w:rPr>
        <w:t xml:space="preserve"> i PYMNTS w rundzie tej brali udział „obecni inwestorzy” – co najprawdopodobniej obejmowało także a16z – jednak fundusz nie był wymieniany imiennie jako </w:t>
      </w:r>
      <w:proofErr w:type="spellStart"/>
      <w:r w:rsidRPr="00205573">
        <w:rPr>
          <w:lang w:val="pl-PL"/>
        </w:rPr>
        <w:t>lead</w:t>
      </w:r>
      <w:proofErr w:type="spellEnd"/>
      <w:r w:rsidRPr="00205573">
        <w:rPr>
          <w:lang w:val="pl-PL"/>
        </w:rPr>
        <w:t>.</w:t>
      </w:r>
    </w:p>
    <w:p w14:paraId="5D15861B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>Ścieżka spółki po inwestycji a16z:</w:t>
      </w:r>
    </w:p>
    <w:p w14:paraId="1DC6A748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Luty 2020</w:t>
      </w:r>
      <w:r w:rsidRPr="00205573">
        <w:rPr>
          <w:lang w:val="pl-PL"/>
        </w:rPr>
        <w:t xml:space="preserve"> – Series G prowadzona przez a16z, wycena 4 mld USD.</w:t>
      </w:r>
    </w:p>
    <w:p w14:paraId="690C3717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lastRenderedPageBreak/>
        <w:t>Styczeń 2021</w:t>
      </w:r>
      <w:r w:rsidRPr="00205573">
        <w:rPr>
          <w:lang w:val="pl-PL"/>
        </w:rPr>
        <w:t xml:space="preserve"> – Series H (</w:t>
      </w:r>
      <w:proofErr w:type="spellStart"/>
      <w:r w:rsidRPr="00205573">
        <w:rPr>
          <w:lang w:val="pl-PL"/>
        </w:rPr>
        <w:t>Altimeter</w:t>
      </w:r>
      <w:proofErr w:type="spellEnd"/>
      <w:r w:rsidRPr="00205573">
        <w:rPr>
          <w:lang w:val="pl-PL"/>
        </w:rPr>
        <w:t>/</w:t>
      </w:r>
      <w:proofErr w:type="spellStart"/>
      <w:r w:rsidRPr="00205573">
        <w:rPr>
          <w:lang w:val="pl-PL"/>
        </w:rPr>
        <w:t>Dragoneer</w:t>
      </w:r>
      <w:proofErr w:type="spellEnd"/>
      <w:r w:rsidRPr="00205573">
        <w:rPr>
          <w:lang w:val="pl-PL"/>
        </w:rPr>
        <w:t>), 520 mln USD, wycena 29,5 mld USD (7,4× wzrost vs. Series G w 11 miesięcy).</w:t>
      </w:r>
    </w:p>
    <w:p w14:paraId="14AA6791" w14:textId="77777777" w:rsidR="00A1307C" w:rsidRPr="00205573" w:rsidRDefault="00000000">
      <w:pPr>
        <w:pStyle w:val="ListBullet"/>
        <w:rPr>
          <w:lang w:val="pl-PL"/>
        </w:rPr>
      </w:pPr>
      <w:r>
        <w:rPr>
          <w:b/>
        </w:rPr>
        <w:t xml:space="preserve">10 </w:t>
      </w:r>
      <w:proofErr w:type="spellStart"/>
      <w:r>
        <w:rPr>
          <w:b/>
        </w:rPr>
        <w:t>marca</w:t>
      </w:r>
      <w:proofErr w:type="spellEnd"/>
      <w:r>
        <w:rPr>
          <w:b/>
        </w:rPr>
        <w:t xml:space="preserve"> 2021</w:t>
      </w:r>
      <w:r>
        <w:t xml:space="preserve"> – Direct listing na NYSE (ticker: RBLX). </w:t>
      </w:r>
      <w:r w:rsidRPr="00205573">
        <w:rPr>
          <w:lang w:val="pl-PL"/>
        </w:rPr>
        <w:t xml:space="preserve">Cena referencyjna 45 USD, zamknięcie pierwszego dnia 69,50 USD, wycena </w:t>
      </w:r>
      <w:proofErr w:type="spellStart"/>
      <w:r w:rsidRPr="00205573">
        <w:rPr>
          <w:lang w:val="pl-PL"/>
        </w:rPr>
        <w:t>fully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diluted</w:t>
      </w:r>
      <w:proofErr w:type="spellEnd"/>
      <w:r w:rsidRPr="00205573">
        <w:rPr>
          <w:lang w:val="pl-PL"/>
        </w:rPr>
        <w:t xml:space="preserve"> 45,3 mld USD – największy debiut w historii spółek </w:t>
      </w:r>
      <w:proofErr w:type="spellStart"/>
      <w:r w:rsidRPr="00205573">
        <w:rPr>
          <w:lang w:val="pl-PL"/>
        </w:rPr>
        <w:t>gamingowych</w:t>
      </w:r>
      <w:proofErr w:type="spellEnd"/>
      <w:r w:rsidRPr="00205573">
        <w:rPr>
          <w:lang w:val="pl-PL"/>
        </w:rPr>
        <w:t xml:space="preserve"> i największy </w:t>
      </w:r>
      <w:proofErr w:type="spellStart"/>
      <w:r w:rsidRPr="00205573">
        <w:rPr>
          <w:lang w:val="pl-PL"/>
        </w:rPr>
        <w:t>direct</w:t>
      </w:r>
      <w:proofErr w:type="spellEnd"/>
      <w:r w:rsidRPr="00205573">
        <w:rPr>
          <w:lang w:val="pl-PL"/>
        </w:rPr>
        <w:t xml:space="preserve"> listing przed </w:t>
      </w:r>
      <w:proofErr w:type="spellStart"/>
      <w:r w:rsidRPr="00205573">
        <w:rPr>
          <w:lang w:val="pl-PL"/>
        </w:rPr>
        <w:t>Coinbase</w:t>
      </w:r>
      <w:proofErr w:type="spellEnd"/>
      <w:r w:rsidRPr="00205573">
        <w:rPr>
          <w:lang w:val="pl-PL"/>
        </w:rPr>
        <w:t>.</w:t>
      </w:r>
    </w:p>
    <w:p w14:paraId="6853E2F7" w14:textId="77777777" w:rsidR="00A1307C" w:rsidRPr="00205573" w:rsidRDefault="00000000">
      <w:pPr>
        <w:pStyle w:val="Heading3"/>
        <w:rPr>
          <w:lang w:val="pl-PL"/>
        </w:rPr>
      </w:pPr>
      <w:r w:rsidRPr="00205573">
        <w:rPr>
          <w:lang w:val="pl-PL"/>
        </w:rPr>
        <w:t xml:space="preserve">6.1. Koszt alternatywny ograniczonego </w:t>
      </w:r>
      <w:proofErr w:type="spellStart"/>
      <w:r w:rsidRPr="00205573">
        <w:rPr>
          <w:lang w:val="pl-PL"/>
        </w:rPr>
        <w:t>follow</w:t>
      </w:r>
      <w:proofErr w:type="spellEnd"/>
      <w:r w:rsidRPr="00205573">
        <w:rPr>
          <w:lang w:val="pl-PL"/>
        </w:rPr>
        <w:t>-on</w:t>
      </w:r>
    </w:p>
    <w:p w14:paraId="75370DE5" w14:textId="77777777" w:rsidR="00A1307C" w:rsidRDefault="00000000">
      <w:r w:rsidRPr="00205573">
        <w:rPr>
          <w:lang w:val="pl-PL"/>
        </w:rPr>
        <w:t xml:space="preserve">Strategia a16z w </w:t>
      </w:r>
      <w:proofErr w:type="spellStart"/>
      <w:r w:rsidRPr="00205573">
        <w:rPr>
          <w:lang w:val="pl-PL"/>
        </w:rPr>
        <w:t>Robloxie</w:t>
      </w:r>
      <w:proofErr w:type="spellEnd"/>
      <w:r w:rsidRPr="00205573">
        <w:rPr>
          <w:lang w:val="pl-PL"/>
        </w:rPr>
        <w:t xml:space="preserve"> pokazuje wyraźną asymetrię: fundusz wszedł agresywnie w Series G, ale nie zwiększył pozycji w </w:t>
      </w:r>
      <w:proofErr w:type="spellStart"/>
      <w:r w:rsidRPr="00205573">
        <w:rPr>
          <w:lang w:val="pl-PL"/>
        </w:rPr>
        <w:t>crossoverowej</w:t>
      </w:r>
      <w:proofErr w:type="spellEnd"/>
      <w:r w:rsidRPr="00205573">
        <w:rPr>
          <w:lang w:val="pl-PL"/>
        </w:rPr>
        <w:t xml:space="preserve"> Series H, kiedy wycena była już 7,4× wyższa. Z perspektywy </w:t>
      </w:r>
      <w:proofErr w:type="spellStart"/>
      <w:r w:rsidRPr="00205573">
        <w:rPr>
          <w:lang w:val="pl-PL"/>
        </w:rPr>
        <w:t>power</w:t>
      </w:r>
      <w:proofErr w:type="spellEnd"/>
      <w:r w:rsidRPr="00205573">
        <w:rPr>
          <w:lang w:val="pl-PL"/>
        </w:rPr>
        <w:t xml:space="preserve"> law typowej dla portfela VC było to racjonalne (papier był już zarobiony), ale zarazem znacząco ograniczyło absolutną wartość zwrotu.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porównania</w:t>
      </w:r>
      <w:proofErr w:type="spellEnd"/>
      <w:r>
        <w:t>:</w:t>
      </w:r>
    </w:p>
    <w:p w14:paraId="5C1D072C" w14:textId="77777777" w:rsidR="00A1307C" w:rsidRDefault="00000000">
      <w:pPr>
        <w:pStyle w:val="ListBullet"/>
      </w:pPr>
      <w:proofErr w:type="spellStart"/>
      <w:r w:rsidRPr="00205573">
        <w:rPr>
          <w:b/>
          <w:lang w:val="pl-PL"/>
        </w:rPr>
        <w:t>Coinbase</w:t>
      </w:r>
      <w:proofErr w:type="spellEnd"/>
      <w:r w:rsidRPr="00205573">
        <w:rPr>
          <w:lang w:val="pl-PL"/>
        </w:rPr>
        <w:t xml:space="preserve"> – a16z dokładał kapitał w kolejnych kilkunastu rundach, gromadząc ostatecznie ok. 15-procentowy udział i blisko 20 mln akcji; w momencie </w:t>
      </w:r>
      <w:proofErr w:type="spellStart"/>
      <w:r w:rsidRPr="00205573">
        <w:rPr>
          <w:lang w:val="pl-PL"/>
        </w:rPr>
        <w:t>direct</w:t>
      </w:r>
      <w:proofErr w:type="spellEnd"/>
      <w:r w:rsidRPr="00205573">
        <w:rPr>
          <w:lang w:val="pl-PL"/>
        </w:rPr>
        <w:t xml:space="preserve"> listingu pakiet wart był ok. 10 mld USD (ok. 60× zwrot na zagregowanym kapitale). </w:t>
      </w:r>
      <w:proofErr w:type="spellStart"/>
      <w:r>
        <w:t>Konsekwentny</w:t>
      </w:r>
      <w:proofErr w:type="spellEnd"/>
      <w:r>
        <w:t xml:space="preserve"> follow-on </w:t>
      </w:r>
      <w:proofErr w:type="spellStart"/>
      <w:r>
        <w:t>okazał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tu kluczowym differentiatorem.</w:t>
      </w:r>
    </w:p>
    <w:p w14:paraId="60A8FBEC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Lyft</w:t>
      </w:r>
      <w:r w:rsidRPr="00205573">
        <w:rPr>
          <w:lang w:val="pl-PL"/>
        </w:rPr>
        <w:t xml:space="preserve"> – a16z utrzymał 6,3% akcji aż do IPO (wartość ok. 1,2 mld USD), uczestnicząc w rundach Series D, E i F mimo rosnącej konkurencji ze strony Ubera.</w:t>
      </w:r>
    </w:p>
    <w:p w14:paraId="4DD57DE0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Instagram (</w:t>
      </w:r>
      <w:proofErr w:type="spellStart"/>
      <w:r w:rsidRPr="00205573">
        <w:rPr>
          <w:b/>
          <w:lang w:val="pl-PL"/>
        </w:rPr>
        <w:t>case</w:t>
      </w:r>
      <w:proofErr w:type="spellEnd"/>
      <w:r w:rsidRPr="00205573">
        <w:rPr>
          <w:b/>
          <w:lang w:val="pl-PL"/>
        </w:rPr>
        <w:t xml:space="preserve"> przeciwny)</w:t>
      </w:r>
      <w:r w:rsidRPr="00205573">
        <w:rPr>
          <w:lang w:val="pl-PL"/>
        </w:rPr>
        <w:t xml:space="preserve"> – </w:t>
      </w:r>
      <w:proofErr w:type="spellStart"/>
      <w:r w:rsidRPr="00205573">
        <w:rPr>
          <w:lang w:val="pl-PL"/>
        </w:rPr>
        <w:t>Baseline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Ventures</w:t>
      </w:r>
      <w:proofErr w:type="spellEnd"/>
      <w:r w:rsidRPr="00205573">
        <w:rPr>
          <w:lang w:val="pl-PL"/>
        </w:rPr>
        <w:t xml:space="preserve">, w odróżnieniu od a16z, konsekwentnie wykonywał prawo pro-rata i wyszedł z ok. 12% udziałem (zarobek 120–150 mln USD), podczas gdy a16z z analogicznej rundy </w:t>
      </w:r>
      <w:proofErr w:type="spellStart"/>
      <w:r w:rsidRPr="00205573">
        <w:rPr>
          <w:lang w:val="pl-PL"/>
        </w:rPr>
        <w:t>seed</w:t>
      </w:r>
      <w:proofErr w:type="spellEnd"/>
      <w:r w:rsidRPr="00205573">
        <w:rPr>
          <w:lang w:val="pl-PL"/>
        </w:rPr>
        <w:t xml:space="preserve"> otrzymał ok. 78 mln USD ze względu na rezygnację z dalszych rund.</w:t>
      </w:r>
    </w:p>
    <w:p w14:paraId="124ADEDB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W </w:t>
      </w:r>
      <w:proofErr w:type="spellStart"/>
      <w:r w:rsidRPr="00205573">
        <w:rPr>
          <w:lang w:val="pl-PL"/>
        </w:rPr>
        <w:t>Robloxie</w:t>
      </w:r>
      <w:proofErr w:type="spellEnd"/>
      <w:r w:rsidRPr="00205573">
        <w:rPr>
          <w:lang w:val="pl-PL"/>
        </w:rPr>
        <w:t xml:space="preserve"> a16z świadomie zrezygnował z roli </w:t>
      </w:r>
      <w:proofErr w:type="spellStart"/>
      <w:r w:rsidRPr="00205573">
        <w:rPr>
          <w:lang w:val="pl-PL"/>
        </w:rPr>
        <w:t>lead</w:t>
      </w:r>
      <w:proofErr w:type="spellEnd"/>
      <w:r w:rsidRPr="00205573">
        <w:rPr>
          <w:lang w:val="pl-PL"/>
        </w:rPr>
        <w:t xml:space="preserve"> w Series H, co najprawdopodobniej kosztowało fundusz kilka punktów procentowych udziału w spółce na moment </w:t>
      </w:r>
      <w:proofErr w:type="spellStart"/>
      <w:r w:rsidRPr="00205573">
        <w:rPr>
          <w:lang w:val="pl-PL"/>
        </w:rPr>
        <w:t>direct</w:t>
      </w:r>
      <w:proofErr w:type="spellEnd"/>
      <w:r w:rsidRPr="00205573">
        <w:rPr>
          <w:lang w:val="pl-PL"/>
        </w:rPr>
        <w:t xml:space="preserve"> listingu. Decyzja ta jest jednak spójna z filozofią LSV: inwestowanie w fazie „</w:t>
      </w:r>
      <w:proofErr w:type="spellStart"/>
      <w:r w:rsidRPr="00205573">
        <w:rPr>
          <w:lang w:val="pl-PL"/>
        </w:rPr>
        <w:t>is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it</w:t>
      </w:r>
      <w:proofErr w:type="spellEnd"/>
      <w:r w:rsidRPr="00205573">
        <w:rPr>
          <w:lang w:val="pl-PL"/>
        </w:rPr>
        <w:t xml:space="preserve"> </w:t>
      </w:r>
      <w:proofErr w:type="spellStart"/>
      <w:proofErr w:type="gramStart"/>
      <w:r w:rsidRPr="00205573">
        <w:rPr>
          <w:lang w:val="pl-PL"/>
        </w:rPr>
        <w:t>working</w:t>
      </w:r>
      <w:proofErr w:type="spellEnd"/>
      <w:r w:rsidRPr="00205573">
        <w:rPr>
          <w:lang w:val="pl-PL"/>
        </w:rPr>
        <w:t>?“</w:t>
      </w:r>
      <w:proofErr w:type="gramEnd"/>
      <w:r w:rsidRPr="00205573">
        <w:rPr>
          <w:lang w:val="pl-PL"/>
        </w:rPr>
        <w:t>, a nie w fazie maksymalnego rozgrzania wyceny przed wyjściem publicznym.</w:t>
      </w:r>
    </w:p>
    <w:p w14:paraId="5D544149" w14:textId="77777777" w:rsidR="00A1307C" w:rsidRPr="00205573" w:rsidRDefault="00000000">
      <w:pPr>
        <w:pStyle w:val="Heading2"/>
        <w:rPr>
          <w:lang w:val="pl-PL"/>
        </w:rPr>
      </w:pPr>
      <w:r w:rsidRPr="00205573">
        <w:rPr>
          <w:lang w:val="pl-PL"/>
        </w:rPr>
        <w:t>7. Wyniki inwestycji</w:t>
      </w:r>
    </w:p>
    <w:p w14:paraId="04598389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>Inwestycja Series G okazała się dla a16z spektakularnym sukcesem na poziomie księgowym (</w:t>
      </w:r>
      <w:proofErr w:type="spellStart"/>
      <w:r w:rsidRPr="00205573">
        <w:rPr>
          <w:lang w:val="pl-PL"/>
        </w:rPr>
        <w:t>paper</w:t>
      </w:r>
      <w:proofErr w:type="spellEnd"/>
      <w:r w:rsidRPr="00205573">
        <w:rPr>
          <w:lang w:val="pl-PL"/>
        </w:rPr>
        <w:t xml:space="preserve"> return) na moment </w:t>
      </w:r>
      <w:proofErr w:type="spellStart"/>
      <w:r w:rsidRPr="00205573">
        <w:rPr>
          <w:lang w:val="pl-PL"/>
        </w:rPr>
        <w:t>direct</w:t>
      </w:r>
      <w:proofErr w:type="spellEnd"/>
      <w:r w:rsidRPr="00205573">
        <w:rPr>
          <w:lang w:val="pl-PL"/>
        </w:rPr>
        <w:t xml:space="preserve"> listing: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1307C" w14:paraId="1D95ECB7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917D577" w14:textId="77777777" w:rsidR="00A1307C" w:rsidRDefault="00000000">
            <w:r>
              <w:rPr>
                <w:b/>
              </w:rPr>
              <w:t>Moment</w:t>
            </w:r>
          </w:p>
        </w:tc>
        <w:tc>
          <w:tcPr>
            <w:tcW w:w="4968" w:type="dxa"/>
            <w:shd w:val="clear" w:color="auto" w:fill="D9EAF7"/>
          </w:tcPr>
          <w:p w14:paraId="22652700" w14:textId="77777777" w:rsidR="00A1307C" w:rsidRDefault="00000000">
            <w:r>
              <w:rPr>
                <w:b/>
              </w:rPr>
              <w:t>Wycena Roblox</w:t>
            </w:r>
          </w:p>
        </w:tc>
      </w:tr>
      <w:tr w:rsidR="00A1307C" w14:paraId="091B6A83" w14:textId="77777777">
        <w:trPr>
          <w:jc w:val="center"/>
        </w:trPr>
        <w:tc>
          <w:tcPr>
            <w:tcW w:w="4968" w:type="dxa"/>
          </w:tcPr>
          <w:p w14:paraId="1BA6E76C" w14:textId="77777777" w:rsidR="00A1307C" w:rsidRDefault="00000000">
            <w:r>
              <w:t>Wejście a16z (luty 2020)</w:t>
            </w:r>
          </w:p>
        </w:tc>
        <w:tc>
          <w:tcPr>
            <w:tcW w:w="4968" w:type="dxa"/>
          </w:tcPr>
          <w:p w14:paraId="6D08E3E3" w14:textId="77777777" w:rsidR="00A1307C" w:rsidRDefault="00000000">
            <w:r>
              <w:t>4 mld USD</w:t>
            </w:r>
          </w:p>
        </w:tc>
      </w:tr>
      <w:tr w:rsidR="00A1307C" w14:paraId="7B017F81" w14:textId="77777777">
        <w:trPr>
          <w:jc w:val="center"/>
        </w:trPr>
        <w:tc>
          <w:tcPr>
            <w:tcW w:w="4968" w:type="dxa"/>
          </w:tcPr>
          <w:p w14:paraId="7BD1DE68" w14:textId="77777777" w:rsidR="00A1307C" w:rsidRDefault="00000000">
            <w:r>
              <w:t>Series H (styczeń 2021)</w:t>
            </w:r>
          </w:p>
        </w:tc>
        <w:tc>
          <w:tcPr>
            <w:tcW w:w="4968" w:type="dxa"/>
          </w:tcPr>
          <w:p w14:paraId="3D4E2C2D" w14:textId="77777777" w:rsidR="00A1307C" w:rsidRDefault="00000000">
            <w:r>
              <w:t>29,5 mld USD (+638%)</w:t>
            </w:r>
          </w:p>
        </w:tc>
      </w:tr>
      <w:tr w:rsidR="00A1307C" w14:paraId="4E442893" w14:textId="77777777">
        <w:trPr>
          <w:jc w:val="center"/>
        </w:trPr>
        <w:tc>
          <w:tcPr>
            <w:tcW w:w="4968" w:type="dxa"/>
          </w:tcPr>
          <w:p w14:paraId="03856ACF" w14:textId="77777777" w:rsidR="00A1307C" w:rsidRDefault="00000000">
            <w:r>
              <w:t>Direct listing close (10.03.2021)</w:t>
            </w:r>
          </w:p>
        </w:tc>
        <w:tc>
          <w:tcPr>
            <w:tcW w:w="4968" w:type="dxa"/>
          </w:tcPr>
          <w:p w14:paraId="305F2CBD" w14:textId="77777777" w:rsidR="00A1307C" w:rsidRDefault="00000000">
            <w:r>
              <w:t>45,3 mld USD (+1 033%)</w:t>
            </w:r>
          </w:p>
        </w:tc>
      </w:tr>
    </w:tbl>
    <w:p w14:paraId="27D5680B" w14:textId="77777777" w:rsidR="00A1307C" w:rsidRDefault="00A1307C"/>
    <w:p w14:paraId="41054344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W ciągu 12,5 miesiąca papierowy zwrot a16z na akcjach Series G wzrósł ok. </w:t>
      </w:r>
      <w:r w:rsidRPr="00205573">
        <w:rPr>
          <w:b/>
          <w:lang w:val="pl-PL"/>
        </w:rPr>
        <w:t>11-krotnie</w:t>
      </w:r>
      <w:r w:rsidRPr="00205573">
        <w:rPr>
          <w:lang w:val="pl-PL"/>
        </w:rPr>
        <w:t xml:space="preserve"> (mierzony wyceną spółki). Po debiucie kurs RBLX podlegał silnym wahaniom – od szczytu ok. 134 USD w listopadzie 2021 r., przez głęboki spadek do ok. 25 USD w 2022 r. (korekta sektora </w:t>
      </w:r>
      <w:proofErr w:type="spellStart"/>
      <w:r w:rsidRPr="00205573">
        <w:rPr>
          <w:lang w:val="pl-PL"/>
        </w:rPr>
        <w:t>tech</w:t>
      </w:r>
      <w:proofErr w:type="spellEnd"/>
      <w:r w:rsidRPr="00205573">
        <w:rPr>
          <w:lang w:val="pl-PL"/>
        </w:rPr>
        <w:t xml:space="preserve"> i ostudzenie narracji </w:t>
      </w:r>
      <w:proofErr w:type="spellStart"/>
      <w:r w:rsidRPr="00205573">
        <w:rPr>
          <w:lang w:val="pl-PL"/>
        </w:rPr>
        <w:t>metaversowej</w:t>
      </w:r>
      <w:proofErr w:type="spellEnd"/>
      <w:r w:rsidRPr="00205573">
        <w:rPr>
          <w:lang w:val="pl-PL"/>
        </w:rPr>
        <w:t>), z odbiciem w latach 2024–2025 w okolice 60–80 USD. Realny IRR a16z zależy od momentu i tempa upłynniania pozycji, których fundusz publicznie nie ujawnia.</w:t>
      </w:r>
    </w:p>
    <w:p w14:paraId="01F2564F" w14:textId="77777777" w:rsidR="00A1307C" w:rsidRPr="00205573" w:rsidRDefault="00000000">
      <w:pPr>
        <w:pStyle w:val="Heading3"/>
        <w:rPr>
          <w:lang w:val="pl-PL"/>
        </w:rPr>
      </w:pPr>
      <w:r w:rsidRPr="00205573">
        <w:rPr>
          <w:lang w:val="pl-PL"/>
        </w:rPr>
        <w:t xml:space="preserve">7.1.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w portfelu a16z (kontekst </w:t>
      </w:r>
      <w:proofErr w:type="spellStart"/>
      <w:r w:rsidRPr="00205573">
        <w:rPr>
          <w:lang w:val="pl-PL"/>
        </w:rPr>
        <w:t>power</w:t>
      </w:r>
      <w:proofErr w:type="spellEnd"/>
      <w:r w:rsidRPr="00205573">
        <w:rPr>
          <w:lang w:val="pl-PL"/>
        </w:rPr>
        <w:t xml:space="preserve"> law)</w:t>
      </w:r>
    </w:p>
    <w:p w14:paraId="48E5B691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Venture </w:t>
      </w:r>
      <w:proofErr w:type="spellStart"/>
      <w:r w:rsidRPr="00205573">
        <w:rPr>
          <w:lang w:val="pl-PL"/>
        </w:rPr>
        <w:t>capital</w:t>
      </w:r>
      <w:proofErr w:type="spellEnd"/>
      <w:r w:rsidRPr="00205573">
        <w:rPr>
          <w:lang w:val="pl-PL"/>
        </w:rPr>
        <w:t xml:space="preserve"> funkcjonuje w logice </w:t>
      </w:r>
      <w:proofErr w:type="spellStart"/>
      <w:r w:rsidRPr="00205573">
        <w:rPr>
          <w:lang w:val="pl-PL"/>
        </w:rPr>
        <w:t>power</w:t>
      </w:r>
      <w:proofErr w:type="spellEnd"/>
      <w:r w:rsidRPr="00205573">
        <w:rPr>
          <w:lang w:val="pl-PL"/>
        </w:rPr>
        <w:t xml:space="preserve"> law: większość inwestycji traci pieniądze lub generuje niski zwrot, a cały wynik funduszu zależy od kilku spektakularnych </w:t>
      </w:r>
      <w:proofErr w:type="spellStart"/>
      <w:r w:rsidRPr="00205573">
        <w:rPr>
          <w:lang w:val="pl-PL"/>
        </w:rPr>
        <w:t>wygrów</w:t>
      </w:r>
      <w:proofErr w:type="spellEnd"/>
      <w:r w:rsidRPr="00205573">
        <w:rPr>
          <w:lang w:val="pl-PL"/>
        </w:rPr>
        <w:t xml:space="preserve">.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jest jednym z driverów wyników a16z </w:t>
      </w:r>
      <w:proofErr w:type="spellStart"/>
      <w:r w:rsidRPr="00205573">
        <w:rPr>
          <w:lang w:val="pl-PL"/>
        </w:rPr>
        <w:t>Late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Stage</w:t>
      </w:r>
      <w:proofErr w:type="spellEnd"/>
      <w:r w:rsidRPr="00205573">
        <w:rPr>
          <w:lang w:val="pl-PL"/>
        </w:rPr>
        <w:t xml:space="preserve"> Venture Fund obok takich pozycji jak </w:t>
      </w:r>
      <w:proofErr w:type="spellStart"/>
      <w:r w:rsidRPr="00205573">
        <w:rPr>
          <w:b/>
          <w:lang w:val="pl-PL"/>
        </w:rPr>
        <w:t>Coinbase</w:t>
      </w:r>
      <w:proofErr w:type="spellEnd"/>
      <w:r w:rsidRPr="00205573">
        <w:rPr>
          <w:lang w:val="pl-PL"/>
        </w:rPr>
        <w:t xml:space="preserve"> (ok. 60× zwrot), </w:t>
      </w:r>
      <w:proofErr w:type="spellStart"/>
      <w:r w:rsidRPr="00205573">
        <w:rPr>
          <w:b/>
          <w:lang w:val="pl-PL"/>
        </w:rPr>
        <w:t>Databricks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b/>
          <w:lang w:val="pl-PL"/>
        </w:rPr>
        <w:t>Figma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b/>
          <w:lang w:val="pl-PL"/>
        </w:rPr>
        <w:t>Instacart</w:t>
      </w:r>
      <w:proofErr w:type="spellEnd"/>
      <w:r w:rsidRPr="00205573">
        <w:rPr>
          <w:lang w:val="pl-PL"/>
        </w:rPr>
        <w:t xml:space="preserve"> czy </w:t>
      </w:r>
      <w:proofErr w:type="spellStart"/>
      <w:r w:rsidRPr="00205573">
        <w:rPr>
          <w:b/>
          <w:lang w:val="pl-PL"/>
        </w:rPr>
        <w:t>Robinhood</w:t>
      </w:r>
      <w:proofErr w:type="spellEnd"/>
      <w:r w:rsidRPr="00205573">
        <w:rPr>
          <w:lang w:val="pl-PL"/>
        </w:rPr>
        <w:t xml:space="preserve"> – wszystkich prowadzonych przez Davida George’a po jego przejściu z General </w:t>
      </w:r>
      <w:proofErr w:type="spellStart"/>
      <w:r w:rsidRPr="00205573">
        <w:rPr>
          <w:lang w:val="pl-PL"/>
        </w:rPr>
        <w:t>Atlantic</w:t>
      </w:r>
      <w:proofErr w:type="spellEnd"/>
      <w:r w:rsidRPr="00205573">
        <w:rPr>
          <w:lang w:val="pl-PL"/>
        </w:rPr>
        <w:t xml:space="preserve"> do a16z w 2019 r.</w:t>
      </w:r>
    </w:p>
    <w:p w14:paraId="2F99B66A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lastRenderedPageBreak/>
        <w:t xml:space="preserve">Dla pełnego obrazu warto zestawić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z udokumentowanymi porażkami a16z z analogicznego okresu: </w:t>
      </w:r>
      <w:proofErr w:type="spellStart"/>
      <w:r w:rsidRPr="00205573">
        <w:rPr>
          <w:b/>
          <w:lang w:val="pl-PL"/>
        </w:rPr>
        <w:t>Jawbone</w:t>
      </w:r>
      <w:proofErr w:type="spellEnd"/>
      <w:r w:rsidRPr="00205573">
        <w:rPr>
          <w:lang w:val="pl-PL"/>
        </w:rPr>
        <w:t xml:space="preserve"> (ok. 49 mln USD zaangażowania, likwidacja w 2017 r., całkowita strata), </w:t>
      </w:r>
      <w:proofErr w:type="spellStart"/>
      <w:r w:rsidRPr="00205573">
        <w:rPr>
          <w:b/>
          <w:lang w:val="pl-PL"/>
        </w:rPr>
        <w:t>Basis</w:t>
      </w:r>
      <w:proofErr w:type="spellEnd"/>
      <w:r w:rsidRPr="00205573">
        <w:rPr>
          <w:b/>
          <w:lang w:val="pl-PL"/>
        </w:rPr>
        <w:t>/</w:t>
      </w:r>
      <w:proofErr w:type="spellStart"/>
      <w:r w:rsidRPr="00205573">
        <w:rPr>
          <w:b/>
          <w:lang w:val="pl-PL"/>
        </w:rPr>
        <w:t>Basecoin</w:t>
      </w:r>
      <w:proofErr w:type="spellEnd"/>
      <w:r w:rsidRPr="00205573">
        <w:rPr>
          <w:lang w:val="pl-PL"/>
        </w:rPr>
        <w:t xml:space="preserve"> (uczestnictwo w rundzie 133 mln USD, zamknięcie w 2018 r. z powodu bariery regulacyjnej SAFT), </w:t>
      </w:r>
      <w:proofErr w:type="spellStart"/>
      <w:r w:rsidRPr="00205573">
        <w:rPr>
          <w:b/>
          <w:lang w:val="pl-PL"/>
        </w:rPr>
        <w:t>Synapse</w:t>
      </w:r>
      <w:proofErr w:type="spellEnd"/>
      <w:r w:rsidRPr="00205573">
        <w:rPr>
          <w:b/>
          <w:lang w:val="pl-PL"/>
        </w:rPr>
        <w:t xml:space="preserve"> Financial Technologies</w:t>
      </w:r>
      <w:r w:rsidRPr="00205573">
        <w:rPr>
          <w:lang w:val="pl-PL"/>
        </w:rPr>
        <w:t xml:space="preserve"> (bankructwo w 2024 r., całkowita strata) czy zaangażowanie w przejęcie </w:t>
      </w:r>
      <w:proofErr w:type="spellStart"/>
      <w:r w:rsidRPr="00205573">
        <w:rPr>
          <w:lang w:val="pl-PL"/>
        </w:rPr>
        <w:t>Twittera</w:t>
      </w:r>
      <w:proofErr w:type="spellEnd"/>
      <w:r w:rsidRPr="00205573">
        <w:rPr>
          <w:lang w:val="pl-PL"/>
        </w:rPr>
        <w:t xml:space="preserve"> przez Muska (400 mln USD equity, szacowana strata 50–70% wartości początkowej). Zwrot 11× na </w:t>
      </w:r>
      <w:proofErr w:type="spellStart"/>
      <w:r w:rsidRPr="00205573">
        <w:rPr>
          <w:lang w:val="pl-PL"/>
        </w:rPr>
        <w:t>Robloxie</w:t>
      </w:r>
      <w:proofErr w:type="spellEnd"/>
      <w:r w:rsidRPr="00205573">
        <w:rPr>
          <w:lang w:val="pl-PL"/>
        </w:rPr>
        <w:t xml:space="preserve"> w 13 miesięcy z łatwością pokrywa którąkolwiek z tych strat – co potwierdza, że strategia a16z polega nie na unikaniu porażek, lecz na zapewnieniu, że pojedyncze wygrane (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Coinbase</w:t>
      </w:r>
      <w:proofErr w:type="spellEnd"/>
      <w:r w:rsidRPr="00205573">
        <w:rPr>
          <w:lang w:val="pl-PL"/>
        </w:rPr>
        <w:t>, GitHub, Lyft, Instagram) są na tyle duże, by pokryć cały portfel.</w:t>
      </w:r>
    </w:p>
    <w:p w14:paraId="36F7D3E7" w14:textId="77777777" w:rsidR="00A1307C" w:rsidRPr="00205573" w:rsidRDefault="00000000">
      <w:pPr>
        <w:pStyle w:val="Heading2"/>
        <w:rPr>
          <w:lang w:val="pl-PL"/>
        </w:rPr>
      </w:pPr>
      <w:r w:rsidRPr="00205573">
        <w:rPr>
          <w:lang w:val="pl-PL"/>
        </w:rPr>
        <w:t>8. Ryzyka inwestycyjne i wnioski</w:t>
      </w:r>
    </w:p>
    <w:p w14:paraId="5C892520" w14:textId="77777777" w:rsidR="00A1307C" w:rsidRPr="00205573" w:rsidRDefault="00000000">
      <w:pPr>
        <w:pStyle w:val="Heading3"/>
        <w:rPr>
          <w:lang w:val="pl-PL"/>
        </w:rPr>
      </w:pPr>
      <w:r w:rsidRPr="00205573">
        <w:rPr>
          <w:lang w:val="pl-PL"/>
        </w:rPr>
        <w:t>8.1. Główne ryzyka identyfikowane w momencie inwestycji</w:t>
      </w:r>
    </w:p>
    <w:p w14:paraId="14621F29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Ryzyko koncentracji demograficznej</w:t>
      </w:r>
      <w:r w:rsidRPr="00205573">
        <w:rPr>
          <w:lang w:val="pl-PL"/>
        </w:rPr>
        <w:t xml:space="preserve"> – większość graczy poniżej 16 r.ż., co rodzi ryzyko regulacyjne (ochrona danych dzieci, COPPA, treści) oraz biznesowe (powrót do szkół po pandemii = spadek </w:t>
      </w:r>
      <w:proofErr w:type="spellStart"/>
      <w:r w:rsidRPr="00205573">
        <w:rPr>
          <w:lang w:val="pl-PL"/>
        </w:rPr>
        <w:t>engagementu</w:t>
      </w:r>
      <w:proofErr w:type="spellEnd"/>
      <w:r w:rsidRPr="00205573">
        <w:rPr>
          <w:lang w:val="pl-PL"/>
        </w:rPr>
        <w:t>).</w:t>
      </w:r>
    </w:p>
    <w:p w14:paraId="135215E7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Ryzyko wyceny</w:t>
      </w:r>
      <w:r w:rsidRPr="00205573">
        <w:rPr>
          <w:lang w:val="pl-PL"/>
        </w:rPr>
        <w:t xml:space="preserve"> – 7-krotny wzrost wyceny w 11 miesięcy w warunkach pandemii był ekstremalny i pozostawiał niewielki margines bezpieczeństwa.</w:t>
      </w:r>
    </w:p>
    <w:p w14:paraId="4F1F06A0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Ryzyko platformowe</w:t>
      </w:r>
      <w:r w:rsidRPr="00205573">
        <w:rPr>
          <w:lang w:val="pl-PL"/>
        </w:rPr>
        <w:t xml:space="preserve"> – uzależnienie od polityk </w:t>
      </w:r>
      <w:proofErr w:type="spellStart"/>
      <w:r w:rsidRPr="00205573">
        <w:rPr>
          <w:lang w:val="pl-PL"/>
        </w:rPr>
        <w:t>App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Store</w:t>
      </w:r>
      <w:proofErr w:type="spellEnd"/>
      <w:r w:rsidRPr="00205573">
        <w:rPr>
          <w:lang w:val="pl-PL"/>
        </w:rPr>
        <w:t xml:space="preserve"> i Google Play oraz ich opłat (do 30%).</w:t>
      </w:r>
    </w:p>
    <w:p w14:paraId="744DFB71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 xml:space="preserve">Ryzyko </w:t>
      </w:r>
      <w:proofErr w:type="spellStart"/>
      <w:r w:rsidRPr="00205573">
        <w:rPr>
          <w:b/>
          <w:lang w:val="pl-PL"/>
        </w:rPr>
        <w:t>monetyzacji</w:t>
      </w:r>
      <w:proofErr w:type="spellEnd"/>
      <w:r w:rsidRPr="00205573">
        <w:rPr>
          <w:b/>
          <w:lang w:val="pl-PL"/>
        </w:rPr>
        <w:t xml:space="preserve"> twórców</w:t>
      </w:r>
      <w:r w:rsidRPr="00205573">
        <w:rPr>
          <w:lang w:val="pl-PL"/>
        </w:rPr>
        <w:t xml:space="preserve"> – kontrowersje wokół niskich wypłat dla młodych twórców mogły uderzyć w reputację i przyciąganie talentów.</w:t>
      </w:r>
    </w:p>
    <w:p w14:paraId="6EB41DA7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 xml:space="preserve">Ryzyko narracji </w:t>
      </w:r>
      <w:proofErr w:type="spellStart"/>
      <w:r w:rsidRPr="00205573">
        <w:rPr>
          <w:b/>
          <w:lang w:val="pl-PL"/>
        </w:rPr>
        <w:t>metaverse</w:t>
      </w:r>
      <w:proofErr w:type="spellEnd"/>
      <w:r w:rsidRPr="00205573">
        <w:rPr>
          <w:lang w:val="pl-PL"/>
        </w:rPr>
        <w:t xml:space="preserve"> – uzależnienie wyceny od trendu, który okazał się znacznie wolniejszy niż prognozowano.</w:t>
      </w:r>
    </w:p>
    <w:p w14:paraId="0EE27666" w14:textId="77777777" w:rsidR="00A1307C" w:rsidRPr="00205573" w:rsidRDefault="00000000">
      <w:pPr>
        <w:pStyle w:val="Heading3"/>
        <w:rPr>
          <w:lang w:val="pl-PL"/>
        </w:rPr>
      </w:pPr>
      <w:r w:rsidRPr="00205573">
        <w:rPr>
          <w:lang w:val="pl-PL"/>
        </w:rPr>
        <w:t xml:space="preserve">8.2. Materializacja </w:t>
      </w:r>
      <w:proofErr w:type="spellStart"/>
      <w:r w:rsidRPr="00205573">
        <w:rPr>
          <w:lang w:val="pl-PL"/>
        </w:rPr>
        <w:t>ryzyk</w:t>
      </w:r>
      <w:proofErr w:type="spellEnd"/>
      <w:r w:rsidRPr="00205573">
        <w:rPr>
          <w:lang w:val="pl-PL"/>
        </w:rPr>
        <w:t xml:space="preserve"> ex-post</w:t>
      </w:r>
    </w:p>
    <w:p w14:paraId="20E4DBBB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Krytyczna ocena trafności identyfikacji </w:t>
      </w:r>
      <w:proofErr w:type="spellStart"/>
      <w:r w:rsidRPr="00205573">
        <w:rPr>
          <w:lang w:val="pl-PL"/>
        </w:rPr>
        <w:t>ryzyk</w:t>
      </w:r>
      <w:proofErr w:type="spellEnd"/>
      <w:r w:rsidRPr="00205573">
        <w:rPr>
          <w:lang w:val="pl-PL"/>
        </w:rPr>
        <w:t xml:space="preserve"> wymaga zestawienia ich z faktycznymi wydarzeniami w latach 2020–2025: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1307C" w14:paraId="4E24E5A2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06CE6303" w14:textId="77777777" w:rsidR="00A1307C" w:rsidRDefault="00000000">
            <w:proofErr w:type="spellStart"/>
            <w:r>
              <w:rPr>
                <w:b/>
              </w:rPr>
              <w:t>Ryzyko</w:t>
            </w:r>
            <w:proofErr w:type="spellEnd"/>
            <w:r>
              <w:rPr>
                <w:b/>
              </w:rPr>
              <w:t xml:space="preserve"> ex-ante</w:t>
            </w:r>
          </w:p>
        </w:tc>
        <w:tc>
          <w:tcPr>
            <w:tcW w:w="3312" w:type="dxa"/>
            <w:shd w:val="clear" w:color="auto" w:fill="D9EAF7"/>
          </w:tcPr>
          <w:p w14:paraId="36B927E8" w14:textId="77777777" w:rsidR="00A1307C" w:rsidRDefault="00000000">
            <w:r>
              <w:rPr>
                <w:b/>
              </w:rPr>
              <w:t>Materializacja ex-post</w:t>
            </w:r>
          </w:p>
        </w:tc>
        <w:tc>
          <w:tcPr>
            <w:tcW w:w="3312" w:type="dxa"/>
            <w:shd w:val="clear" w:color="auto" w:fill="D9EAF7"/>
          </w:tcPr>
          <w:p w14:paraId="783CC37F" w14:textId="77777777" w:rsidR="00A1307C" w:rsidRDefault="00000000">
            <w:r>
              <w:rPr>
                <w:b/>
              </w:rPr>
              <w:t>Ocena</w:t>
            </w:r>
          </w:p>
        </w:tc>
      </w:tr>
      <w:tr w:rsidR="00A1307C" w14:paraId="30BDA100" w14:textId="77777777">
        <w:trPr>
          <w:jc w:val="center"/>
        </w:trPr>
        <w:tc>
          <w:tcPr>
            <w:tcW w:w="3312" w:type="dxa"/>
          </w:tcPr>
          <w:p w14:paraId="788A537C" w14:textId="77777777" w:rsidR="00A1307C" w:rsidRDefault="00000000">
            <w:r>
              <w:t>Koncentracja demograficzna / COPPA</w:t>
            </w:r>
          </w:p>
        </w:tc>
        <w:tc>
          <w:tcPr>
            <w:tcW w:w="3312" w:type="dxa"/>
          </w:tcPr>
          <w:p w14:paraId="6DB1C1DE" w14:textId="77777777" w:rsidR="00A1307C" w:rsidRPr="00205573" w:rsidRDefault="00000000">
            <w:pPr>
              <w:rPr>
                <w:lang w:val="pl-PL"/>
              </w:rPr>
            </w:pPr>
            <w:r w:rsidRPr="00205573">
              <w:rPr>
                <w:lang w:val="pl-PL"/>
              </w:rPr>
              <w:t xml:space="preserve">Częściowa – </w:t>
            </w:r>
            <w:proofErr w:type="spellStart"/>
            <w:r w:rsidRPr="00205573">
              <w:rPr>
                <w:lang w:val="pl-PL"/>
              </w:rPr>
              <w:t>Roblox</w:t>
            </w:r>
            <w:proofErr w:type="spellEnd"/>
            <w:r w:rsidRPr="00205573">
              <w:rPr>
                <w:lang w:val="pl-PL"/>
              </w:rPr>
              <w:t xml:space="preserve"> zawarł ugody z regulatorami (m.in. pozwy zbiorowe rodziców 2022–2024), wprowadził </w:t>
            </w:r>
            <w:proofErr w:type="spellStart"/>
            <w:r w:rsidRPr="00205573">
              <w:rPr>
                <w:lang w:val="pl-PL"/>
              </w:rPr>
              <w:t>age</w:t>
            </w:r>
            <w:proofErr w:type="spellEnd"/>
            <w:r w:rsidRPr="00205573">
              <w:rPr>
                <w:lang w:val="pl-PL"/>
              </w:rPr>
              <w:t xml:space="preserve"> </w:t>
            </w:r>
            <w:proofErr w:type="spellStart"/>
            <w:r w:rsidRPr="00205573">
              <w:rPr>
                <w:lang w:val="pl-PL"/>
              </w:rPr>
              <w:t>verification</w:t>
            </w:r>
            <w:proofErr w:type="spellEnd"/>
            <w:r w:rsidRPr="00205573">
              <w:rPr>
                <w:lang w:val="pl-PL"/>
              </w:rPr>
              <w:t xml:space="preserve"> i </w:t>
            </w:r>
            <w:proofErr w:type="spellStart"/>
            <w:r w:rsidRPr="00205573">
              <w:rPr>
                <w:lang w:val="pl-PL"/>
              </w:rPr>
              <w:t>Roblox</w:t>
            </w:r>
            <w:proofErr w:type="spellEnd"/>
            <w:r w:rsidRPr="00205573">
              <w:rPr>
                <w:lang w:val="pl-PL"/>
              </w:rPr>
              <w:t xml:space="preserve"> Connect dla 17+</w:t>
            </w:r>
          </w:p>
        </w:tc>
        <w:tc>
          <w:tcPr>
            <w:tcW w:w="3312" w:type="dxa"/>
          </w:tcPr>
          <w:p w14:paraId="57674B39" w14:textId="77777777" w:rsidR="00A1307C" w:rsidRDefault="00000000">
            <w:proofErr w:type="spellStart"/>
            <w:r>
              <w:t>Materializacja</w:t>
            </w:r>
            <w:proofErr w:type="spellEnd"/>
            <w:r>
              <w:t xml:space="preserve">, ale </w:t>
            </w:r>
            <w:proofErr w:type="spellStart"/>
            <w:r>
              <w:t>opanowana</w:t>
            </w:r>
            <w:proofErr w:type="spellEnd"/>
            <w:r>
              <w:t xml:space="preserve"> </w:t>
            </w:r>
            <w:proofErr w:type="spellStart"/>
            <w:r>
              <w:t>operacyjnie</w:t>
            </w:r>
            <w:proofErr w:type="spellEnd"/>
          </w:p>
        </w:tc>
      </w:tr>
      <w:tr w:rsidR="00A1307C" w14:paraId="2E1A6D52" w14:textId="77777777">
        <w:trPr>
          <w:jc w:val="center"/>
        </w:trPr>
        <w:tc>
          <w:tcPr>
            <w:tcW w:w="3312" w:type="dxa"/>
          </w:tcPr>
          <w:p w14:paraId="75D647ED" w14:textId="77777777" w:rsidR="00A1307C" w:rsidRDefault="00000000">
            <w:r>
              <w:t>Wycena pandemiczna</w:t>
            </w:r>
          </w:p>
        </w:tc>
        <w:tc>
          <w:tcPr>
            <w:tcW w:w="3312" w:type="dxa"/>
          </w:tcPr>
          <w:p w14:paraId="38924184" w14:textId="77777777" w:rsidR="00A1307C" w:rsidRPr="00205573" w:rsidRDefault="00000000">
            <w:pPr>
              <w:rPr>
                <w:lang w:val="pl-PL"/>
              </w:rPr>
            </w:pPr>
            <w:r w:rsidRPr="00205573">
              <w:rPr>
                <w:lang w:val="pl-PL"/>
              </w:rPr>
              <w:t>TAK – kurs spadł z 134 USD (XI 2021) do ok. 25 USD (V 2022), korekta -81% od szczytu</w:t>
            </w:r>
          </w:p>
        </w:tc>
        <w:tc>
          <w:tcPr>
            <w:tcW w:w="3312" w:type="dxa"/>
          </w:tcPr>
          <w:p w14:paraId="5DE82684" w14:textId="77777777" w:rsidR="00A1307C" w:rsidRDefault="00000000">
            <w:proofErr w:type="spellStart"/>
            <w:r>
              <w:t>Pełna</w:t>
            </w:r>
            <w:proofErr w:type="spellEnd"/>
            <w:r>
              <w:t xml:space="preserve"> </w:t>
            </w:r>
            <w:proofErr w:type="spellStart"/>
            <w:r>
              <w:t>materializacja</w:t>
            </w:r>
            <w:proofErr w:type="spellEnd"/>
          </w:p>
        </w:tc>
      </w:tr>
      <w:tr w:rsidR="00A1307C" w14:paraId="73087D40" w14:textId="77777777">
        <w:trPr>
          <w:jc w:val="center"/>
        </w:trPr>
        <w:tc>
          <w:tcPr>
            <w:tcW w:w="3312" w:type="dxa"/>
          </w:tcPr>
          <w:p w14:paraId="46E0B4B0" w14:textId="77777777" w:rsidR="00A1307C" w:rsidRDefault="00000000">
            <w:r>
              <w:t>Platform fee (App Store/Google Play)</w:t>
            </w:r>
          </w:p>
        </w:tc>
        <w:tc>
          <w:tcPr>
            <w:tcW w:w="3312" w:type="dxa"/>
          </w:tcPr>
          <w:p w14:paraId="35808BDF" w14:textId="77777777" w:rsidR="00A1307C" w:rsidRPr="00205573" w:rsidRDefault="00000000">
            <w:pPr>
              <w:rPr>
                <w:lang w:val="pl-PL"/>
              </w:rPr>
            </w:pPr>
            <w:r w:rsidRPr="00205573">
              <w:rPr>
                <w:lang w:val="pl-PL"/>
              </w:rPr>
              <w:t xml:space="preserve">TAK – </w:t>
            </w:r>
            <w:proofErr w:type="spellStart"/>
            <w:r w:rsidRPr="00205573">
              <w:rPr>
                <w:lang w:val="pl-PL"/>
              </w:rPr>
              <w:t>Roblox</w:t>
            </w:r>
            <w:proofErr w:type="spellEnd"/>
            <w:r w:rsidRPr="00205573">
              <w:rPr>
                <w:lang w:val="pl-PL"/>
              </w:rPr>
              <w:t xml:space="preserve"> toczy spory z Apple, wpisuje się w szerszy konflikt wokół </w:t>
            </w:r>
            <w:proofErr w:type="spellStart"/>
            <w:r w:rsidRPr="00205573">
              <w:rPr>
                <w:lang w:val="pl-PL"/>
              </w:rPr>
              <w:t>Epic</w:t>
            </w:r>
            <w:proofErr w:type="spellEnd"/>
            <w:r w:rsidRPr="00205573">
              <w:rPr>
                <w:lang w:val="pl-PL"/>
              </w:rPr>
              <w:t xml:space="preserve"> Games v. Apple</w:t>
            </w:r>
          </w:p>
        </w:tc>
        <w:tc>
          <w:tcPr>
            <w:tcW w:w="3312" w:type="dxa"/>
          </w:tcPr>
          <w:p w14:paraId="1F82ABE0" w14:textId="77777777" w:rsidR="00A1307C" w:rsidRDefault="00000000">
            <w:proofErr w:type="spellStart"/>
            <w:r>
              <w:t>Pełna</w:t>
            </w:r>
            <w:proofErr w:type="spellEnd"/>
            <w:r>
              <w:t xml:space="preserve"> </w:t>
            </w:r>
            <w:proofErr w:type="spellStart"/>
            <w:r>
              <w:t>materializacja</w:t>
            </w:r>
            <w:proofErr w:type="spellEnd"/>
          </w:p>
        </w:tc>
      </w:tr>
      <w:tr w:rsidR="00A1307C" w:rsidRPr="00205573" w14:paraId="77DE25A7" w14:textId="77777777">
        <w:trPr>
          <w:jc w:val="center"/>
        </w:trPr>
        <w:tc>
          <w:tcPr>
            <w:tcW w:w="3312" w:type="dxa"/>
          </w:tcPr>
          <w:p w14:paraId="27B9E807" w14:textId="77777777" w:rsidR="00A1307C" w:rsidRDefault="00000000">
            <w:r>
              <w:t>Monetyzacja twórców</w:t>
            </w:r>
          </w:p>
        </w:tc>
        <w:tc>
          <w:tcPr>
            <w:tcW w:w="3312" w:type="dxa"/>
          </w:tcPr>
          <w:p w14:paraId="22071E0D" w14:textId="77777777" w:rsidR="00A1307C" w:rsidRPr="00205573" w:rsidRDefault="00000000">
            <w:pPr>
              <w:rPr>
                <w:lang w:val="pl-PL"/>
              </w:rPr>
            </w:pPr>
            <w:r w:rsidRPr="00205573">
              <w:rPr>
                <w:lang w:val="pl-PL"/>
              </w:rPr>
              <w:t xml:space="preserve">Częściowa – krytyka People </w:t>
            </w:r>
            <w:proofErr w:type="spellStart"/>
            <w:r w:rsidRPr="00205573">
              <w:rPr>
                <w:lang w:val="pl-PL"/>
              </w:rPr>
              <w:t>Make</w:t>
            </w:r>
            <w:proofErr w:type="spellEnd"/>
            <w:r w:rsidRPr="00205573">
              <w:rPr>
                <w:lang w:val="pl-PL"/>
              </w:rPr>
              <w:t xml:space="preserve"> Games (2022) o niskich wypłatach Developer Exchange; </w:t>
            </w:r>
            <w:proofErr w:type="spellStart"/>
            <w:r w:rsidRPr="00205573">
              <w:rPr>
                <w:lang w:val="pl-PL"/>
              </w:rPr>
              <w:t>Roblox</w:t>
            </w:r>
            <w:proofErr w:type="spellEnd"/>
            <w:r w:rsidRPr="00205573">
              <w:rPr>
                <w:lang w:val="pl-PL"/>
              </w:rPr>
              <w:t xml:space="preserve"> podniósł stawki, ale temat wraca</w:t>
            </w:r>
          </w:p>
        </w:tc>
        <w:tc>
          <w:tcPr>
            <w:tcW w:w="3312" w:type="dxa"/>
          </w:tcPr>
          <w:p w14:paraId="06189378" w14:textId="77777777" w:rsidR="00A1307C" w:rsidRPr="00205573" w:rsidRDefault="00000000">
            <w:pPr>
              <w:rPr>
                <w:lang w:val="pl-PL"/>
              </w:rPr>
            </w:pPr>
            <w:r w:rsidRPr="00205573">
              <w:rPr>
                <w:lang w:val="pl-PL"/>
              </w:rPr>
              <w:t xml:space="preserve">Materializacja, ale bez katastrofy </w:t>
            </w:r>
            <w:proofErr w:type="spellStart"/>
            <w:r w:rsidRPr="00205573">
              <w:rPr>
                <w:lang w:val="pl-PL"/>
              </w:rPr>
              <w:t>reputacyjnej</w:t>
            </w:r>
            <w:proofErr w:type="spellEnd"/>
          </w:p>
        </w:tc>
      </w:tr>
      <w:tr w:rsidR="00A1307C" w14:paraId="35748E25" w14:textId="77777777">
        <w:trPr>
          <w:jc w:val="center"/>
        </w:trPr>
        <w:tc>
          <w:tcPr>
            <w:tcW w:w="3312" w:type="dxa"/>
          </w:tcPr>
          <w:p w14:paraId="20576750" w14:textId="77777777" w:rsidR="00A1307C" w:rsidRDefault="00000000">
            <w:proofErr w:type="spellStart"/>
            <w:r>
              <w:t>Narracja</w:t>
            </w:r>
            <w:proofErr w:type="spellEnd"/>
            <w:r>
              <w:t xml:space="preserve"> metaverse</w:t>
            </w:r>
          </w:p>
        </w:tc>
        <w:tc>
          <w:tcPr>
            <w:tcW w:w="3312" w:type="dxa"/>
          </w:tcPr>
          <w:p w14:paraId="54233443" w14:textId="77777777" w:rsidR="00A1307C" w:rsidRPr="00205573" w:rsidRDefault="00000000">
            <w:pPr>
              <w:rPr>
                <w:lang w:val="pl-PL"/>
              </w:rPr>
            </w:pPr>
            <w:r w:rsidRPr="00205573">
              <w:rPr>
                <w:lang w:val="pl-PL"/>
              </w:rPr>
              <w:t xml:space="preserve">TAK – ostudzenie trendu po 2022 r. (porażka Meta </w:t>
            </w:r>
            <w:proofErr w:type="spellStart"/>
            <w:r w:rsidRPr="00205573">
              <w:rPr>
                <w:lang w:val="pl-PL"/>
              </w:rPr>
              <w:t>Reality</w:t>
            </w:r>
            <w:proofErr w:type="spellEnd"/>
            <w:r w:rsidRPr="00205573">
              <w:rPr>
                <w:lang w:val="pl-PL"/>
              </w:rPr>
              <w:t xml:space="preserve"> </w:t>
            </w:r>
            <w:proofErr w:type="spellStart"/>
            <w:r w:rsidRPr="00205573">
              <w:rPr>
                <w:lang w:val="pl-PL"/>
              </w:rPr>
              <w:t>Labs</w:t>
            </w:r>
            <w:proofErr w:type="spellEnd"/>
            <w:r w:rsidRPr="00205573">
              <w:rPr>
                <w:lang w:val="pl-PL"/>
              </w:rPr>
              <w:t xml:space="preserve">, ok. -50 mld USD strat operacyjnych) odbiło się na </w:t>
            </w:r>
            <w:proofErr w:type="spellStart"/>
            <w:r w:rsidRPr="00205573">
              <w:rPr>
                <w:lang w:val="pl-PL"/>
              </w:rPr>
              <w:t>multipla</w:t>
            </w:r>
            <w:proofErr w:type="spellEnd"/>
            <w:r w:rsidRPr="00205573">
              <w:rPr>
                <w:lang w:val="pl-PL"/>
              </w:rPr>
              <w:t xml:space="preserve"> RBLX</w:t>
            </w:r>
          </w:p>
        </w:tc>
        <w:tc>
          <w:tcPr>
            <w:tcW w:w="3312" w:type="dxa"/>
          </w:tcPr>
          <w:p w14:paraId="6598E420" w14:textId="77777777" w:rsidR="00A1307C" w:rsidRDefault="00000000">
            <w:proofErr w:type="spellStart"/>
            <w:r>
              <w:t>Pełna</w:t>
            </w:r>
            <w:proofErr w:type="spellEnd"/>
            <w:r>
              <w:t xml:space="preserve"> </w:t>
            </w:r>
            <w:proofErr w:type="spellStart"/>
            <w:r>
              <w:t>materializacja</w:t>
            </w:r>
            <w:proofErr w:type="spellEnd"/>
          </w:p>
        </w:tc>
      </w:tr>
    </w:tbl>
    <w:p w14:paraId="537DF835" w14:textId="77777777" w:rsidR="00A1307C" w:rsidRDefault="00A1307C"/>
    <w:p w14:paraId="22A7F022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>Wniosek metodologiczny: zespół inwestycyjny a16z trafnie zidentyfikował kluczowe ryzyka ex-</w:t>
      </w:r>
      <w:proofErr w:type="spellStart"/>
      <w:r w:rsidRPr="00205573">
        <w:rPr>
          <w:lang w:val="pl-PL"/>
        </w:rPr>
        <w:t>ante</w:t>
      </w:r>
      <w:proofErr w:type="spellEnd"/>
      <w:r w:rsidRPr="00205573">
        <w:rPr>
          <w:lang w:val="pl-PL"/>
        </w:rPr>
        <w:t xml:space="preserve"> (wszystkie pięć zmaterializowało się w jakimś stopniu), ale prawdopodobnie nie docenił ich łącznego wpływu na timing wyjścia. Z </w:t>
      </w:r>
      <w:r w:rsidRPr="00205573">
        <w:rPr>
          <w:lang w:val="pl-PL"/>
        </w:rPr>
        <w:lastRenderedPageBreak/>
        <w:t xml:space="preserve">perspektywy decyzji inwestycyjnej trafność identyfikacji </w:t>
      </w:r>
      <w:proofErr w:type="spellStart"/>
      <w:r w:rsidRPr="00205573">
        <w:rPr>
          <w:lang w:val="pl-PL"/>
        </w:rPr>
        <w:t>ryzyk</w:t>
      </w:r>
      <w:proofErr w:type="spellEnd"/>
      <w:r w:rsidRPr="00205573">
        <w:rPr>
          <w:lang w:val="pl-PL"/>
        </w:rPr>
        <w:t xml:space="preserve"> była wysoka; z perspektywy zarządzania pozycją – ograniczona.</w:t>
      </w:r>
    </w:p>
    <w:p w14:paraId="1FB40AE4" w14:textId="77777777" w:rsidR="00A1307C" w:rsidRPr="00205573" w:rsidRDefault="00000000">
      <w:pPr>
        <w:pStyle w:val="Heading3"/>
        <w:rPr>
          <w:lang w:val="pl-PL"/>
        </w:rPr>
      </w:pPr>
      <w:r w:rsidRPr="00205573">
        <w:rPr>
          <w:lang w:val="pl-PL"/>
        </w:rPr>
        <w:t>8.3. Wnioski o skuteczności strategii a16z</w:t>
      </w:r>
    </w:p>
    <w:p w14:paraId="59128BB1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Case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doskonale ilustruje strategię </w:t>
      </w:r>
      <w:proofErr w:type="spellStart"/>
      <w:r w:rsidRPr="00205573">
        <w:rPr>
          <w:lang w:val="pl-PL"/>
        </w:rPr>
        <w:t>Late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Stage</w:t>
      </w:r>
      <w:proofErr w:type="spellEnd"/>
      <w:r w:rsidRPr="00205573">
        <w:rPr>
          <w:lang w:val="pl-PL"/>
        </w:rPr>
        <w:t xml:space="preserve"> Venture a16z: </w:t>
      </w:r>
      <w:r w:rsidRPr="00205573">
        <w:rPr>
          <w:b/>
          <w:lang w:val="pl-PL"/>
        </w:rPr>
        <w:t>wchodzenie do spółek już zweryfikowanych operacyjnie, ale przed największą ekspansją wyceny</w:t>
      </w:r>
      <w:r w:rsidRPr="00205573">
        <w:rPr>
          <w:lang w:val="pl-PL"/>
        </w:rPr>
        <w:t xml:space="preserve">. Fundusz nie szukał wczesnej, ryzykownej tezy – wszedł, gdy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był już </w:t>
      </w:r>
      <w:proofErr w:type="spellStart"/>
      <w:r w:rsidRPr="00205573">
        <w:rPr>
          <w:lang w:val="pl-PL"/>
        </w:rPr>
        <w:t>cash-flow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positive</w:t>
      </w:r>
      <w:proofErr w:type="spellEnd"/>
      <w:r w:rsidRPr="00205573">
        <w:rPr>
          <w:lang w:val="pl-PL"/>
        </w:rPr>
        <w:t>, miał 115 mln MAU i jasny model przychodów. Zwrot 11× w 13 miesięcy potwierdza tezę „</w:t>
      </w:r>
      <w:proofErr w:type="spellStart"/>
      <w:r w:rsidRPr="00205573">
        <w:rPr>
          <w:lang w:val="pl-PL"/>
        </w:rPr>
        <w:t>compounder</w:t>
      </w:r>
      <w:proofErr w:type="spellEnd"/>
      <w:r w:rsidRPr="00205573">
        <w:rPr>
          <w:lang w:val="pl-PL"/>
        </w:rPr>
        <w:t xml:space="preserve"> + późne wejście” wypracowaną przez Davida George’a.</w:t>
      </w:r>
    </w:p>
    <w:p w14:paraId="3785EE5A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Słabością strategii był brak pełnoetatowego miejsca w radzie nadzorczej i ograniczona kontrola operacyjna – typowa dla </w:t>
      </w:r>
      <w:proofErr w:type="spellStart"/>
      <w:r w:rsidRPr="00205573">
        <w:rPr>
          <w:lang w:val="pl-PL"/>
        </w:rPr>
        <w:t>growth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investingu</w:t>
      </w:r>
      <w:proofErr w:type="spellEnd"/>
      <w:r w:rsidRPr="00205573">
        <w:rPr>
          <w:lang w:val="pl-PL"/>
        </w:rPr>
        <w:t>, ale ograniczająca możliwość reakcji w trudnych momentach (np. korekta 2022). Z perspektywy 5 lat (2020–2025) inwestycja pozostaje zyskowna, ale realizowany IRR jest istotnie niższy niż papierowy z marca 2021 r.</w:t>
      </w:r>
    </w:p>
    <w:p w14:paraId="2815BF80" w14:textId="77777777" w:rsidR="00A1307C" w:rsidRPr="00205573" w:rsidRDefault="00000000">
      <w:pPr>
        <w:pStyle w:val="Heading2"/>
        <w:rPr>
          <w:lang w:val="pl-PL"/>
        </w:rPr>
      </w:pPr>
      <w:r w:rsidRPr="00205573">
        <w:rPr>
          <w:lang w:val="pl-PL"/>
        </w:rPr>
        <w:t>9. Analiza przedstawicieli funduszu</w:t>
      </w:r>
    </w:p>
    <w:p w14:paraId="65604BF1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Poniżej przedstawiono analizę kluczowych przedstawicieli a16z odpowiedzialnych za inwestycję w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oraz ich publicznych wystąpień (wywiady, podcasty, materiały prasowe i wpisy blogowe). Łącznie zidentyfikowano 7 materiałów źródłowych pozwalających odtworzyć filozofię inwestycyjną funduszu i tezy dotyczące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/ sektora gier.</w:t>
      </w:r>
    </w:p>
    <w:p w14:paraId="3A4E5077" w14:textId="77777777" w:rsidR="00A1307C" w:rsidRDefault="00000000">
      <w:pPr>
        <w:pStyle w:val="Heading3"/>
      </w:pPr>
      <w:r>
        <w:t>9.1. David George – General Partner, Head of a16z Growth</w:t>
      </w:r>
    </w:p>
    <w:p w14:paraId="6971BEFE" w14:textId="77777777" w:rsidR="00A1307C" w:rsidRPr="00205573" w:rsidRDefault="00000000">
      <w:pPr>
        <w:rPr>
          <w:lang w:val="pl-PL"/>
        </w:rPr>
      </w:pPr>
      <w:proofErr w:type="spellStart"/>
      <w:r w:rsidRPr="00205573">
        <w:rPr>
          <w:b/>
          <w:lang w:val="pl-PL"/>
        </w:rPr>
        <w:t>Background</w:t>
      </w:r>
      <w:proofErr w:type="spellEnd"/>
      <w:r w:rsidRPr="00205573">
        <w:rPr>
          <w:b/>
          <w:lang w:val="pl-PL"/>
        </w:rPr>
        <w:t>:</w:t>
      </w:r>
      <w:r w:rsidRPr="00205573">
        <w:rPr>
          <w:lang w:val="pl-PL"/>
        </w:rPr>
        <w:t xml:space="preserve"> Dołączył do a16z w 2019 r., aby kierować nowym wehikułem </w:t>
      </w:r>
      <w:proofErr w:type="spellStart"/>
      <w:r w:rsidRPr="00205573">
        <w:rPr>
          <w:lang w:val="pl-PL"/>
        </w:rPr>
        <w:t>Late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Stage</w:t>
      </w:r>
      <w:proofErr w:type="spellEnd"/>
      <w:r w:rsidRPr="00205573">
        <w:rPr>
          <w:lang w:val="pl-PL"/>
        </w:rPr>
        <w:t xml:space="preserve"> Venture / </w:t>
      </w:r>
      <w:proofErr w:type="spellStart"/>
      <w:r w:rsidRPr="00205573">
        <w:rPr>
          <w:lang w:val="pl-PL"/>
        </w:rPr>
        <w:t>Growth</w:t>
      </w:r>
      <w:proofErr w:type="spellEnd"/>
      <w:r w:rsidRPr="00205573">
        <w:rPr>
          <w:lang w:val="pl-PL"/>
        </w:rPr>
        <w:t xml:space="preserve">. Wcześniej spędził 7 lat w General </w:t>
      </w:r>
      <w:proofErr w:type="spellStart"/>
      <w:r w:rsidRPr="00205573">
        <w:rPr>
          <w:lang w:val="pl-PL"/>
        </w:rPr>
        <w:t>Atlantic</w:t>
      </w:r>
      <w:proofErr w:type="spellEnd"/>
      <w:r w:rsidRPr="00205573">
        <w:rPr>
          <w:lang w:val="pl-PL"/>
        </w:rPr>
        <w:t xml:space="preserve"> jako </w:t>
      </w:r>
      <w:proofErr w:type="spellStart"/>
      <w:r w:rsidRPr="00205573">
        <w:rPr>
          <w:lang w:val="pl-PL"/>
        </w:rPr>
        <w:t>growth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investor</w:t>
      </w:r>
      <w:proofErr w:type="spellEnd"/>
      <w:r w:rsidRPr="00205573">
        <w:rPr>
          <w:lang w:val="pl-PL"/>
        </w:rPr>
        <w:t xml:space="preserve"> (m.in. inwestycje w Airbnb, </w:t>
      </w:r>
      <w:proofErr w:type="spellStart"/>
      <w:r w:rsidRPr="00205573">
        <w:rPr>
          <w:lang w:val="pl-PL"/>
        </w:rPr>
        <w:t>CrowdStrike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Opendoor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Slack</w:t>
      </w:r>
      <w:proofErr w:type="spellEnd"/>
      <w:r w:rsidRPr="00205573">
        <w:rPr>
          <w:lang w:val="pl-PL"/>
        </w:rPr>
        <w:t xml:space="preserve">, Uber). Po dołączeniu do a16z poprowadził inwestycje w </w:t>
      </w:r>
      <w:proofErr w:type="spellStart"/>
      <w:r w:rsidRPr="00205573">
        <w:rPr>
          <w:lang w:val="pl-PL"/>
        </w:rPr>
        <w:t>Clubhouse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Coinbase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Databricks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Figma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Instacart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Robinhood</w:t>
      </w:r>
      <w:proofErr w:type="spellEnd"/>
      <w:r w:rsidRPr="00205573">
        <w:rPr>
          <w:lang w:val="pl-PL"/>
        </w:rPr>
        <w:t xml:space="preserve"> i </w:t>
      </w:r>
      <w:proofErr w:type="spellStart"/>
      <w:r w:rsidRPr="00205573">
        <w:rPr>
          <w:lang w:val="pl-PL"/>
        </w:rPr>
        <w:t>TripActions</w:t>
      </w:r>
      <w:proofErr w:type="spellEnd"/>
      <w:r w:rsidRPr="00205573">
        <w:rPr>
          <w:lang w:val="pl-PL"/>
        </w:rPr>
        <w:t xml:space="preserve">. Zasiada w radach </w:t>
      </w:r>
      <w:proofErr w:type="spellStart"/>
      <w:r w:rsidRPr="00205573">
        <w:rPr>
          <w:lang w:val="pl-PL"/>
        </w:rPr>
        <w:t>Current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Greenlight</w:t>
      </w:r>
      <w:proofErr w:type="spellEnd"/>
      <w:r w:rsidRPr="00205573">
        <w:rPr>
          <w:lang w:val="pl-PL"/>
        </w:rPr>
        <w:t xml:space="preserve"> i </w:t>
      </w:r>
      <w:proofErr w:type="spellStart"/>
      <w:r w:rsidRPr="00205573">
        <w:rPr>
          <w:lang w:val="pl-PL"/>
        </w:rPr>
        <w:t>Workrise</w:t>
      </w:r>
      <w:proofErr w:type="spellEnd"/>
      <w:r w:rsidRPr="00205573">
        <w:rPr>
          <w:lang w:val="pl-PL"/>
        </w:rPr>
        <w:t xml:space="preserve">. </w:t>
      </w:r>
      <w:r w:rsidRPr="00205573">
        <w:rPr>
          <w:b/>
          <w:lang w:val="pl-PL"/>
        </w:rPr>
        <w:t xml:space="preserve">To on prowadził inwestycję w </w:t>
      </w:r>
      <w:proofErr w:type="spellStart"/>
      <w:r w:rsidRPr="00205573">
        <w:rPr>
          <w:b/>
          <w:lang w:val="pl-PL"/>
        </w:rPr>
        <w:t>Roblox</w:t>
      </w:r>
      <w:proofErr w:type="spellEnd"/>
      <w:r w:rsidRPr="00205573">
        <w:rPr>
          <w:b/>
          <w:lang w:val="pl-PL"/>
        </w:rPr>
        <w:t xml:space="preserve"> i pozostaje głównym kontaktem a16z dla Davida </w:t>
      </w:r>
      <w:proofErr w:type="spellStart"/>
      <w:r w:rsidRPr="00205573">
        <w:rPr>
          <w:b/>
          <w:lang w:val="pl-PL"/>
        </w:rPr>
        <w:t>Baszuckiego</w:t>
      </w:r>
      <w:proofErr w:type="spellEnd"/>
      <w:r w:rsidRPr="00205573">
        <w:rPr>
          <w:b/>
          <w:lang w:val="pl-PL"/>
        </w:rPr>
        <w:t xml:space="preserve"> do dziś.</w:t>
      </w:r>
    </w:p>
    <w:p w14:paraId="4BB90757" w14:textId="77777777" w:rsidR="00A1307C" w:rsidRDefault="00000000">
      <w:proofErr w:type="spellStart"/>
      <w:r>
        <w:rPr>
          <w:b/>
        </w:rPr>
        <w:t>Kluczowy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cytat</w:t>
      </w:r>
      <w:proofErr w:type="spellEnd"/>
      <w:r>
        <w:rPr>
          <w:b/>
        </w:rPr>
        <w:t xml:space="preserve"> (a16z I/O Podcast, 2024):</w:t>
      </w:r>
      <w:r>
        <w:t xml:space="preserve"> </w:t>
      </w:r>
      <w:r>
        <w:rPr>
          <w:i/>
        </w:rPr>
        <w:t>„Looking for compounders means looking for businesses where the market is bigger than anyone realizes, and where the founder is what I’d call a commercial killer – someone who can compound execution year after year. Baszucki is in that very short list.”</w:t>
      </w:r>
    </w:p>
    <w:p w14:paraId="145B721E" w14:textId="77777777" w:rsidR="00A1307C" w:rsidRDefault="00000000">
      <w:pPr>
        <w:pStyle w:val="Heading3"/>
      </w:pPr>
      <w:r>
        <w:t>9.2. Marc Andreessen – współzałożyciel i General Partner a16z</w:t>
      </w:r>
    </w:p>
    <w:p w14:paraId="1335B6C1" w14:textId="77777777" w:rsidR="00A1307C" w:rsidRPr="00205573" w:rsidRDefault="00000000">
      <w:pPr>
        <w:rPr>
          <w:lang w:val="pl-PL"/>
        </w:rPr>
      </w:pPr>
      <w:r>
        <w:rPr>
          <w:b/>
        </w:rPr>
        <w:t>Background:</w:t>
      </w:r>
      <w:r>
        <w:t xml:space="preserve"> Założyciel Netscape, autor manifestu „Software Is Eating the World” (2011) oraz „It’s Time to Build” (2020). </w:t>
      </w:r>
      <w:r w:rsidRPr="00205573">
        <w:rPr>
          <w:lang w:val="pl-PL"/>
        </w:rPr>
        <w:t xml:space="preserve">Współzałożył a16z w 2009 r. wspólnie z Benem Horowitzem. </w:t>
      </w:r>
      <w:proofErr w:type="spellStart"/>
      <w:r w:rsidRPr="00205573">
        <w:rPr>
          <w:lang w:val="pl-PL"/>
        </w:rPr>
        <w:t>Współpodpisał</w:t>
      </w:r>
      <w:proofErr w:type="spellEnd"/>
      <w:r w:rsidRPr="00205573">
        <w:rPr>
          <w:lang w:val="pl-PL"/>
        </w:rPr>
        <w:t xml:space="preserve"> blog inwestycyjny dotyczący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, gdzie wyłożył wizję </w:t>
      </w:r>
      <w:proofErr w:type="spellStart"/>
      <w:r w:rsidRPr="00205573">
        <w:rPr>
          <w:lang w:val="pl-PL"/>
        </w:rPr>
        <w:t>metaverse</w:t>
      </w:r>
      <w:proofErr w:type="spellEnd"/>
      <w:r w:rsidRPr="00205573">
        <w:rPr>
          <w:lang w:val="pl-PL"/>
        </w:rPr>
        <w:t xml:space="preserve"> jako głównej tezy uzasadniającej inwestycję.</w:t>
      </w:r>
    </w:p>
    <w:p w14:paraId="0EB0B307" w14:textId="77777777" w:rsidR="00A1307C" w:rsidRDefault="00000000">
      <w:r w:rsidRPr="00205573">
        <w:rPr>
          <w:b/>
          <w:lang w:val="pl-PL"/>
        </w:rPr>
        <w:t>Kluczowy cytat (wywiad z Andrew Chenem, 2024):</w:t>
      </w:r>
      <w:r w:rsidRPr="00205573">
        <w:rPr>
          <w:lang w:val="pl-PL"/>
        </w:rPr>
        <w:t xml:space="preserve"> </w:t>
      </w:r>
      <w:r w:rsidRPr="00205573">
        <w:rPr>
          <w:i/>
          <w:lang w:val="pl-PL"/>
        </w:rPr>
        <w:t xml:space="preserve">„I </w:t>
      </w:r>
      <w:proofErr w:type="spellStart"/>
      <w:r w:rsidRPr="00205573">
        <w:rPr>
          <w:i/>
          <w:lang w:val="pl-PL"/>
        </w:rPr>
        <w:t>play</w:t>
      </w:r>
      <w:proofErr w:type="spellEnd"/>
      <w:r w:rsidRPr="00205573">
        <w:rPr>
          <w:i/>
          <w:lang w:val="pl-PL"/>
        </w:rPr>
        <w:t xml:space="preserve"> </w:t>
      </w:r>
      <w:proofErr w:type="spellStart"/>
      <w:r w:rsidRPr="00205573">
        <w:rPr>
          <w:i/>
          <w:lang w:val="pl-PL"/>
        </w:rPr>
        <w:t>Roblox</w:t>
      </w:r>
      <w:proofErr w:type="spellEnd"/>
      <w:r w:rsidRPr="00205573">
        <w:rPr>
          <w:i/>
          <w:lang w:val="pl-PL"/>
        </w:rPr>
        <w:t xml:space="preserve"> with my </w:t>
      </w:r>
      <w:proofErr w:type="spellStart"/>
      <w:r w:rsidRPr="00205573">
        <w:rPr>
          <w:i/>
          <w:lang w:val="pl-PL"/>
        </w:rPr>
        <w:t>son</w:t>
      </w:r>
      <w:proofErr w:type="spellEnd"/>
      <w:r w:rsidRPr="00205573">
        <w:rPr>
          <w:i/>
          <w:lang w:val="pl-PL"/>
        </w:rPr>
        <w:t xml:space="preserve">. </w:t>
      </w:r>
      <w:r>
        <w:rPr>
          <w:i/>
        </w:rPr>
        <w:t>That’s not a vanity statement – it’s the reason I understand why this is going to be the dominant platform of his generation.”</w:t>
      </w:r>
    </w:p>
    <w:p w14:paraId="2BD0CDC4" w14:textId="77777777" w:rsidR="00A1307C" w:rsidRDefault="00000000">
      <w:pPr>
        <w:pStyle w:val="Heading3"/>
      </w:pPr>
      <w:r>
        <w:t>9.3. Andrew Chen – General Partner, Consumer/Gaming</w:t>
      </w:r>
    </w:p>
    <w:p w14:paraId="047290DA" w14:textId="77777777" w:rsidR="00A1307C" w:rsidRDefault="00000000">
      <w:proofErr w:type="spellStart"/>
      <w:r w:rsidRPr="00205573">
        <w:rPr>
          <w:b/>
          <w:lang w:val="pl-PL"/>
        </w:rPr>
        <w:t>Background</w:t>
      </w:r>
      <w:proofErr w:type="spellEnd"/>
      <w:r w:rsidRPr="00205573">
        <w:rPr>
          <w:b/>
          <w:lang w:val="pl-PL"/>
        </w:rPr>
        <w:t>:</w:t>
      </w:r>
      <w:r w:rsidRPr="00205573">
        <w:rPr>
          <w:lang w:val="pl-PL"/>
        </w:rPr>
        <w:t xml:space="preserve"> Lider praktyki </w:t>
      </w:r>
      <w:proofErr w:type="spellStart"/>
      <w:r w:rsidRPr="00205573">
        <w:rPr>
          <w:lang w:val="pl-PL"/>
        </w:rPr>
        <w:t>gamingowej</w:t>
      </w:r>
      <w:proofErr w:type="spellEnd"/>
      <w:r w:rsidRPr="00205573">
        <w:rPr>
          <w:lang w:val="pl-PL"/>
        </w:rPr>
        <w:t xml:space="preserve"> a16z, współzarządzający Games Fund One ($600M, 2022). Bezpośrednio nie poprowadził rundy w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>, ale to jego teza „</w:t>
      </w:r>
      <w:proofErr w:type="spellStart"/>
      <w:r w:rsidRPr="00205573">
        <w:rPr>
          <w:lang w:val="pl-PL"/>
        </w:rPr>
        <w:t>multiplayer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game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experiences</w:t>
      </w:r>
      <w:proofErr w:type="spellEnd"/>
      <w:r w:rsidRPr="00205573">
        <w:rPr>
          <w:lang w:val="pl-PL"/>
        </w:rPr>
        <w:t xml:space="preserve"> as the </w:t>
      </w:r>
      <w:proofErr w:type="spellStart"/>
      <w:r w:rsidRPr="00205573">
        <w:rPr>
          <w:lang w:val="pl-PL"/>
        </w:rPr>
        <w:t>next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social</w:t>
      </w:r>
      <w:proofErr w:type="spellEnd"/>
      <w:r w:rsidRPr="00205573">
        <w:rPr>
          <w:lang w:val="pl-PL"/>
        </w:rPr>
        <w:t xml:space="preserve"> networks” stanowiła ramę intelektualną dla decyzji a16z o wejściu w sektor gier, w tym w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. </w:t>
      </w:r>
      <w:proofErr w:type="spellStart"/>
      <w:r>
        <w:t>Wcześniej</w:t>
      </w:r>
      <w:proofErr w:type="spellEnd"/>
      <w:r>
        <w:t xml:space="preserve"> </w:t>
      </w:r>
      <w:proofErr w:type="spellStart"/>
      <w:r>
        <w:t>szef</w:t>
      </w:r>
      <w:proofErr w:type="spellEnd"/>
      <w:r>
        <w:t xml:space="preserve"> growth w Uber.</w:t>
      </w:r>
    </w:p>
    <w:p w14:paraId="3A2BBAF6" w14:textId="77777777" w:rsidR="00A1307C" w:rsidRDefault="00000000">
      <w:pPr>
        <w:pStyle w:val="Heading3"/>
      </w:pPr>
      <w:r>
        <w:t>9.4. Zestawienie źródeł i kluczowe tezy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1307C" w:rsidRPr="00205573" w14:paraId="127DD6E6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3AB038F3" w14:textId="77777777" w:rsidR="00A1307C" w:rsidRDefault="00000000">
            <w:r>
              <w:rPr>
                <w:b/>
              </w:rPr>
              <w:t>#</w:t>
            </w:r>
          </w:p>
        </w:tc>
        <w:tc>
          <w:tcPr>
            <w:tcW w:w="2484" w:type="dxa"/>
            <w:shd w:val="clear" w:color="auto" w:fill="D9EAF7"/>
          </w:tcPr>
          <w:p w14:paraId="158583FE" w14:textId="77777777" w:rsidR="00A1307C" w:rsidRDefault="00000000">
            <w:r>
              <w:rPr>
                <w:b/>
              </w:rPr>
              <w:t>Źródło / format</w:t>
            </w:r>
          </w:p>
        </w:tc>
        <w:tc>
          <w:tcPr>
            <w:tcW w:w="2484" w:type="dxa"/>
            <w:shd w:val="clear" w:color="auto" w:fill="D9EAF7"/>
          </w:tcPr>
          <w:p w14:paraId="3E256637" w14:textId="77777777" w:rsidR="00A1307C" w:rsidRDefault="00000000">
            <w:r>
              <w:rPr>
                <w:b/>
              </w:rPr>
              <w:t>Przedstawiciel</w:t>
            </w:r>
          </w:p>
        </w:tc>
        <w:tc>
          <w:tcPr>
            <w:tcW w:w="2484" w:type="dxa"/>
            <w:shd w:val="clear" w:color="auto" w:fill="D9EAF7"/>
          </w:tcPr>
          <w:p w14:paraId="3BCF15A3" w14:textId="77777777" w:rsidR="00A1307C" w:rsidRPr="00205573" w:rsidRDefault="00000000">
            <w:pPr>
              <w:rPr>
                <w:lang w:val="pl-PL"/>
              </w:rPr>
            </w:pPr>
            <w:r w:rsidRPr="00205573">
              <w:rPr>
                <w:b/>
                <w:lang w:val="pl-PL"/>
              </w:rPr>
              <w:t xml:space="preserve">Kluczowa teza relewantna dla </w:t>
            </w:r>
            <w:proofErr w:type="spellStart"/>
            <w:r w:rsidRPr="00205573">
              <w:rPr>
                <w:b/>
                <w:lang w:val="pl-PL"/>
              </w:rPr>
              <w:t>case</w:t>
            </w:r>
            <w:proofErr w:type="spellEnd"/>
            <w:r w:rsidRPr="00205573">
              <w:rPr>
                <w:b/>
                <w:lang w:val="pl-PL"/>
              </w:rPr>
              <w:t xml:space="preserve"> </w:t>
            </w:r>
            <w:proofErr w:type="spellStart"/>
            <w:r w:rsidRPr="00205573">
              <w:rPr>
                <w:b/>
                <w:lang w:val="pl-PL"/>
              </w:rPr>
              <w:t>Roblox</w:t>
            </w:r>
            <w:proofErr w:type="spellEnd"/>
          </w:p>
        </w:tc>
      </w:tr>
      <w:tr w:rsidR="00A1307C" w14:paraId="78197489" w14:textId="77777777">
        <w:trPr>
          <w:jc w:val="center"/>
        </w:trPr>
        <w:tc>
          <w:tcPr>
            <w:tcW w:w="2484" w:type="dxa"/>
          </w:tcPr>
          <w:p w14:paraId="00A9F061" w14:textId="77777777" w:rsidR="00A1307C" w:rsidRDefault="00000000">
            <w:r>
              <w:rPr>
                <w:b/>
              </w:rPr>
              <w:lastRenderedPageBreak/>
              <w:t>1</w:t>
            </w:r>
          </w:p>
        </w:tc>
        <w:tc>
          <w:tcPr>
            <w:tcW w:w="2484" w:type="dxa"/>
          </w:tcPr>
          <w:p w14:paraId="12775CE8" w14:textId="77777777" w:rsidR="00A1307C" w:rsidRDefault="00000000">
            <w:r>
              <w:t>Blog a16z – „Investing in Roblox” (26.02.2020)</w:t>
            </w:r>
          </w:p>
        </w:tc>
        <w:tc>
          <w:tcPr>
            <w:tcW w:w="2484" w:type="dxa"/>
          </w:tcPr>
          <w:p w14:paraId="0833F572" w14:textId="77777777" w:rsidR="00A1307C" w:rsidRDefault="00000000">
            <w:r>
              <w:t>David George, Marc Andreessen</w:t>
            </w:r>
          </w:p>
        </w:tc>
        <w:tc>
          <w:tcPr>
            <w:tcW w:w="2484" w:type="dxa"/>
          </w:tcPr>
          <w:p w14:paraId="4C5BC821" w14:textId="77777777" w:rsidR="00A1307C" w:rsidRDefault="00000000">
            <w:r>
              <w:t>Późnostadialny VC pyta „is it working?“. Roblox = fundament metaverse: persistent identity, interoperowalność, bezpieczeństwo.</w:t>
            </w:r>
          </w:p>
        </w:tc>
      </w:tr>
      <w:tr w:rsidR="00A1307C" w14:paraId="7F2FC790" w14:textId="77777777">
        <w:trPr>
          <w:jc w:val="center"/>
        </w:trPr>
        <w:tc>
          <w:tcPr>
            <w:tcW w:w="2484" w:type="dxa"/>
          </w:tcPr>
          <w:p w14:paraId="0398AC80" w14:textId="77777777" w:rsidR="00A1307C" w:rsidRDefault="00000000">
            <w:r>
              <w:rPr>
                <w:b/>
              </w:rPr>
              <w:t>2</w:t>
            </w:r>
          </w:p>
        </w:tc>
        <w:tc>
          <w:tcPr>
            <w:tcW w:w="2484" w:type="dxa"/>
          </w:tcPr>
          <w:p w14:paraId="131E603A" w14:textId="77777777" w:rsidR="00A1307C" w:rsidRDefault="00000000">
            <w:r>
              <w:t>Blog a16z – „Modelbusters” (2025)</w:t>
            </w:r>
          </w:p>
        </w:tc>
        <w:tc>
          <w:tcPr>
            <w:tcW w:w="2484" w:type="dxa"/>
          </w:tcPr>
          <w:p w14:paraId="0F5E4D9E" w14:textId="77777777" w:rsidR="00A1307C" w:rsidRDefault="00000000">
            <w:r>
              <w:t>David George</w:t>
            </w:r>
          </w:p>
        </w:tc>
        <w:tc>
          <w:tcPr>
            <w:tcW w:w="2484" w:type="dxa"/>
          </w:tcPr>
          <w:p w14:paraId="2FD450E2" w14:textId="77777777" w:rsidR="00A1307C" w:rsidRDefault="00000000">
            <w:proofErr w:type="spellStart"/>
            <w:r w:rsidRPr="00205573">
              <w:rPr>
                <w:lang w:val="pl-PL"/>
              </w:rPr>
              <w:t>Roblox</w:t>
            </w:r>
            <w:proofErr w:type="spellEnd"/>
            <w:r w:rsidRPr="00205573">
              <w:rPr>
                <w:lang w:val="pl-PL"/>
              </w:rPr>
              <w:t xml:space="preserve"> jako modelowy „</w:t>
            </w:r>
            <w:proofErr w:type="spellStart"/>
            <w:r w:rsidRPr="00205573">
              <w:rPr>
                <w:lang w:val="pl-PL"/>
              </w:rPr>
              <w:t>compounder</w:t>
            </w:r>
            <w:proofErr w:type="spellEnd"/>
            <w:r w:rsidRPr="00205573">
              <w:rPr>
                <w:lang w:val="pl-PL"/>
              </w:rPr>
              <w:t xml:space="preserve">” – rynek docelowy okazał się wielokrotnie większy niż prognozowały modele analityków. </w:t>
            </w:r>
            <w:proofErr w:type="spellStart"/>
            <w:r>
              <w:t>Lekcja</w:t>
            </w:r>
            <w:proofErr w:type="spellEnd"/>
            <w:r>
              <w:t xml:space="preserve">: </w:t>
            </w:r>
            <w:proofErr w:type="spellStart"/>
            <w:r>
              <w:t>przy</w:t>
            </w:r>
            <w:proofErr w:type="spellEnd"/>
            <w:r>
              <w:t xml:space="preserve"> platform shifts adopcja jest niedoszacowana.</w:t>
            </w:r>
          </w:p>
        </w:tc>
      </w:tr>
      <w:tr w:rsidR="00A1307C" w14:paraId="63880CC9" w14:textId="77777777">
        <w:trPr>
          <w:jc w:val="center"/>
        </w:trPr>
        <w:tc>
          <w:tcPr>
            <w:tcW w:w="2484" w:type="dxa"/>
          </w:tcPr>
          <w:p w14:paraId="6707DADE" w14:textId="77777777" w:rsidR="00A1307C" w:rsidRDefault="00000000">
            <w:r>
              <w:rPr>
                <w:b/>
              </w:rPr>
              <w:t>3</w:t>
            </w:r>
          </w:p>
        </w:tc>
        <w:tc>
          <w:tcPr>
            <w:tcW w:w="2484" w:type="dxa"/>
          </w:tcPr>
          <w:p w14:paraId="336464B8" w14:textId="77777777" w:rsidR="00A1307C" w:rsidRDefault="00000000">
            <w:r>
              <w:t>Podcast a16z I/O – „Frameworks for Late-Stage Investing” (2024)</w:t>
            </w:r>
          </w:p>
        </w:tc>
        <w:tc>
          <w:tcPr>
            <w:tcW w:w="2484" w:type="dxa"/>
          </w:tcPr>
          <w:p w14:paraId="2D78BA2A" w14:textId="77777777" w:rsidR="00A1307C" w:rsidRDefault="00000000">
            <w:r>
              <w:t>David George (z Tylerem Hogge &amp; Sterlingiem Snowem)</w:t>
            </w:r>
          </w:p>
        </w:tc>
        <w:tc>
          <w:tcPr>
            <w:tcW w:w="2484" w:type="dxa"/>
          </w:tcPr>
          <w:p w14:paraId="0B8AB680" w14:textId="77777777" w:rsidR="00A1307C" w:rsidRDefault="00000000">
            <w:r>
              <w:t>Trzy frameworki: uniqueness of product + uniqueness of distribution; identifying compounders; backing „commercial killer” founderów. Baszucki jako jeden z trzech wymienionych z imienia.</w:t>
            </w:r>
          </w:p>
        </w:tc>
      </w:tr>
      <w:tr w:rsidR="00A1307C" w:rsidRPr="00205573" w14:paraId="347A3874" w14:textId="77777777">
        <w:trPr>
          <w:jc w:val="center"/>
        </w:trPr>
        <w:tc>
          <w:tcPr>
            <w:tcW w:w="2484" w:type="dxa"/>
          </w:tcPr>
          <w:p w14:paraId="755F7560" w14:textId="77777777" w:rsidR="00A1307C" w:rsidRDefault="00000000">
            <w:r>
              <w:rPr>
                <w:b/>
              </w:rPr>
              <w:t>4</w:t>
            </w:r>
          </w:p>
        </w:tc>
        <w:tc>
          <w:tcPr>
            <w:tcW w:w="2484" w:type="dxa"/>
          </w:tcPr>
          <w:p w14:paraId="6A26D577" w14:textId="77777777" w:rsidR="00A1307C" w:rsidRDefault="00000000">
            <w:r>
              <w:t>Podcast 20VC (Harry Stebbings) – odc. z Davidem George (2021)</w:t>
            </w:r>
          </w:p>
        </w:tc>
        <w:tc>
          <w:tcPr>
            <w:tcW w:w="2484" w:type="dxa"/>
          </w:tcPr>
          <w:p w14:paraId="6ED81E27" w14:textId="77777777" w:rsidR="00A1307C" w:rsidRDefault="00000000">
            <w:r>
              <w:t>David George</w:t>
            </w:r>
          </w:p>
        </w:tc>
        <w:tc>
          <w:tcPr>
            <w:tcW w:w="2484" w:type="dxa"/>
          </w:tcPr>
          <w:p w14:paraId="7409BBE5" w14:textId="77777777" w:rsidR="00A1307C" w:rsidRPr="00205573" w:rsidRDefault="00000000">
            <w:pPr>
              <w:rPr>
                <w:lang w:val="pl-PL"/>
              </w:rPr>
            </w:pPr>
            <w:r w:rsidRPr="00205573">
              <w:rPr>
                <w:lang w:val="pl-PL"/>
              </w:rPr>
              <w:t xml:space="preserve">Filozofia </w:t>
            </w:r>
            <w:proofErr w:type="spellStart"/>
            <w:r w:rsidRPr="00205573">
              <w:rPr>
                <w:lang w:val="pl-PL"/>
              </w:rPr>
              <w:t>growth</w:t>
            </w:r>
            <w:proofErr w:type="spellEnd"/>
            <w:r w:rsidRPr="00205573">
              <w:rPr>
                <w:lang w:val="pl-PL"/>
              </w:rPr>
              <w:t xml:space="preserve"> </w:t>
            </w:r>
            <w:proofErr w:type="spellStart"/>
            <w:r w:rsidRPr="00205573">
              <w:rPr>
                <w:lang w:val="pl-PL"/>
              </w:rPr>
              <w:t>investing</w:t>
            </w:r>
            <w:proofErr w:type="spellEnd"/>
            <w:r w:rsidRPr="00205573">
              <w:rPr>
                <w:lang w:val="pl-PL"/>
              </w:rPr>
              <w:t xml:space="preserve"> w a16z, „single </w:t>
            </w:r>
            <w:proofErr w:type="spellStart"/>
            <w:r w:rsidRPr="00205573">
              <w:rPr>
                <w:lang w:val="pl-PL"/>
              </w:rPr>
              <w:t>trigger</w:t>
            </w:r>
            <w:proofErr w:type="spellEnd"/>
            <w:r w:rsidRPr="00205573">
              <w:rPr>
                <w:lang w:val="pl-PL"/>
              </w:rPr>
              <w:t xml:space="preserve">-puller model” – pojedynczy partner ma decyzyjność, co przekłada się na większą </w:t>
            </w:r>
            <w:proofErr w:type="spellStart"/>
            <w:r w:rsidRPr="00205573">
              <w:rPr>
                <w:lang w:val="pl-PL"/>
              </w:rPr>
              <w:t>conviction</w:t>
            </w:r>
            <w:proofErr w:type="spellEnd"/>
            <w:r w:rsidRPr="00205573">
              <w:rPr>
                <w:lang w:val="pl-PL"/>
              </w:rPr>
              <w:t xml:space="preserve"> w inwestycjach takich jak </w:t>
            </w:r>
            <w:proofErr w:type="spellStart"/>
            <w:r w:rsidRPr="00205573">
              <w:rPr>
                <w:lang w:val="pl-PL"/>
              </w:rPr>
              <w:t>Roblox</w:t>
            </w:r>
            <w:proofErr w:type="spellEnd"/>
            <w:r w:rsidRPr="00205573">
              <w:rPr>
                <w:lang w:val="pl-PL"/>
              </w:rPr>
              <w:t>.</w:t>
            </w:r>
          </w:p>
        </w:tc>
      </w:tr>
      <w:tr w:rsidR="00A1307C" w14:paraId="2FC2E1CC" w14:textId="77777777">
        <w:trPr>
          <w:jc w:val="center"/>
        </w:trPr>
        <w:tc>
          <w:tcPr>
            <w:tcW w:w="2484" w:type="dxa"/>
          </w:tcPr>
          <w:p w14:paraId="4FD48225" w14:textId="77777777" w:rsidR="00A1307C" w:rsidRDefault="00000000">
            <w:r>
              <w:rPr>
                <w:b/>
              </w:rPr>
              <w:t>5</w:t>
            </w:r>
          </w:p>
        </w:tc>
        <w:tc>
          <w:tcPr>
            <w:tcW w:w="2484" w:type="dxa"/>
          </w:tcPr>
          <w:p w14:paraId="2691B4A3" w14:textId="77777777" w:rsidR="00A1307C" w:rsidRPr="00205573" w:rsidRDefault="00000000">
            <w:pPr>
              <w:rPr>
                <w:lang w:val="pl-PL"/>
              </w:rPr>
            </w:pPr>
            <w:r w:rsidRPr="00205573">
              <w:rPr>
                <w:lang w:val="pl-PL"/>
              </w:rPr>
              <w:t xml:space="preserve">YouTube – publiczny materiał uzupełniający do tematu </w:t>
            </w:r>
            <w:proofErr w:type="spellStart"/>
            <w:r w:rsidRPr="00205573">
              <w:rPr>
                <w:lang w:val="pl-PL"/>
              </w:rPr>
              <w:t>private</w:t>
            </w:r>
            <w:proofErr w:type="spellEnd"/>
            <w:r w:rsidRPr="00205573">
              <w:rPr>
                <w:lang w:val="pl-PL"/>
              </w:rPr>
              <w:t xml:space="preserve"> </w:t>
            </w:r>
            <w:proofErr w:type="spellStart"/>
            <w:r w:rsidRPr="00205573">
              <w:rPr>
                <w:lang w:val="pl-PL"/>
              </w:rPr>
              <w:t>markets</w:t>
            </w:r>
            <w:proofErr w:type="spellEnd"/>
            <w:r w:rsidRPr="00205573">
              <w:rPr>
                <w:lang w:val="pl-PL"/>
              </w:rPr>
              <w:t xml:space="preserve"> / </w:t>
            </w:r>
            <w:proofErr w:type="spellStart"/>
            <w:r w:rsidRPr="00205573">
              <w:rPr>
                <w:lang w:val="pl-PL"/>
              </w:rPr>
              <w:t>late-stage</w:t>
            </w:r>
            <w:proofErr w:type="spellEnd"/>
            <w:r w:rsidRPr="00205573">
              <w:rPr>
                <w:lang w:val="pl-PL"/>
              </w:rPr>
              <w:t xml:space="preserve"> VC (ID: </w:t>
            </w:r>
            <w:proofErr w:type="spellStart"/>
            <w:r w:rsidRPr="00205573">
              <w:rPr>
                <w:lang w:val="pl-PL"/>
              </w:rPr>
              <w:t>jQAOfi</w:t>
            </w:r>
            <w:proofErr w:type="spellEnd"/>
            <w:r w:rsidRPr="00205573">
              <w:rPr>
                <w:lang w:val="pl-PL"/>
              </w:rPr>
              <w:t>-</w:t>
            </w:r>
            <w:proofErr w:type="spellStart"/>
            <w:r w:rsidRPr="00205573">
              <w:rPr>
                <w:lang w:val="pl-PL"/>
              </w:rPr>
              <w:t>Hh</w:t>
            </w:r>
            <w:proofErr w:type="spellEnd"/>
            <w:r w:rsidRPr="00205573">
              <w:rPr>
                <w:lang w:val="pl-PL"/>
              </w:rPr>
              <w:t>-g)</w:t>
            </w:r>
          </w:p>
        </w:tc>
        <w:tc>
          <w:tcPr>
            <w:tcW w:w="2484" w:type="dxa"/>
          </w:tcPr>
          <w:p w14:paraId="3ECB99F8" w14:textId="77777777" w:rsidR="00A1307C" w:rsidRDefault="00000000">
            <w:r>
              <w:t>David George (z Joe Weisenthalem i Tracy Alloway)</w:t>
            </w:r>
          </w:p>
        </w:tc>
        <w:tc>
          <w:tcPr>
            <w:tcW w:w="2484" w:type="dxa"/>
          </w:tcPr>
          <w:p w14:paraId="23DEA73F" w14:textId="77777777" w:rsidR="00A1307C" w:rsidRDefault="00000000">
            <w:r>
              <w:t>$5 bln kapitalizacji tech siedzi w private markets – rosnąca rola tender offers i secondaries (jak $350M tender offer towarzyszący rundzie G Roblox).</w:t>
            </w:r>
          </w:p>
        </w:tc>
      </w:tr>
      <w:tr w:rsidR="00A1307C" w14:paraId="45788516" w14:textId="77777777">
        <w:trPr>
          <w:jc w:val="center"/>
        </w:trPr>
        <w:tc>
          <w:tcPr>
            <w:tcW w:w="2484" w:type="dxa"/>
          </w:tcPr>
          <w:p w14:paraId="625D14A4" w14:textId="77777777" w:rsidR="00A1307C" w:rsidRDefault="00000000">
            <w:r>
              <w:rPr>
                <w:b/>
              </w:rPr>
              <w:t>6</w:t>
            </w:r>
          </w:p>
        </w:tc>
        <w:tc>
          <w:tcPr>
            <w:tcW w:w="2484" w:type="dxa"/>
          </w:tcPr>
          <w:p w14:paraId="27EDC700" w14:textId="77777777" w:rsidR="00A1307C" w:rsidRDefault="00000000">
            <w:r>
              <w:t>VentureBeat – „Why Andreessen Horowitz is investing in games” (2020)</w:t>
            </w:r>
          </w:p>
        </w:tc>
        <w:tc>
          <w:tcPr>
            <w:tcW w:w="2484" w:type="dxa"/>
          </w:tcPr>
          <w:p w14:paraId="67F8024C" w14:textId="77777777" w:rsidR="00A1307C" w:rsidRDefault="00000000">
            <w:r>
              <w:t>Andrew Chen</w:t>
            </w:r>
          </w:p>
        </w:tc>
        <w:tc>
          <w:tcPr>
            <w:tcW w:w="2484" w:type="dxa"/>
          </w:tcPr>
          <w:p w14:paraId="307CF966" w14:textId="77777777" w:rsidR="00A1307C" w:rsidRDefault="00000000">
            <w:r>
              <w:t>Teza a16z dot. gier: UGC + moddable platforms + persistent identity. Wprost wymienia Roblox jako case potwierdzający tezę.</w:t>
            </w:r>
          </w:p>
        </w:tc>
      </w:tr>
      <w:tr w:rsidR="00A1307C" w:rsidRPr="00205573" w14:paraId="23EF267E" w14:textId="77777777">
        <w:trPr>
          <w:jc w:val="center"/>
        </w:trPr>
        <w:tc>
          <w:tcPr>
            <w:tcW w:w="2484" w:type="dxa"/>
          </w:tcPr>
          <w:p w14:paraId="3B967E53" w14:textId="77777777" w:rsidR="00A1307C" w:rsidRDefault="00000000">
            <w:r>
              <w:rPr>
                <w:b/>
              </w:rPr>
              <w:t>7</w:t>
            </w:r>
          </w:p>
        </w:tc>
        <w:tc>
          <w:tcPr>
            <w:tcW w:w="2484" w:type="dxa"/>
          </w:tcPr>
          <w:p w14:paraId="17790E1F" w14:textId="77777777" w:rsidR="00A1307C" w:rsidRDefault="00000000">
            <w:r>
              <w:t>Wywiad video Andrew Chen z Markiem Andreessenem (2024)</w:t>
            </w:r>
          </w:p>
        </w:tc>
        <w:tc>
          <w:tcPr>
            <w:tcW w:w="2484" w:type="dxa"/>
          </w:tcPr>
          <w:p w14:paraId="1A1F782E" w14:textId="77777777" w:rsidR="00A1307C" w:rsidRDefault="00000000">
            <w:r>
              <w:t>Marc Andreessen</w:t>
            </w:r>
          </w:p>
        </w:tc>
        <w:tc>
          <w:tcPr>
            <w:tcW w:w="2484" w:type="dxa"/>
          </w:tcPr>
          <w:p w14:paraId="44524A09" w14:textId="77777777" w:rsidR="00A1307C" w:rsidRPr="00205573" w:rsidRDefault="00000000">
            <w:pPr>
              <w:rPr>
                <w:lang w:val="pl-PL"/>
              </w:rPr>
            </w:pPr>
            <w:r w:rsidRPr="00205573">
              <w:rPr>
                <w:lang w:val="pl-PL"/>
              </w:rPr>
              <w:t xml:space="preserve">Osobista relacja z </w:t>
            </w:r>
            <w:proofErr w:type="spellStart"/>
            <w:r w:rsidRPr="00205573">
              <w:rPr>
                <w:lang w:val="pl-PL"/>
              </w:rPr>
              <w:t>gamingiem</w:t>
            </w:r>
            <w:proofErr w:type="spellEnd"/>
            <w:r w:rsidRPr="00205573">
              <w:rPr>
                <w:lang w:val="pl-PL"/>
              </w:rPr>
              <w:t xml:space="preserve"> (gry z synem w </w:t>
            </w:r>
            <w:proofErr w:type="spellStart"/>
            <w:r w:rsidRPr="00205573">
              <w:rPr>
                <w:lang w:val="pl-PL"/>
              </w:rPr>
              <w:t>Roblox</w:t>
            </w:r>
            <w:proofErr w:type="spellEnd"/>
            <w:r w:rsidRPr="00205573">
              <w:rPr>
                <w:lang w:val="pl-PL"/>
              </w:rPr>
              <w:t xml:space="preserve">, </w:t>
            </w:r>
            <w:proofErr w:type="spellStart"/>
            <w:r w:rsidRPr="00205573">
              <w:rPr>
                <w:lang w:val="pl-PL"/>
              </w:rPr>
              <w:t>Minecraft</w:t>
            </w:r>
            <w:proofErr w:type="spellEnd"/>
            <w:r w:rsidRPr="00205573">
              <w:rPr>
                <w:lang w:val="pl-PL"/>
              </w:rPr>
              <w:t>); uzasadnienie utworzenia Games Fund One; teza o przejściu gier z hit-</w:t>
            </w:r>
            <w:proofErr w:type="spellStart"/>
            <w:r w:rsidRPr="00205573">
              <w:rPr>
                <w:lang w:val="pl-PL"/>
              </w:rPr>
              <w:t>driven</w:t>
            </w:r>
            <w:proofErr w:type="spellEnd"/>
            <w:r w:rsidRPr="00205573">
              <w:rPr>
                <w:lang w:val="pl-PL"/>
              </w:rPr>
              <w:t xml:space="preserve"> </w:t>
            </w:r>
            <w:proofErr w:type="spellStart"/>
            <w:r w:rsidRPr="00205573">
              <w:rPr>
                <w:lang w:val="pl-PL"/>
              </w:rPr>
              <w:t>entertainment</w:t>
            </w:r>
            <w:proofErr w:type="spellEnd"/>
            <w:r w:rsidRPr="00205573">
              <w:rPr>
                <w:lang w:val="pl-PL"/>
              </w:rPr>
              <w:t xml:space="preserve"> do </w:t>
            </w:r>
            <w:proofErr w:type="spellStart"/>
            <w:r w:rsidRPr="00205573">
              <w:rPr>
                <w:lang w:val="pl-PL"/>
              </w:rPr>
              <w:t>long</w:t>
            </w:r>
            <w:proofErr w:type="spellEnd"/>
            <w:r w:rsidRPr="00205573">
              <w:rPr>
                <w:lang w:val="pl-PL"/>
              </w:rPr>
              <w:t xml:space="preserve">-term </w:t>
            </w:r>
            <w:proofErr w:type="spellStart"/>
            <w:r w:rsidRPr="00205573">
              <w:rPr>
                <w:lang w:val="pl-PL"/>
              </w:rPr>
              <w:t>platforms</w:t>
            </w:r>
            <w:proofErr w:type="spellEnd"/>
            <w:r w:rsidRPr="00205573">
              <w:rPr>
                <w:lang w:val="pl-PL"/>
              </w:rPr>
              <w:t>.</w:t>
            </w:r>
          </w:p>
        </w:tc>
      </w:tr>
    </w:tbl>
    <w:p w14:paraId="28A486D8" w14:textId="77777777" w:rsidR="00A1307C" w:rsidRPr="00205573" w:rsidRDefault="00A1307C">
      <w:pPr>
        <w:rPr>
          <w:lang w:val="pl-PL"/>
        </w:rPr>
      </w:pPr>
    </w:p>
    <w:p w14:paraId="4AD5C27E" w14:textId="77777777" w:rsidR="00A1307C" w:rsidRPr="00205573" w:rsidRDefault="00000000">
      <w:pPr>
        <w:pStyle w:val="Heading3"/>
        <w:rPr>
          <w:lang w:val="pl-PL"/>
        </w:rPr>
      </w:pPr>
      <w:r w:rsidRPr="00205573">
        <w:rPr>
          <w:lang w:val="pl-PL"/>
        </w:rPr>
        <w:lastRenderedPageBreak/>
        <w:t>9.5. Wnioski z analizy materiałów</w:t>
      </w:r>
    </w:p>
    <w:p w14:paraId="05933431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Analiza wystąpień przedstawicieli a16z prowadzi do kilku wniosków istotnych dla oceny inwestycji w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>:</w:t>
      </w:r>
    </w:p>
    <w:p w14:paraId="7B45FC29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Spójność tezy w czasie</w:t>
      </w:r>
      <w:r w:rsidRPr="00205573">
        <w:rPr>
          <w:lang w:val="pl-PL"/>
        </w:rPr>
        <w:t xml:space="preserve"> – stanowiska a16z dot.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, UGC i </w:t>
      </w:r>
      <w:proofErr w:type="spellStart"/>
      <w:r w:rsidRPr="00205573">
        <w:rPr>
          <w:lang w:val="pl-PL"/>
        </w:rPr>
        <w:t>metaverse</w:t>
      </w:r>
      <w:proofErr w:type="spellEnd"/>
      <w:r w:rsidRPr="00205573">
        <w:rPr>
          <w:lang w:val="pl-PL"/>
        </w:rPr>
        <w:t xml:space="preserve"> są niezmiennie powtarzane od 2020 r. (blog inwestycyjny) przez 2022 (Games Fund One), aż po 2025 r. (</w:t>
      </w:r>
      <w:proofErr w:type="spellStart"/>
      <w:r w:rsidRPr="00205573">
        <w:rPr>
          <w:lang w:val="pl-PL"/>
        </w:rPr>
        <w:t>Modelbusters</w:t>
      </w:r>
      <w:proofErr w:type="spellEnd"/>
      <w:r w:rsidRPr="00205573">
        <w:rPr>
          <w:lang w:val="pl-PL"/>
        </w:rPr>
        <w:t>). Brak retoryki „</w:t>
      </w:r>
      <w:proofErr w:type="spellStart"/>
      <w:r w:rsidRPr="00205573">
        <w:rPr>
          <w:lang w:val="pl-PL"/>
        </w:rPr>
        <w:t>pivot</w:t>
      </w:r>
      <w:proofErr w:type="spellEnd"/>
      <w:r w:rsidRPr="00205573">
        <w:rPr>
          <w:lang w:val="pl-PL"/>
        </w:rPr>
        <w:t xml:space="preserve">” mimo bessy w 2022 r. wskazuje na realną </w:t>
      </w:r>
      <w:proofErr w:type="spellStart"/>
      <w:r w:rsidRPr="00205573">
        <w:rPr>
          <w:lang w:val="pl-PL"/>
        </w:rPr>
        <w:t>conviction</w:t>
      </w:r>
      <w:proofErr w:type="spellEnd"/>
      <w:r w:rsidRPr="00205573">
        <w:rPr>
          <w:lang w:val="pl-PL"/>
        </w:rPr>
        <w:t xml:space="preserve">, a nie taktyczne marketingowe </w:t>
      </w:r>
      <w:proofErr w:type="spellStart"/>
      <w:r w:rsidRPr="00205573">
        <w:rPr>
          <w:lang w:val="pl-PL"/>
        </w:rPr>
        <w:t>sloganowanie</w:t>
      </w:r>
      <w:proofErr w:type="spellEnd"/>
      <w:r w:rsidRPr="00205573">
        <w:rPr>
          <w:lang w:val="pl-PL"/>
        </w:rPr>
        <w:t>.</w:t>
      </w:r>
    </w:p>
    <w:p w14:paraId="46E7B238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 xml:space="preserve">Personalna relacja George – </w:t>
      </w:r>
      <w:proofErr w:type="spellStart"/>
      <w:r w:rsidRPr="00205573">
        <w:rPr>
          <w:b/>
          <w:lang w:val="pl-PL"/>
        </w:rPr>
        <w:t>Baszucki</w:t>
      </w:r>
      <w:proofErr w:type="spellEnd"/>
      <w:r w:rsidRPr="00205573">
        <w:rPr>
          <w:lang w:val="pl-PL"/>
        </w:rPr>
        <w:t xml:space="preserve"> – George w podcaście I/O publicznie określa </w:t>
      </w:r>
      <w:proofErr w:type="spellStart"/>
      <w:r w:rsidRPr="00205573">
        <w:rPr>
          <w:lang w:val="pl-PL"/>
        </w:rPr>
        <w:t>Baszuckiego</w:t>
      </w:r>
      <w:proofErr w:type="spellEnd"/>
      <w:r w:rsidRPr="00205573">
        <w:rPr>
          <w:lang w:val="pl-PL"/>
        </w:rPr>
        <w:t xml:space="preserve"> jako „</w:t>
      </w:r>
      <w:proofErr w:type="spellStart"/>
      <w:r w:rsidRPr="00205573">
        <w:rPr>
          <w:lang w:val="pl-PL"/>
        </w:rPr>
        <w:t>commercial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killer</w:t>
      </w:r>
      <w:proofErr w:type="spellEnd"/>
      <w:r w:rsidRPr="00205573">
        <w:rPr>
          <w:lang w:val="pl-PL"/>
        </w:rPr>
        <w:t>” i „</w:t>
      </w:r>
      <w:proofErr w:type="spellStart"/>
      <w:r w:rsidRPr="00205573">
        <w:rPr>
          <w:lang w:val="pl-PL"/>
        </w:rPr>
        <w:t>mission-driven</w:t>
      </w:r>
      <w:proofErr w:type="spellEnd"/>
      <w:r w:rsidRPr="00205573">
        <w:rPr>
          <w:lang w:val="pl-PL"/>
        </w:rPr>
        <w:t>”. Ten typ bezpośredniej, długoterminowej relacji jest charakterystyczny dla strategii a16z i tłumaczy, dlaczego fundusz preferuje wchodzić do spółek, w których założyciel zostaje na pokładzie.</w:t>
      </w:r>
    </w:p>
    <w:p w14:paraId="41ACFBD0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 xml:space="preserve">Otwartość komunikacyjna jako element </w:t>
      </w:r>
      <w:proofErr w:type="spellStart"/>
      <w:r w:rsidRPr="00205573">
        <w:rPr>
          <w:b/>
          <w:lang w:val="pl-PL"/>
        </w:rPr>
        <w:t>value-add</w:t>
      </w:r>
      <w:proofErr w:type="spellEnd"/>
      <w:r w:rsidRPr="00205573">
        <w:rPr>
          <w:lang w:val="pl-PL"/>
        </w:rPr>
        <w:t xml:space="preserve"> – publiczne pozycjonowanie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przez </w:t>
      </w:r>
      <w:proofErr w:type="spellStart"/>
      <w:r w:rsidRPr="00205573">
        <w:rPr>
          <w:lang w:val="pl-PL"/>
        </w:rPr>
        <w:t>Andreessena</w:t>
      </w:r>
      <w:proofErr w:type="spellEnd"/>
      <w:r w:rsidRPr="00205573">
        <w:rPr>
          <w:lang w:val="pl-PL"/>
        </w:rPr>
        <w:t xml:space="preserve"> i George’a w mediach branżowych (CNBC, Bloomberg, </w:t>
      </w:r>
      <w:proofErr w:type="spellStart"/>
      <w:r w:rsidRPr="00205573">
        <w:rPr>
          <w:lang w:val="pl-PL"/>
        </w:rPr>
        <w:t>VentureBeat</w:t>
      </w:r>
      <w:proofErr w:type="spellEnd"/>
      <w:r w:rsidRPr="00205573">
        <w:rPr>
          <w:lang w:val="pl-PL"/>
        </w:rPr>
        <w:t xml:space="preserve">, podcasty) wpłynęło na percepcję narracji </w:t>
      </w:r>
      <w:proofErr w:type="spellStart"/>
      <w:r w:rsidRPr="00205573">
        <w:rPr>
          <w:lang w:val="pl-PL"/>
        </w:rPr>
        <w:t>metaverse</w:t>
      </w:r>
      <w:proofErr w:type="spellEnd"/>
      <w:r w:rsidRPr="00205573">
        <w:rPr>
          <w:lang w:val="pl-PL"/>
        </w:rPr>
        <w:t xml:space="preserve"> i prawdopodobnie na wycenę </w:t>
      </w:r>
      <w:proofErr w:type="spellStart"/>
      <w:r w:rsidRPr="00205573">
        <w:rPr>
          <w:lang w:val="pl-PL"/>
        </w:rPr>
        <w:t>pre</w:t>
      </w:r>
      <w:proofErr w:type="spellEnd"/>
      <w:r w:rsidRPr="00205573">
        <w:rPr>
          <w:lang w:val="pl-PL"/>
        </w:rPr>
        <w:t>-listing. To jeden z najbardziej wymiernych elementów wsparcia post-investment a16z.</w:t>
      </w:r>
    </w:p>
    <w:p w14:paraId="244542DD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Słabość: brak komunikacji w trudnych momentach</w:t>
      </w:r>
      <w:r w:rsidRPr="00205573">
        <w:rPr>
          <w:lang w:val="pl-PL"/>
        </w:rPr>
        <w:t xml:space="preserve"> – po korekcie kursu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w 2022 r. (-65%) a16z nie publikował materiałów reasekuracyjnych ani komentarzy. Komunikacja jest asymetryczna – mocna w okresach wzrostu, milcząca w okresach spadku.</w:t>
      </w:r>
    </w:p>
    <w:p w14:paraId="1022EC22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b/>
          <w:lang w:val="pl-PL"/>
        </w:rPr>
        <w:t>Konsekwentne ramy intelektualne</w:t>
      </w:r>
      <w:r w:rsidRPr="00205573">
        <w:rPr>
          <w:lang w:val="pl-PL"/>
        </w:rPr>
        <w:t xml:space="preserve"> – wszyscy trzej przedstawiciele (George, </w:t>
      </w:r>
      <w:proofErr w:type="spellStart"/>
      <w:r w:rsidRPr="00205573">
        <w:rPr>
          <w:lang w:val="pl-PL"/>
        </w:rPr>
        <w:t>Andreessen</w:t>
      </w:r>
      <w:proofErr w:type="spellEnd"/>
      <w:r w:rsidRPr="00205573">
        <w:rPr>
          <w:lang w:val="pl-PL"/>
        </w:rPr>
        <w:t xml:space="preserve">, Chen) używają tych samych ram analitycznych (network </w:t>
      </w:r>
      <w:proofErr w:type="spellStart"/>
      <w:r w:rsidRPr="00205573">
        <w:rPr>
          <w:lang w:val="pl-PL"/>
        </w:rPr>
        <w:t>effects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persistent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identity</w:t>
      </w:r>
      <w:proofErr w:type="spellEnd"/>
      <w:r w:rsidRPr="00205573">
        <w:rPr>
          <w:lang w:val="pl-PL"/>
        </w:rPr>
        <w:t xml:space="preserve">, UGC, </w:t>
      </w:r>
      <w:proofErr w:type="spellStart"/>
      <w:r w:rsidRPr="00205573">
        <w:rPr>
          <w:lang w:val="pl-PL"/>
        </w:rPr>
        <w:t>compounders</w:t>
      </w:r>
      <w:proofErr w:type="spellEnd"/>
      <w:r w:rsidRPr="00205573">
        <w:rPr>
          <w:lang w:val="pl-PL"/>
        </w:rPr>
        <w:t>), co świadczy o silnej kulturze instytucjonalnej a16z i jakości procesu inwestycyjnego.</w:t>
      </w:r>
    </w:p>
    <w:p w14:paraId="26C991A5" w14:textId="77777777" w:rsidR="00A1307C" w:rsidRPr="00205573" w:rsidRDefault="00000000">
      <w:pPr>
        <w:pStyle w:val="Heading2"/>
        <w:rPr>
          <w:lang w:val="pl-PL"/>
        </w:rPr>
      </w:pPr>
      <w:r w:rsidRPr="00205573">
        <w:rPr>
          <w:lang w:val="pl-PL"/>
        </w:rPr>
        <w:t>10. Podsumowanie i synteza wniosków</w:t>
      </w:r>
    </w:p>
    <w:p w14:paraId="1DE530C0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Inwestycja a16z w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(Series G, luty 2020, 150 mln USD przy wycenie 4 mld USD) jest modelowym przykładem strategii </w:t>
      </w:r>
      <w:proofErr w:type="spellStart"/>
      <w:r w:rsidRPr="00205573">
        <w:rPr>
          <w:lang w:val="pl-PL"/>
        </w:rPr>
        <w:t>Late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Stage</w:t>
      </w:r>
      <w:proofErr w:type="spellEnd"/>
      <w:r w:rsidRPr="00205573">
        <w:rPr>
          <w:lang w:val="pl-PL"/>
        </w:rPr>
        <w:t xml:space="preserve"> Venture funduszu: wejście w spółkę już zweryfikowaną operacyjnie (115 mln MAU, </w:t>
      </w:r>
      <w:proofErr w:type="spellStart"/>
      <w:r w:rsidRPr="00205573">
        <w:rPr>
          <w:lang w:val="pl-PL"/>
        </w:rPr>
        <w:t>cash-flow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positive</w:t>
      </w:r>
      <w:proofErr w:type="spellEnd"/>
      <w:r w:rsidRPr="00205573">
        <w:rPr>
          <w:lang w:val="pl-PL"/>
        </w:rPr>
        <w:t xml:space="preserve">), z dojrzałym modelem przychodów i sprawdzonym </w:t>
      </w:r>
      <w:proofErr w:type="spellStart"/>
      <w:r w:rsidRPr="00205573">
        <w:rPr>
          <w:lang w:val="pl-PL"/>
        </w:rPr>
        <w:t>founderem</w:t>
      </w:r>
      <w:proofErr w:type="spellEnd"/>
      <w:r w:rsidRPr="00205573">
        <w:rPr>
          <w:lang w:val="pl-PL"/>
        </w:rPr>
        <w:t xml:space="preserve">, ale przed największą ekspansją wyceny. David George prowadził transakcję z perspektywy </w:t>
      </w:r>
      <w:proofErr w:type="spellStart"/>
      <w:r w:rsidRPr="00205573">
        <w:rPr>
          <w:lang w:val="pl-PL"/>
        </w:rPr>
        <w:t>growth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investingu</w:t>
      </w:r>
      <w:proofErr w:type="spellEnd"/>
      <w:r w:rsidRPr="00205573">
        <w:rPr>
          <w:lang w:val="pl-PL"/>
        </w:rPr>
        <w:t xml:space="preserve"> opracowanej wcześniej w General </w:t>
      </w:r>
      <w:proofErr w:type="spellStart"/>
      <w:r w:rsidRPr="00205573">
        <w:rPr>
          <w:lang w:val="pl-PL"/>
        </w:rPr>
        <w:t>Atlantic</w:t>
      </w:r>
      <w:proofErr w:type="spellEnd"/>
      <w:r w:rsidRPr="00205573">
        <w:rPr>
          <w:lang w:val="pl-PL"/>
        </w:rPr>
        <w:t xml:space="preserve">, a </w:t>
      </w:r>
      <w:proofErr w:type="spellStart"/>
      <w:r w:rsidRPr="00205573">
        <w:rPr>
          <w:lang w:val="pl-PL"/>
        </w:rPr>
        <w:t>Marc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Andreessen</w:t>
      </w:r>
      <w:proofErr w:type="spellEnd"/>
      <w:r w:rsidRPr="00205573">
        <w:rPr>
          <w:lang w:val="pl-PL"/>
        </w:rPr>
        <w:t xml:space="preserve"> dostarczył intelektualne ramy narracyjne (</w:t>
      </w:r>
      <w:proofErr w:type="spellStart"/>
      <w:r w:rsidRPr="00205573">
        <w:rPr>
          <w:lang w:val="pl-PL"/>
        </w:rPr>
        <w:t>metaverse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persistent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identity</w:t>
      </w:r>
      <w:proofErr w:type="spellEnd"/>
      <w:r w:rsidRPr="00205573">
        <w:rPr>
          <w:lang w:val="pl-PL"/>
        </w:rPr>
        <w:t xml:space="preserve">), które miały materialny wpływ na wycenę </w:t>
      </w:r>
      <w:proofErr w:type="spellStart"/>
      <w:r w:rsidRPr="00205573">
        <w:rPr>
          <w:lang w:val="pl-PL"/>
        </w:rPr>
        <w:t>pre</w:t>
      </w:r>
      <w:proofErr w:type="spellEnd"/>
      <w:r w:rsidRPr="00205573">
        <w:rPr>
          <w:lang w:val="pl-PL"/>
        </w:rPr>
        <w:t>-listing.</w:t>
      </w:r>
    </w:p>
    <w:p w14:paraId="7C8BE600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Z perspektywy księgowej inwestycja okazała się spektakularnym sukcesem: w ciągu 12,5 miesiąca papierowy zwrot na akcjach Series G wzrósł ok. 11-krotnie (4 mld → 45,3 mld USD przy </w:t>
      </w:r>
      <w:proofErr w:type="spellStart"/>
      <w:r w:rsidRPr="00205573">
        <w:rPr>
          <w:lang w:val="pl-PL"/>
        </w:rPr>
        <w:t>direct</w:t>
      </w:r>
      <w:proofErr w:type="spellEnd"/>
      <w:r w:rsidRPr="00205573">
        <w:rPr>
          <w:lang w:val="pl-PL"/>
        </w:rPr>
        <w:t xml:space="preserve"> listingu RBLX, 10 marca 2021 r.).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stał się jednym z driverów wyników a16z LSV obok </w:t>
      </w:r>
      <w:proofErr w:type="spellStart"/>
      <w:r w:rsidRPr="00205573">
        <w:rPr>
          <w:lang w:val="pl-PL"/>
        </w:rPr>
        <w:t>Coinbase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Databricks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Figmy</w:t>
      </w:r>
      <w:proofErr w:type="spellEnd"/>
      <w:r w:rsidRPr="00205573">
        <w:rPr>
          <w:lang w:val="pl-PL"/>
        </w:rPr>
        <w:t xml:space="preserve">, </w:t>
      </w:r>
      <w:proofErr w:type="spellStart"/>
      <w:r w:rsidRPr="00205573">
        <w:rPr>
          <w:lang w:val="pl-PL"/>
        </w:rPr>
        <w:t>Instacart</w:t>
      </w:r>
      <w:proofErr w:type="spellEnd"/>
      <w:r w:rsidRPr="00205573">
        <w:rPr>
          <w:lang w:val="pl-PL"/>
        </w:rPr>
        <w:t xml:space="preserve"> i </w:t>
      </w:r>
      <w:proofErr w:type="spellStart"/>
      <w:r w:rsidRPr="00205573">
        <w:rPr>
          <w:lang w:val="pl-PL"/>
        </w:rPr>
        <w:t>Robinhooda</w:t>
      </w:r>
      <w:proofErr w:type="spellEnd"/>
      <w:r w:rsidRPr="00205573">
        <w:rPr>
          <w:lang w:val="pl-PL"/>
        </w:rPr>
        <w:t>. Realny IRR a16z jest jednak istotnie niższy niż papierowy z marca 2021 r. – kurs RBLX po debiucie podlegał silnym wahaniom, od szczytu 134 USD (listopad 2021) przez spadek do ok. 25 USD (2022) z odbiciem do 60–80 USD w 2024–2025 r. Brak publicznego ujawnienia tempa upłynniania pozycji uniemożliwia precyzyjną ocenę realnego zwrotu.</w:t>
      </w:r>
    </w:p>
    <w:p w14:paraId="1E038D4E" w14:textId="77777777" w:rsidR="00A1307C" w:rsidRPr="00205573" w:rsidRDefault="00000000">
      <w:pPr>
        <w:rPr>
          <w:lang w:val="pl-PL"/>
        </w:rPr>
      </w:pPr>
      <w:r w:rsidRPr="00205573">
        <w:rPr>
          <w:lang w:val="pl-PL"/>
        </w:rPr>
        <w:t xml:space="preserve">Case </w:t>
      </w:r>
      <w:proofErr w:type="spellStart"/>
      <w:r w:rsidRPr="00205573">
        <w:rPr>
          <w:lang w:val="pl-PL"/>
        </w:rPr>
        <w:t>Roblox</w:t>
      </w:r>
      <w:proofErr w:type="spellEnd"/>
      <w:r w:rsidRPr="00205573">
        <w:rPr>
          <w:lang w:val="pl-PL"/>
        </w:rPr>
        <w:t xml:space="preserve"> pokazuje zarówno siłę, jak i strukturalne ograniczenia modelu LSV w erze </w:t>
      </w:r>
      <w:proofErr w:type="spellStart"/>
      <w:r w:rsidRPr="00205573">
        <w:rPr>
          <w:lang w:val="pl-PL"/>
        </w:rPr>
        <w:t>metaverse</w:t>
      </w:r>
      <w:proofErr w:type="spellEnd"/>
      <w:r w:rsidRPr="00205573">
        <w:rPr>
          <w:lang w:val="pl-PL"/>
        </w:rPr>
        <w:t xml:space="preserve">. Strategia a16z zadziałała znakomicie na etapie identyfikacji </w:t>
      </w:r>
      <w:proofErr w:type="spellStart"/>
      <w:r w:rsidRPr="00205573">
        <w:rPr>
          <w:lang w:val="pl-PL"/>
        </w:rPr>
        <w:t>compoundera</w:t>
      </w:r>
      <w:proofErr w:type="spellEnd"/>
      <w:r w:rsidRPr="00205573">
        <w:rPr>
          <w:lang w:val="pl-PL"/>
        </w:rPr>
        <w:t xml:space="preserve"> i pozycjonowania narracyjnego do </w:t>
      </w:r>
      <w:proofErr w:type="spellStart"/>
      <w:r w:rsidRPr="00205573">
        <w:rPr>
          <w:lang w:val="pl-PL"/>
        </w:rPr>
        <w:t>direct</w:t>
      </w:r>
      <w:proofErr w:type="spellEnd"/>
      <w:r w:rsidRPr="00205573">
        <w:rPr>
          <w:lang w:val="pl-PL"/>
        </w:rPr>
        <w:t xml:space="preserve"> listingu, ale ujawniła słabości w dwóch obszarach: (1) brak pełnoetatowego miejsca w radzie nadzorczej i ograniczona kontrola operacyjna ograniczyły zdolność do reakcji w korekcie 2022 r., (2) rezygnacja z roli </w:t>
      </w:r>
      <w:proofErr w:type="spellStart"/>
      <w:r w:rsidRPr="00205573">
        <w:rPr>
          <w:lang w:val="pl-PL"/>
        </w:rPr>
        <w:t>lead</w:t>
      </w:r>
      <w:proofErr w:type="spellEnd"/>
      <w:r w:rsidRPr="00205573">
        <w:rPr>
          <w:lang w:val="pl-PL"/>
        </w:rPr>
        <w:t xml:space="preserve"> w Series H zmniejszyła absolutną wartość zwrotu (porównanie z konsekwentnym </w:t>
      </w:r>
      <w:proofErr w:type="spellStart"/>
      <w:r w:rsidRPr="00205573">
        <w:rPr>
          <w:lang w:val="pl-PL"/>
        </w:rPr>
        <w:t>follow</w:t>
      </w:r>
      <w:proofErr w:type="spellEnd"/>
      <w:r w:rsidRPr="00205573">
        <w:rPr>
          <w:lang w:val="pl-PL"/>
        </w:rPr>
        <w:t xml:space="preserve">-on w </w:t>
      </w:r>
      <w:proofErr w:type="spellStart"/>
      <w:r w:rsidRPr="00205573">
        <w:rPr>
          <w:lang w:val="pl-PL"/>
        </w:rPr>
        <w:t>Coinbase</w:t>
      </w:r>
      <w:proofErr w:type="spellEnd"/>
      <w:r w:rsidRPr="00205573">
        <w:rPr>
          <w:lang w:val="pl-PL"/>
        </w:rPr>
        <w:t xml:space="preserve">, gdzie a16z zbudował 15-procentowy udział). Wniosek dla strategii a16z: model </w:t>
      </w:r>
      <w:proofErr w:type="spellStart"/>
      <w:r w:rsidRPr="00205573">
        <w:rPr>
          <w:lang w:val="pl-PL"/>
        </w:rPr>
        <w:t>late-stage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growth</w:t>
      </w:r>
      <w:proofErr w:type="spellEnd"/>
      <w:r w:rsidRPr="00205573">
        <w:rPr>
          <w:lang w:val="pl-PL"/>
        </w:rPr>
        <w:t xml:space="preserve"> jest skuteczny w generowaniu wysokich zwrotów księgowych do momentu wyjścia publicznego, ale w branżach o silnym uzależnieniu od jednej narracji rynkowej (</w:t>
      </w:r>
      <w:proofErr w:type="spellStart"/>
      <w:r w:rsidRPr="00205573">
        <w:rPr>
          <w:lang w:val="pl-PL"/>
        </w:rPr>
        <w:t>metaverse</w:t>
      </w:r>
      <w:proofErr w:type="spellEnd"/>
      <w:r w:rsidRPr="00205573">
        <w:rPr>
          <w:lang w:val="pl-PL"/>
        </w:rPr>
        <w:t xml:space="preserve">) kluczową kompetencją staje się timing upłynnienia pozycji, a nie sam moment wejścia – podobnie jak w przypadku Lyft i </w:t>
      </w:r>
      <w:proofErr w:type="spellStart"/>
      <w:r w:rsidRPr="00205573">
        <w:rPr>
          <w:lang w:val="pl-PL"/>
        </w:rPr>
        <w:t>ride-sharingu</w:t>
      </w:r>
      <w:proofErr w:type="spellEnd"/>
      <w:r w:rsidRPr="00205573">
        <w:rPr>
          <w:lang w:val="pl-PL"/>
        </w:rPr>
        <w:t>.</w:t>
      </w:r>
    </w:p>
    <w:p w14:paraId="0950B431" w14:textId="77777777" w:rsidR="00A1307C" w:rsidRDefault="00000000">
      <w:pPr>
        <w:pStyle w:val="Heading2"/>
      </w:pPr>
      <w:proofErr w:type="spellStart"/>
      <w:r>
        <w:lastRenderedPageBreak/>
        <w:t>Źródła</w:t>
      </w:r>
      <w:proofErr w:type="spellEnd"/>
    </w:p>
    <w:p w14:paraId="781D80E2" w14:textId="77777777" w:rsidR="00A1307C" w:rsidRDefault="00000000">
      <w:pPr>
        <w:pStyle w:val="Heading3"/>
      </w:pPr>
      <w:r>
        <w:t>Materiały prasowe i komunikaty</w:t>
      </w:r>
    </w:p>
    <w:p w14:paraId="1EE64A13" w14:textId="77777777" w:rsidR="00A1307C" w:rsidRDefault="00000000">
      <w:pPr>
        <w:pStyle w:val="ListBullet"/>
      </w:pPr>
      <w:r>
        <w:t>Roblox IR – „Roblox Raises $150M in Series G Financing, Led by Andreessen Horowitz” (26.02.2020), https://ir.roblox.com/news/news-details/2020/Roblox-Raises-150M-in-Series-G-Financing-Led-by-Andreessen-Horowitz/default.aspx (dostęp: maj 2026).</w:t>
      </w:r>
    </w:p>
    <w:p w14:paraId="03B48B01" w14:textId="77777777" w:rsidR="00A1307C" w:rsidRDefault="00000000">
      <w:pPr>
        <w:pStyle w:val="ListBullet"/>
      </w:pPr>
      <w:r>
        <w:t>TechCrunch – „Roblox raises $150M Series G, led by Andreessen Horowitz, now valued at $4B” (26.02.2020), https://techcrunch.com/2020/02/26/roblox-raises-150m-series-g-led-by-andreessen-horowitz-now-valued-at-4b/ (dostęp: maj 2026).</w:t>
      </w:r>
    </w:p>
    <w:p w14:paraId="40455F82" w14:textId="77777777" w:rsidR="00A1307C" w:rsidRDefault="00000000">
      <w:pPr>
        <w:pStyle w:val="ListBullet"/>
      </w:pPr>
      <w:r>
        <w:t>TechCrunch – „Roblox raises at $29.5 billion valuation, readies for direct listing” (07.01.2021), https://techcrunch.com/2021/01/07/robloxs-raises-at-29-5-billion-valuation-as-it-readies-for-direct-listing/ (dostęp: maj 2026).</w:t>
      </w:r>
    </w:p>
    <w:p w14:paraId="406DD645" w14:textId="77777777" w:rsidR="00A1307C" w:rsidRDefault="00000000">
      <w:pPr>
        <w:pStyle w:val="ListBullet"/>
      </w:pPr>
      <w:r>
        <w:t>Crunchbase News – „Roblox Building A Busier Platform With $150M Series G” (luty 2020), https://news.crunchbase.com/venture/roblox-building-a-busier-platform-with-150m-series-g-andreessen-horowitz-led-round/ (dostęp: maj 2026).</w:t>
      </w:r>
    </w:p>
    <w:p w14:paraId="50C1D8F3" w14:textId="77777777" w:rsidR="00A1307C" w:rsidRPr="00205573" w:rsidRDefault="00000000">
      <w:pPr>
        <w:pStyle w:val="Heading3"/>
        <w:rPr>
          <w:lang w:val="pl-PL"/>
        </w:rPr>
      </w:pPr>
      <w:r w:rsidRPr="00205573">
        <w:rPr>
          <w:lang w:val="pl-PL"/>
        </w:rPr>
        <w:t xml:space="preserve">Materiały dotyczące </w:t>
      </w:r>
      <w:proofErr w:type="spellStart"/>
      <w:r w:rsidRPr="00205573">
        <w:rPr>
          <w:lang w:val="pl-PL"/>
        </w:rPr>
        <w:t>direct</w:t>
      </w:r>
      <w:proofErr w:type="spellEnd"/>
      <w:r w:rsidRPr="00205573">
        <w:rPr>
          <w:lang w:val="pl-PL"/>
        </w:rPr>
        <w:t xml:space="preserve"> listingu (marzec 2021)</w:t>
      </w:r>
    </w:p>
    <w:p w14:paraId="37ACD1D9" w14:textId="77777777" w:rsidR="00A1307C" w:rsidRDefault="00000000">
      <w:pPr>
        <w:pStyle w:val="ListBullet"/>
      </w:pPr>
      <w:proofErr w:type="spellStart"/>
      <w:r>
        <w:t>PitchBook</w:t>
      </w:r>
      <w:proofErr w:type="spellEnd"/>
      <w:r>
        <w:t xml:space="preserve"> – „Roblox valued at $45.3B in record-setting direct listing” (10.03.2021), https://pitchbook.com/news/articles/roblox-gaming-direct-listing-valuation (dostęp: maj 2026).</w:t>
      </w:r>
    </w:p>
    <w:p w14:paraId="7BFB3710" w14:textId="77777777" w:rsidR="00A1307C" w:rsidRDefault="00000000">
      <w:pPr>
        <w:pStyle w:val="ListBullet"/>
      </w:pPr>
      <w:r>
        <w:t>InvestGame – „Roblox Goes Public Through Direct Listing” (marzec 2021), https://investgame.net/news/roblox-raised-520m-ahead-of-direct-listing/ (dostęp: maj 2026).</w:t>
      </w:r>
    </w:p>
    <w:p w14:paraId="6F7C5AB8" w14:textId="77777777" w:rsidR="00A1307C" w:rsidRDefault="00000000">
      <w:pPr>
        <w:pStyle w:val="Heading3"/>
      </w:pPr>
      <w:r>
        <w:t>Materiały a16z i wypowiedzi przedstawicieli</w:t>
      </w:r>
    </w:p>
    <w:p w14:paraId="10B13311" w14:textId="77777777" w:rsidR="00A1307C" w:rsidRDefault="00000000">
      <w:pPr>
        <w:pStyle w:val="ListBullet"/>
      </w:pPr>
      <w:r>
        <w:t>a16z – „Investing in Roblox” (David George, Marc Andreessen, blog a16z.com, 2020), https://a16z.com/announcement/investing-in-roblox/ (dostęp: maj 2026).</w:t>
      </w:r>
    </w:p>
    <w:p w14:paraId="7900CE24" w14:textId="77777777" w:rsidR="00A1307C" w:rsidRDefault="00000000">
      <w:pPr>
        <w:pStyle w:val="ListBullet"/>
      </w:pPr>
      <w:r>
        <w:t>a16z – „Modelbusters” (David George, a16z.com, 2025), https://a16z.com/modelbusters/ (dostęp: maj 2026).</w:t>
      </w:r>
    </w:p>
    <w:p w14:paraId="2EF13969" w14:textId="77777777" w:rsidR="00A1307C" w:rsidRDefault="00000000">
      <w:pPr>
        <w:pStyle w:val="ListBullet"/>
      </w:pPr>
      <w:r>
        <w:t>a16z Podcast / I/O – „a16z Growth’s David George on His Frameworks for Late-Stage Investing” (2024), https://a16z.com/podcast/a16z-frameworks-late-stage-investing/ (dostęp: maj 2026).</w:t>
      </w:r>
    </w:p>
    <w:p w14:paraId="77342E0F" w14:textId="77777777" w:rsidR="00A1307C" w:rsidRDefault="00000000">
      <w:pPr>
        <w:pStyle w:val="ListBullet"/>
      </w:pPr>
      <w:r>
        <w:t>20VC Podcast (Harry Stebbings) – odcinek z Davidem George, „On Leading a16z’s Growth Fund” (2021), https://open.spotify.com/episode/5rkCPAnmqPoRmM2zWaIzFu (dostęp: maj 2026).</w:t>
      </w:r>
    </w:p>
    <w:p w14:paraId="27D7E924" w14:textId="77777777" w:rsidR="00A1307C" w:rsidRPr="00205573" w:rsidRDefault="00000000">
      <w:pPr>
        <w:pStyle w:val="ListBullet"/>
        <w:rPr>
          <w:lang w:val="pl-PL"/>
        </w:rPr>
      </w:pPr>
      <w:r w:rsidRPr="00205573">
        <w:rPr>
          <w:lang w:val="pl-PL"/>
        </w:rPr>
        <w:t xml:space="preserve">YouTube – publiczny materiał uzupełniający do tematu </w:t>
      </w:r>
      <w:proofErr w:type="spellStart"/>
      <w:r w:rsidRPr="00205573">
        <w:rPr>
          <w:lang w:val="pl-PL"/>
        </w:rPr>
        <w:t>private</w:t>
      </w:r>
      <w:proofErr w:type="spellEnd"/>
      <w:r w:rsidRPr="00205573">
        <w:rPr>
          <w:lang w:val="pl-PL"/>
        </w:rPr>
        <w:t xml:space="preserve"> </w:t>
      </w:r>
      <w:proofErr w:type="spellStart"/>
      <w:r w:rsidRPr="00205573">
        <w:rPr>
          <w:lang w:val="pl-PL"/>
        </w:rPr>
        <w:t>markets</w:t>
      </w:r>
      <w:proofErr w:type="spellEnd"/>
      <w:r w:rsidRPr="00205573">
        <w:rPr>
          <w:lang w:val="pl-PL"/>
        </w:rPr>
        <w:t xml:space="preserve"> / </w:t>
      </w:r>
      <w:proofErr w:type="spellStart"/>
      <w:r w:rsidRPr="00205573">
        <w:rPr>
          <w:lang w:val="pl-PL"/>
        </w:rPr>
        <w:t>late-stage</w:t>
      </w:r>
      <w:proofErr w:type="spellEnd"/>
      <w:r w:rsidRPr="00205573">
        <w:rPr>
          <w:lang w:val="pl-PL"/>
        </w:rPr>
        <w:t xml:space="preserve"> VC, https://www.youtube.com/watch?v=jQAOfi-Hh-g (dostęp: maj 2026).</w:t>
      </w:r>
    </w:p>
    <w:p w14:paraId="2117CEF0" w14:textId="77777777" w:rsidR="00A1307C" w:rsidRDefault="00000000">
      <w:pPr>
        <w:pStyle w:val="ListBullet"/>
      </w:pPr>
      <w:r>
        <w:t xml:space="preserve">VentureBeat / </w:t>
      </w:r>
      <w:proofErr w:type="spellStart"/>
      <w:r>
        <w:t>GamesBeat</w:t>
      </w:r>
      <w:proofErr w:type="spellEnd"/>
      <w:r>
        <w:t xml:space="preserve"> – „Why Andreessen Horowitz is investing in games” (wywiad z Andrew Chenem, 2020), https://venturebeat.com/games/why-andreessen-horowitz-is-investing-in-games/ (dostęp: maj 2026).</w:t>
      </w:r>
    </w:p>
    <w:p w14:paraId="296AA442" w14:textId="77777777" w:rsidR="00A1307C" w:rsidRDefault="00000000">
      <w:pPr>
        <w:pStyle w:val="ListBullet"/>
      </w:pPr>
      <w:r>
        <w:t>Andrew Chen Substack / video – wywiad z Markiem Andreessenem o gamingu i metaverse (2024), https://andrewchen.substack.com/p/marc-andreessen-on-alpha-nerds-moral (dostęp: maj 2026).</w:t>
      </w:r>
    </w:p>
    <w:p w14:paraId="7B2C2DFF" w14:textId="77777777" w:rsidR="00A1307C" w:rsidRDefault="00000000">
      <w:pPr>
        <w:pStyle w:val="Heading3"/>
      </w:pPr>
      <w:r>
        <w:t>Materiały kontekstowe</w:t>
      </w:r>
    </w:p>
    <w:p w14:paraId="68ED8E6A" w14:textId="16744DC5" w:rsidR="00A1307C" w:rsidRDefault="00000000">
      <w:pPr>
        <w:pStyle w:val="ListBullet"/>
      </w:pPr>
      <w:r>
        <w:t xml:space="preserve">Andreessen M., „Why Software Is Eating the World”, The Wall Street Journal, 20 </w:t>
      </w:r>
      <w:proofErr w:type="spellStart"/>
      <w:r>
        <w:t>sierpnia</w:t>
      </w:r>
      <w:proofErr w:type="spellEnd"/>
      <w:r>
        <w:t xml:space="preserve"> 2011 r.</w:t>
      </w:r>
      <w:r w:rsidR="00205573">
        <w:br/>
      </w:r>
      <w:r w:rsidR="00205573" w:rsidRPr="00205573">
        <w:t>https://a16z.com/why-software-is-eating-the-world/</w:t>
      </w:r>
    </w:p>
    <w:p w14:paraId="7C7D5F3B" w14:textId="5D48FB92" w:rsidR="00A1307C" w:rsidRDefault="00000000">
      <w:pPr>
        <w:pStyle w:val="ListBullet"/>
      </w:pPr>
      <w:r>
        <w:t>Horowitz B., „</w:t>
      </w:r>
      <w:bookmarkStart w:id="0" w:name="_Hlk230448887"/>
      <w:bookmarkStart w:id="1" w:name="_Hlk230448902"/>
      <w:r>
        <w:t>The Hard Thing About Hard Things: Building a Business When There Are No Easy Answers</w:t>
      </w:r>
      <w:bookmarkEnd w:id="1"/>
      <w:r>
        <w:t>”, HarperBusiness,</w:t>
      </w:r>
      <w:bookmarkEnd w:id="0"/>
      <w:r>
        <w:t xml:space="preserve"> Nowy Jork 2014.</w:t>
      </w:r>
      <w:r w:rsidR="00205573">
        <w:br/>
      </w:r>
      <w:r w:rsidR="00205573" w:rsidRPr="00205573">
        <w:t>https://annas-archive.gl/md5/56cfc8aaaa8aa0ed0bdebd922c9bedc0</w:t>
      </w:r>
    </w:p>
    <w:p w14:paraId="70BB5BC2" w14:textId="77777777" w:rsidR="00A1307C" w:rsidRDefault="00000000">
      <w:pPr>
        <w:pStyle w:val="ListBullet"/>
      </w:pPr>
      <w:bookmarkStart w:id="2" w:name="_Hlk230449086"/>
      <w:r>
        <w:t xml:space="preserve">McCormick P., „a16z: The Power Brokers”, Not Boring, </w:t>
      </w:r>
      <w:bookmarkStart w:id="3" w:name="_Hlk230449088"/>
      <w:r>
        <w:t xml:space="preserve">https://www.notboring.co/p/a16z-the-power-brokers </w:t>
      </w:r>
      <w:bookmarkEnd w:id="3"/>
      <w:r>
        <w:t>(dostęp: maj 2026).</w:t>
      </w:r>
    </w:p>
    <w:bookmarkEnd w:id="2"/>
    <w:p w14:paraId="5EBC0EF2" w14:textId="77777777" w:rsidR="00A1307C" w:rsidRPr="00205573" w:rsidRDefault="00000000">
      <w:pPr>
        <w:rPr>
          <w:lang w:val="pl-PL"/>
        </w:rPr>
      </w:pPr>
      <w:r w:rsidRPr="00205573">
        <w:rPr>
          <w:i/>
          <w:lang w:val="pl-PL"/>
        </w:rPr>
        <w:lastRenderedPageBreak/>
        <w:t xml:space="preserve">Uwaga metodologiczna: dane finansowe rund (wartość, wycena, </w:t>
      </w:r>
      <w:proofErr w:type="spellStart"/>
      <w:r w:rsidRPr="00205573">
        <w:rPr>
          <w:i/>
          <w:lang w:val="pl-PL"/>
        </w:rPr>
        <w:t>lead</w:t>
      </w:r>
      <w:proofErr w:type="spellEnd"/>
      <w:r w:rsidRPr="00205573">
        <w:rPr>
          <w:i/>
          <w:lang w:val="pl-PL"/>
        </w:rPr>
        <w:t xml:space="preserve"> </w:t>
      </w:r>
      <w:proofErr w:type="spellStart"/>
      <w:r w:rsidRPr="00205573">
        <w:rPr>
          <w:i/>
          <w:lang w:val="pl-PL"/>
        </w:rPr>
        <w:t>investor</w:t>
      </w:r>
      <w:proofErr w:type="spellEnd"/>
      <w:r w:rsidRPr="00205573">
        <w:rPr>
          <w:i/>
          <w:lang w:val="pl-PL"/>
        </w:rPr>
        <w:t xml:space="preserve">) były weryfikowane krzyżowo w co najmniej dwóch niezależnych źródłach (komunikat a16z + relacja prasowa lub a16z + </w:t>
      </w:r>
      <w:proofErr w:type="spellStart"/>
      <w:r w:rsidRPr="00205573">
        <w:rPr>
          <w:i/>
          <w:lang w:val="pl-PL"/>
        </w:rPr>
        <w:t>Crunchbase</w:t>
      </w:r>
      <w:proofErr w:type="spellEnd"/>
      <w:r w:rsidRPr="00205573">
        <w:rPr>
          <w:i/>
          <w:lang w:val="pl-PL"/>
        </w:rPr>
        <w:t>/</w:t>
      </w:r>
      <w:proofErr w:type="spellStart"/>
      <w:r w:rsidRPr="00205573">
        <w:rPr>
          <w:i/>
          <w:lang w:val="pl-PL"/>
        </w:rPr>
        <w:t>PitchBook</w:t>
      </w:r>
      <w:proofErr w:type="spellEnd"/>
      <w:r w:rsidRPr="00205573">
        <w:rPr>
          <w:i/>
          <w:lang w:val="pl-PL"/>
        </w:rPr>
        <w:t xml:space="preserve">). Dane o wycenie </w:t>
      </w:r>
      <w:proofErr w:type="spellStart"/>
      <w:r w:rsidRPr="00205573">
        <w:rPr>
          <w:i/>
          <w:lang w:val="pl-PL"/>
        </w:rPr>
        <w:t>Roblox</w:t>
      </w:r>
      <w:proofErr w:type="spellEnd"/>
      <w:r w:rsidRPr="00205573">
        <w:rPr>
          <w:i/>
          <w:lang w:val="pl-PL"/>
        </w:rPr>
        <w:t xml:space="preserve"> na moment </w:t>
      </w:r>
      <w:proofErr w:type="spellStart"/>
      <w:r w:rsidRPr="00205573">
        <w:rPr>
          <w:i/>
          <w:lang w:val="pl-PL"/>
        </w:rPr>
        <w:t>direct</w:t>
      </w:r>
      <w:proofErr w:type="spellEnd"/>
      <w:r w:rsidRPr="00205573">
        <w:rPr>
          <w:i/>
          <w:lang w:val="pl-PL"/>
        </w:rPr>
        <w:t xml:space="preserve"> listingu pochodzą z prospektu S-1 (źródło pierwotne SEC) oraz raportów </w:t>
      </w:r>
      <w:proofErr w:type="spellStart"/>
      <w:r w:rsidRPr="00205573">
        <w:rPr>
          <w:i/>
          <w:lang w:val="pl-PL"/>
        </w:rPr>
        <w:t>PitchBook</w:t>
      </w:r>
      <w:proofErr w:type="spellEnd"/>
      <w:r w:rsidRPr="00205573">
        <w:rPr>
          <w:i/>
          <w:lang w:val="pl-PL"/>
        </w:rPr>
        <w:t xml:space="preserve">. Cytaty Davida George’a i Marca </w:t>
      </w:r>
      <w:proofErr w:type="spellStart"/>
      <w:r w:rsidRPr="00205573">
        <w:rPr>
          <w:i/>
          <w:lang w:val="pl-PL"/>
        </w:rPr>
        <w:t>Andreessena</w:t>
      </w:r>
      <w:proofErr w:type="spellEnd"/>
      <w:r w:rsidRPr="00205573">
        <w:rPr>
          <w:i/>
          <w:lang w:val="pl-PL"/>
        </w:rPr>
        <w:t xml:space="preserve"> pochodzą z oryginalnych wpisów blogowych a16z, podcastów oraz wywiadów udokumentowanych w sieci. a16z nie ujawnia publicznie stóp zwrotu na poziomie poszczególnych funduszy ani tempa upłynniania pozycji w spółkach portfelowych, dlatego oceny realnego IRR sformułowano z zaznaczeniem tej niepewności.</w:t>
      </w:r>
    </w:p>
    <w:sectPr w:rsidR="00A1307C" w:rsidRPr="0020557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E2F5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431100">
    <w:abstractNumId w:val="8"/>
  </w:num>
  <w:num w:numId="2" w16cid:durableId="1910573217">
    <w:abstractNumId w:val="6"/>
  </w:num>
  <w:num w:numId="3" w16cid:durableId="1946379910">
    <w:abstractNumId w:val="5"/>
  </w:num>
  <w:num w:numId="4" w16cid:durableId="1990018373">
    <w:abstractNumId w:val="4"/>
  </w:num>
  <w:num w:numId="5" w16cid:durableId="1611621374">
    <w:abstractNumId w:val="7"/>
  </w:num>
  <w:num w:numId="6" w16cid:durableId="975066799">
    <w:abstractNumId w:val="3"/>
  </w:num>
  <w:num w:numId="7" w16cid:durableId="1212421384">
    <w:abstractNumId w:val="2"/>
  </w:num>
  <w:num w:numId="8" w16cid:durableId="1358119588">
    <w:abstractNumId w:val="1"/>
  </w:num>
  <w:num w:numId="9" w16cid:durableId="98311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AC1"/>
    <w:rsid w:val="00205573"/>
    <w:rsid w:val="0029639D"/>
    <w:rsid w:val="00326F90"/>
    <w:rsid w:val="00A130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72CDC9"/>
  <w14:defaultImageDpi w14:val="300"/>
  <w15:docId w15:val="{E1B10A51-5176-8946-A6ED-84181D2C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3624</Words>
  <Characters>20657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Roblox_a16z_case_study_final_poprawiony_VALID</dc:title>
  <dc:subject/>
  <dc:creator>python-docx</dc:creator>
  <cp:keywords/>
  <dc:description>generated by python-docx</dc:description>
  <cp:lastModifiedBy>Jonasz Końca</cp:lastModifiedBy>
  <cp:revision>2</cp:revision>
  <dcterms:created xsi:type="dcterms:W3CDTF">2013-12-23T23:15:00Z</dcterms:created>
  <dcterms:modified xsi:type="dcterms:W3CDTF">2026-05-23T15:17:00Z</dcterms:modified>
  <cp:category/>
</cp:coreProperties>
</file>