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i/>
          <w:iCs/>
        </w:rPr>
        <w:t xml:space="preserve">Fundusze Venture Capital i Private Equity – Wariant B</w:t>
      </w:r>
    </w:p>
    <w:p>
      <w:pPr>
        <w:spacing w:after="60"/>
      </w:pPr>
      <w:r>
        <w:rPr>
          <w:b/>
          <w:bCs/>
          <w:sz w:val="28"/>
          <w:szCs w:val="28"/>
        </w:rPr>
        <w:t xml:space="preserve">Andreessen Horowitz (a16z)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Case study: Inwestycja a16z w Lyft, Inc. – podsumowanie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Wnioski</w:t>
      </w:r>
    </w:p>
    <w:p>
      <w:pPr>
        <w:spacing w:after="200" w:line="320"/>
        <w:jc w:val="both"/>
      </w:pPr>
      <w:r>
        <w:t xml:space="preserve">Inwestycja a16z w Lyft (Series C, maj 2013, 60 mln USD przy wycenie 275 mln USD) jest modelowym przykładem wczesno-wzrostowej strategii funduszu: wejście tuż po udowodnieniu product-market fit (30 000 przejazdów tygodniowo, podwojenie liczby kierowców w 2 miesiące), lewarowanie sieci operacyjnej a16z (rekrutacja, public policy, mentoring boardowy) oraz konsekwentne pozycjonowanie spółki w publicznym dyskursie jako „Airbnb dla transportu”. Scott Weiss prowadził transakcję i pełnił rolę board membera do 2016 r., po czym został zastąpiony przez Bena Horowitza – co zachowało ciągłość strategicznego wsparcia funduszu w kluczowym okresie pre-IPO.</w:t>
      </w:r>
    </w:p>
    <w:p>
      <w:pPr>
        <w:spacing w:after="200" w:line="320"/>
        <w:jc w:val="both"/>
      </w:pPr>
      <w:r>
        <w:t xml:space="preserve">Z perspektywy księgowej inwestycja przyniosła a16z spektakularny zwrot: w momencie IPO (29 marca 2019 r.) fundusz posiadał 6,3% akcji Lyft o wartości ok. 1,2 mld USD przy wycenie spółki 24,3 mld USD – ok. 88-krotny mnożnik na poziomie wyceny w niespełna 6 lat. Lyft był jednym z głównych driverów wyników Fund III a16z (Net TVPI ok. 11,3× wg danych z 2025 r.), obok Coinbase, Pinterest, Databricks i GitHub. Realny IRR był jednak istotnie niższy niż mnożnik papierowy, ponieważ kurs LYFT po debiucie podlegał silnym korektom (z 78 USD w 2019 r. do okolic 10 USD w latach 2022–2023), a sprzedaż pakietu musiała być rozłożona w czasie po lock-upie.</w:t>
      </w:r>
    </w:p>
    <w:p>
      <w:pPr>
        <w:spacing w:after="200" w:line="320"/>
        <w:jc w:val="both"/>
      </w:pPr>
      <w:r>
        <w:t xml:space="preserve">Case Lyft pokazuje zarówno siłę, jak i strukturalne ograniczenia modelu venture w marketplace’ach transportowych. Strategia a16z zadziałała na etapie skalowania spółki i przygotowania do giełdy, ale nie zdołała obronić trwałej przewagi konkurencyjnej Lyfta wobec Ubera – większego, lepiej dokapitalizowanego rywala działającego w branży z silnym efektem „winner takes most” i niską jednostkową rentownością (pierwszy zysk GAAP dopiero w Q2 2024 r., 12 lat po starcie). Wniosek dla strategii a16z: model wczesno-wzrostowy z silnym wsparciem operacyjnym sprawdza się w generowaniu wysokich zwrotów księgowych do momentu wyjścia publicznego, ale w branżach o ograniczonej rentowności strukturalnej kluczową kompetencją staje się timing upłynnienia pozycji, a nie sam moment wejścia.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2026-05-23T11:39:55.426Z</dcterms:created>
  <dcterms:modified xsi:type="dcterms:W3CDTF">2026-05-23T11:39:55.427Z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