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Zadania z testów statystycznych</w:t>
      </w:r>
    </w:p>
    <w:p>
      <w:r>
        <w:t>Przedmiot: Metody ilościowe / Statystyka</w:t>
      </w:r>
    </w:p>
    <w:p>
      <w:r>
        <w:t>Środowisko: R (z bibliotekami nortest, jsonlite)</w:t>
      </w:r>
    </w:p>
    <w:p/>
    <w:p>
      <w:pPr>
        <w:pStyle w:val="Heading1"/>
      </w:pPr>
      <w:r>
        <w:t>Zadanie 1: Porównanie średnich dwóch zmiennych</w:t>
      </w:r>
    </w:p>
    <w:p>
      <w:pPr>
        <w:pStyle w:val="Heading2"/>
      </w:pPr>
      <w:r>
        <w:t>Opis zmiennych</w:t>
      </w:r>
    </w:p>
    <w:p>
      <w:r>
        <w:t>Wybrano roczne tempo wzrostu PKB (GDP growth annual, %) dla dwóch krajów: USA i Niemiec w latach 2000–2023. Dane pochodzą z World Bank API (wskaźnik NY.GDP.MKTP.KD.ZG). Każda próba liczy 24 obserwacje (24 lata). Obie zmienne są tego samego typu – wyrażają procentową zmianę realnego PKB rok do roku.</w:t>
      </w:r>
    </w:p>
    <w:p>
      <w:pPr>
        <w:pStyle w:val="Heading2"/>
      </w:pPr>
      <w:r>
        <w:t>Zastosowana procedura statystyczna</w:t>
      </w:r>
    </w:p>
    <w:p>
      <w:r>
        <w:t>Procedura porównania średnich dwóch prób niezależnych:</w:t>
        <w:br/>
        <w:t>1. Test normalności Lilliefors (Kołmogorow-Smirnow) dla każdej próby</w:t>
        <w:br/>
        <w:t>2. Test F równości wariancji (var.test)</w:t>
        <w:br/>
        <w:t>3. Test t-Welcha dla prób niezależnych (t.test z var.equal = FALSE)</w:t>
        <w:br/>
        <w:t>4. Dodatkowo: test nieparametryczny Wilcoxona (Mann-Whitney) jako alternatywa</w:t>
      </w:r>
    </w:p>
    <w:p>
      <w:pPr>
        <w:pStyle w:val="Heading2"/>
      </w:pPr>
      <w:r>
        <w:t>Kod R</w:t>
      </w:r>
    </w:p>
    <w:p>
      <w:r>
        <w:rPr>
          <w:rFonts w:ascii="Consolas" w:hAnsi="Consolas"/>
          <w:sz w:val="18"/>
        </w:rPr>
        <w:t>library(nortest)</w:t>
        <w:br/>
        <w:t>library(jsonlite)</w:t>
        <w:br/>
        <w:br/>
        <w:t># Pobieranie danych z World Bank API</w:t>
        <w:br/>
        <w:t>url_us &lt;- "https://api.worldbank.org/v2/country/USA/indicator/NY.GDP.MKTP.KD.ZG?format=json&amp;date=2000:2023&amp;per_page=50"</w:t>
        <w:br/>
        <w:t>url_de &lt;- "https://api.worldbank.org/v2/country/DEU/indicator/NY.GDP.MKTP.KD.ZG?format=json&amp;date=2000:2023&amp;per_page=50"</w:t>
        <w:br/>
        <w:br/>
        <w:t>data_us &lt;- fromJSON(url_us)[[2]]</w:t>
        <w:br/>
        <w:t>data_de &lt;- fromJSON(url_de)[[2]]</w:t>
        <w:br/>
        <w:br/>
        <w:t>gdp_us &lt;- as.numeric(data_us$value)</w:t>
        <w:br/>
        <w:t>gdp_de &lt;- as.numeric(data_de$value)</w:t>
        <w:br/>
        <w:t>gdp_us &lt;- gdp_us[!is.na(gdp_us)]</w:t>
        <w:br/>
        <w:t>gdp_de &lt;- gdp_de[!is.na(gdp_de)]</w:t>
        <w:br/>
        <w:br/>
        <w:t># Test normalności Lilliefors</w:t>
        <w:br/>
        <w:t>lillie.test(gdp_us)</w:t>
        <w:br/>
        <w:t>lillie.test(gdp_de)</w:t>
        <w:br/>
        <w:br/>
        <w:t># Test równości wariancji</w:t>
        <w:br/>
        <w:t>var.test(gdp_us, gdp_de)</w:t>
        <w:br/>
        <w:br/>
        <w:t># Test t-Welcha</w:t>
        <w:br/>
        <w:t>t.test(gdp_us, gdp_de, var.equal = FALSE)</w:t>
        <w:br/>
        <w:br/>
        <w:t># Test nieparametryczny</w:t>
        <w:br/>
        <w:t>wilcox.test(gdp_us, gdp_de)</w:t>
      </w:r>
    </w:p>
    <w:p>
      <w:pPr>
        <w:pStyle w:val="Heading2"/>
      </w:pPr>
      <w:r>
        <w:t>Wyniki testów</w:t>
      </w:r>
    </w:p>
    <w:p>
      <w:pPr>
        <w:pStyle w:val="Heading3"/>
      </w:pPr>
      <w:r>
        <w:t>Statystyki opisowe:</w:t>
      </w:r>
    </w:p>
    <w:p>
      <w:r>
        <w:t>• Średnia USA: 2,185%</w:t>
        <w:br/>
        <w:t>• Średnia Niemcy: 1,181%</w:t>
        <w:br/>
        <w:t>• Odchylenie std. USA: 1,798%</w:t>
        <w:br/>
        <w:t>• Odchylenie std. Niemcy: 2,334%</w:t>
        <w:br/>
        <w:t>• Liczba obserwacji: n = 24 (każdy kraj)</w:t>
      </w:r>
    </w:p>
    <w:p>
      <w:pPr>
        <w:pStyle w:val="Heading3"/>
      </w:pPr>
      <w:r>
        <w:t>Test normalności Lilliefors:</w:t>
      </w:r>
    </w:p>
    <w:p>
      <w:r>
        <w:t>• USA: D = 0,198; p-value = 0,016 → p &lt; 0,05, ODRZUCAMY H₀</w:t>
        <w:br/>
        <w:t xml:space="preserve">  Rozkład wzrostu PKB USA nie jest normalny (efekt COVID-19: spadek −2,16% w 2020, odbicie +6,06% w 2021).</w:t>
        <w:br/>
        <w:t>• Niemcy: D = 0,160; p-value = 0,115 → p &gt; 0,05, nie odrzucamy H₀</w:t>
        <w:br/>
        <w:t xml:space="preserve">  Rozkład wzrostu PKB Niemiec jest zgodny z rozkładem normalnym.</w:t>
      </w:r>
    </w:p>
    <w:p>
      <w:pPr>
        <w:pStyle w:val="Heading3"/>
      </w:pPr>
      <w:r>
        <w:t>Test F równości wariancji:</w:t>
      </w:r>
    </w:p>
    <w:p>
      <w:r>
        <w:t>• F = 0,593; p-value = 0,218 → p &gt; 0,05, NIE odrzucamy H₀</w:t>
        <w:br/>
        <w:t>• Wariancje nie różnią się istotnie statystycznie.</w:t>
        <w:br/>
        <w:t>• Przedział ufności 95% dla stosunku wariancji: (0,257; 1,371) – obejmuje 1.</w:t>
      </w:r>
    </w:p>
    <w:p>
      <w:pPr>
        <w:pStyle w:val="Heading3"/>
      </w:pPr>
      <w:r>
        <w:t>Test t-Welcha:</w:t>
      </w:r>
    </w:p>
    <w:p>
      <w:r>
        <w:t>• t = 1,669; df = 43,19; p-value = 0,102</w:t>
        <w:br/>
        <w:t>• Przedział ufności 95% dla różnicy średnich: (−0,209; 2,216)</w:t>
        <w:br/>
        <w:t>• p &gt; 0,05, NIE odrzucamy H₀</w:t>
      </w:r>
    </w:p>
    <w:p>
      <w:pPr>
        <w:pStyle w:val="Heading2"/>
      </w:pPr>
      <w:r>
        <w:t>Interpretacja</w:t>
      </w:r>
    </w:p>
    <w:p>
      <w:r>
        <w:t>Na poziomie istotności α = 0,05 nie stwierdzono statystycznie istotnej różnicy między średnim rocznym tempem wzrostu PKB USA (2,19%) i Niemiec (1,18%). Wartość p = 0,102 jest bliska granicy istotności, co sugeruje, że przy większej próbie różnica mogłaby okazać się istotna. Obie gospodarki podlegają podobnym cyklom koniunkturalnym (kryzysy 2008–2009 i 2020), co zwiększa wariancję wewnątrz grup i utrudnia wykrycie różnic między nimi. Należy także zaznaczyć, że rozkład USA odbiega od normalności (p = 0,016), jednak przy n = 24 test t jest dość odporny na umiarkowane naruszenia tego założenia. Test nieparametryczny Wilcoxona potwierdza brak istotnej różnicy.</w:t>
      </w:r>
    </w:p>
    <w:p>
      <w:r>
        <w:br w:type="page"/>
      </w:r>
    </w:p>
    <w:p>
      <w:pPr>
        <w:pStyle w:val="Heading1"/>
      </w:pPr>
      <w:r>
        <w:t>Zadanie 2: Porównanie średnich kilku zmiennych (ANOVA)</w:t>
      </w:r>
    </w:p>
    <w:p>
      <w:pPr>
        <w:pStyle w:val="Heading2"/>
      </w:pPr>
      <w:r>
        <w:t>Opis zmiennych</w:t>
      </w:r>
    </w:p>
    <w:p>
      <w:r>
        <w:t>Wybrano roczne tempo wzrostu PKB (GDP growth annual, %) dla czterech krajów: USA, Niemcy, Polska i Japonia w latach 2000–2023. Dane pochodzą z World Bank API. Każda grupa liczy 24 obserwacje. Wszystkie zmienne są tego samego typu (procentowa zmiana realnego PKB rok do roku). Wybór krajów pozwala porównać gospodarkę rozwijającą się (Polska) z dojrzałymi gospodarkami (USA, Niemcy, Japonia).</w:t>
      </w:r>
    </w:p>
    <w:p>
      <w:pPr>
        <w:pStyle w:val="Heading2"/>
      </w:pPr>
      <w:r>
        <w:t>Zastosowana procedura statystyczna</w:t>
      </w:r>
    </w:p>
    <w:p>
      <w:r>
        <w:t>Procedura porównania średnich wielu grup (analiza wariancji):</w:t>
        <w:br/>
        <w:t>1. Test normalności Lilliefors dla każdej grupy</w:t>
        <w:br/>
        <w:t>2. Test Bartletta jednorodności wariancji</w:t>
        <w:br/>
        <w:t>3. Jednoczynnikowa analiza wariancji (ANOVA) – aov()</w:t>
        <w:br/>
        <w:t>4. Test post-hoc Tukeya (TukeyHSD) – porównania parami</w:t>
        <w:br/>
        <w:t>5. Dodatkowo: test Kruskala-Wallisa (nieparametryczny odpowiednik ANOVA)</w:t>
      </w:r>
    </w:p>
    <w:p>
      <w:pPr>
        <w:pStyle w:val="Heading2"/>
      </w:pPr>
      <w:r>
        <w:t>Kod R</w:t>
      </w:r>
    </w:p>
    <w:p>
      <w:r>
        <w:rPr>
          <w:rFonts w:ascii="Consolas" w:hAnsi="Consolas"/>
          <w:sz w:val="18"/>
        </w:rPr>
        <w:t># Pobieranie danych dla 4 krajów z World Bank API</w:t>
        <w:br/>
        <w:t>url_us &lt;- "https://api.worldbank.org/v2/country/USA/indicator/NY.GDP.MKTP.KD.ZG?format=json&amp;date=2000:2023&amp;per_page=50"</w:t>
        <w:br/>
        <w:t>url_de &lt;- "https://api.worldbank.org/v2/country/DEU/indicator/NY.GDP.MKTP.KD.ZG?format=json&amp;date=2000:2023&amp;per_page=50"</w:t>
        <w:br/>
        <w:t>url_pl &lt;- "https://api.worldbank.org/v2/country/POL/indicator/NY.GDP.MKTP.KD.ZG?format=json&amp;date=2000:2023&amp;per_page=50"</w:t>
        <w:br/>
        <w:t>url_jp &lt;- "https://api.worldbank.org/v2/country/JPN/indicator/NY.GDP.MKTP.KD.ZG?format=json&amp;date=2000:2023&amp;per_page=50"</w:t>
        <w:br/>
        <w:br/>
        <w:t>data_us &lt;- fromJSON(url_us)[[2]]; data_de &lt;- fromJSON(url_de)[[2]]</w:t>
        <w:br/>
        <w:t>data_pl &lt;- fromJSON(url_pl)[[2]]; data_jp &lt;- fromJSON(url_jp)[[2]]</w:t>
        <w:br/>
        <w:br/>
        <w:t>gdp_us &lt;- as.numeric(data_us$value[!is.na(data_us$value)])</w:t>
        <w:br/>
        <w:t>gdp_de &lt;- as.numeric(data_de$value[!is.na(data_de$value)])</w:t>
        <w:br/>
        <w:t>gdp_pl &lt;- as.numeric(data_pl$value[!is.na(data_pl$value)])</w:t>
        <w:br/>
        <w:t>gdp_jp &lt;- as.numeric(data_jp$value[!is.na(data_jp$value)])</w:t>
        <w:br/>
        <w:br/>
        <w:t># Ramka danych w formacie długim</w:t>
        <w:br/>
        <w:t>df &lt;- data.frame(</w:t>
        <w:br/>
        <w:t xml:space="preserve">  value = c(gdp_us, gdp_de, gdp_pl, gdp_jp),</w:t>
        <w:br/>
        <w:t xml:space="preserve">  country = factor(rep(c("USA","Germany","Poland","Japan"),</w:t>
        <w:br/>
        <w:t xml:space="preserve">                       c(length(gdp_us), length(gdp_de), length(gdp_pl), length(gdp_jp))))</w:t>
        <w:br/>
        <w:t>)</w:t>
        <w:br/>
        <w:br/>
        <w:t># Testy normalności</w:t>
        <w:br/>
        <w:t>by(df$value, df$country, lillie.test)</w:t>
        <w:br/>
        <w:br/>
        <w:t># Test Bartletta</w:t>
        <w:br/>
        <w:t>bartlett.test(df$value, df$country)</w:t>
        <w:br/>
        <w:br/>
        <w:t># ANOVA</w:t>
        <w:br/>
        <w:t>anova &lt;- aov(df$value ~ df$country)</w:t>
        <w:br/>
        <w:t>summary(anova)</w:t>
        <w:br/>
        <w:br/>
        <w:t># Post-hoc Tukeya</w:t>
        <w:br/>
        <w:t>TukeyHSD(anova)</w:t>
        <w:br/>
        <w:br/>
        <w:t># Test Kruskala-Wallisa</w:t>
        <w:br/>
        <w:t>kruskal.test(df$value ~ df$country)</w:t>
      </w:r>
    </w:p>
    <w:p>
      <w:pPr>
        <w:pStyle w:val="Heading2"/>
      </w:pPr>
      <w:r>
        <w:t>Wyniki testów</w:t>
      </w:r>
    </w:p>
    <w:p>
      <w:pPr>
        <w:pStyle w:val="Heading3"/>
      </w:pPr>
      <w:r>
        <w:t>Statystyki opisowe:</w:t>
      </w:r>
    </w:p>
    <w:p>
      <w:r>
        <w:t>Średnie roczne tempo wzrostu PKB (2000–2023):</w:t>
        <w:br/>
        <w:t>• Polska:  3,667% (najwyższa)</w:t>
        <w:br/>
        <w:t>• USA:     2,185%</w:t>
        <w:br/>
        <w:t>• Niemcy:  1,181%</w:t>
        <w:br/>
        <w:t>• Japonia: 0,735% (najniższa)</w:t>
        <w:br/>
        <w:br/>
        <w:t>Odchylenia standardowe:</w:t>
        <w:br/>
        <w:t>• Niemcy:  2,334% (najwyższa zmienność)</w:t>
        <w:br/>
        <w:t>• Polska:  2,229%</w:t>
        <w:br/>
        <w:t>• Japonia: 2,086%</w:t>
        <w:br/>
        <w:t>• USA:     1,798% (najniższa zmienność)</w:t>
      </w:r>
    </w:p>
    <w:p>
      <w:pPr>
        <w:pStyle w:val="Heading3"/>
      </w:pPr>
      <w:r>
        <w:t>Test normalności Lilliefors:</w:t>
      </w:r>
    </w:p>
    <w:p>
      <w:r>
        <w:t>• Niemcy:  D = 0,160; p = 0,115 → rozkład normalny</w:t>
        <w:br/>
        <w:t>• Japonia: D = 0,200; p = 0,014 → rozkład NIE normalny (efekt COVID)</w:t>
        <w:br/>
        <w:t>• Polska:  D = 0,126; p = 0,416 → rozkład normalny</w:t>
        <w:br/>
        <w:t>• USA:     D = 0,198; p = 0,016 → rozkład NIE normalny (efekt COVID)</w:t>
        <w:br/>
        <w:br/>
        <w:t>Uwaga: ANOVA jest odporny na umiarkowane naruszenia normalności przy równych grupach (n = 24 w każdej).</w:t>
      </w:r>
    </w:p>
    <w:p>
      <w:pPr>
        <w:pStyle w:val="Heading3"/>
      </w:pPr>
      <w:r>
        <w:t>Test Bartletta (jednorodność wariancji):</w:t>
      </w:r>
    </w:p>
    <w:p>
      <w:r>
        <w:t>• K-squared = 1,678; df = 3; p-value = 0,642</w:t>
        <w:br/>
        <w:t>• p &gt; 0,05, NIE odrzucamy H₀ – wariancje są jednorodne.</w:t>
        <w:br/>
        <w:t>• Założenie homogeniczności wariancji dla ANOVA jest spełnione.</w:t>
      </w:r>
    </w:p>
    <w:p>
      <w:pPr>
        <w:pStyle w:val="Heading3"/>
      </w:pPr>
      <w:r>
        <w:t>ANOVA:</w:t>
      </w:r>
    </w:p>
    <w:p>
      <w:r>
        <w:t xml:space="preserve">             Df  Sum Sq  Mean Sq  F value   Pr(&gt;F)</w:t>
        <w:br/>
        <w:t>country       3   121,7    40,57    9,016   2,7e-05 ***</w:t>
        <w:br/>
        <w:t>Residuals    92   414,0     4,50</w:t>
        <w:br/>
        <w:br/>
        <w:t>p-value = 0,000027 &lt; 0,05 – ODRZUCAMY H₀.</w:t>
        <w:br/>
        <w:t>Istnieją statystycznie istotne różnice między średnimi.</w:t>
      </w:r>
    </w:p>
    <w:p>
      <w:pPr>
        <w:pStyle w:val="Heading3"/>
      </w:pPr>
      <w:r>
        <w:t>Test post-hoc Tukeya (HSD):</w:t>
      </w:r>
    </w:p>
    <w:p>
      <w:r>
        <w:t>Porównanie par krajów (różnica średnich; p adj):</w:t>
        <w:br/>
        <w:t>• Japan – Germany:   diff = −0,447; p adj = 0,885 (nieistotne)</w:t>
        <w:br/>
        <w:t>• Poland – Germany:  diff = +2,486; p adj = 0,0006 (ISTOTNE ***)</w:t>
        <w:br/>
        <w:t>• USA – Germany:     diff = +1,004; p adj = 0,362 (nieistotne)</w:t>
        <w:br/>
        <w:t>• Poland – Japan:    diff = +2,932; p adj = 0,00004 (ISTOTNE ***)</w:t>
        <w:br/>
        <w:t>• USA – Japan:       diff = +1,450; p adj = 0,090 (nieistotne, bliskie granicy)</w:t>
        <w:br/>
        <w:t>• USA – Poland:      diff = −1,482; p adj = 0,080 (nieistotne, bliskie granicy)</w:t>
      </w:r>
    </w:p>
    <w:p>
      <w:pPr>
        <w:pStyle w:val="Heading2"/>
      </w:pPr>
      <w:r>
        <w:t>Interpretacja</w:t>
      </w:r>
    </w:p>
    <w:p>
      <w:r>
        <w:t>Jednoczynnikowa analiza wariancji wykazała statystycznie istotne różnice w średnim rocznym tempie wzrostu PKB między badanymi krajami (F = 9,016; p = 0,000027). Test post-hoc Tukeya pozwolił ustalić, które konkretnie pary krajów się różnią:</w:t>
        <w:br/>
        <w:br/>
        <w:t>• Polska ma istotnie wyższe tempo wzrostu PKB niż Niemcy (różnica +2,49 pp; p = 0,0006) oraz Japonia (różnica +2,93 pp; p = 0,00004).</w:t>
        <w:br/>
        <w:t>• Różnice USA–Japonia (p = 0,09) i USA–Polska (p = 0,08) są bliskie granicy istotności, ale formalnie nieistotne przy α = 0,05.</w:t>
        <w:br/>
        <w:t>• Niemcy i Japonia nie różnią się istotnie (p = 0,885).</w:t>
        <w:br/>
        <w:br/>
        <w:t>Wniosek ekonomiczny: Polska jako gospodarka rozwijająca się (emerging market) notuje statystycznie istotnie wyższe tempo wzrostu PKB niż dojrzałe gospodarki Niemiec i Japonii. Jest to zgodne z teorią konwergencji ekonomicznej, według której kraje o niższym początkowym poziomie PKB per capita rosną szybciej. Test Kruskala-Wallisa (nieparametryczny) potwierdza te wyniki.</w:t>
      </w:r>
    </w:p>
    <w:p>
      <w:r>
        <w:br w:type="page"/>
      </w:r>
    </w:p>
    <w:p>
      <w:pPr>
        <w:pStyle w:val="Heading1"/>
      </w:pPr>
      <w:r>
        <w:t>Zadanie 3: A/B testing – próby zależne (parowy test t)</w:t>
      </w:r>
    </w:p>
    <w:p>
      <w:pPr>
        <w:pStyle w:val="Heading2"/>
      </w:pPr>
      <w:r>
        <w:t>Opis zmiennych</w:t>
      </w:r>
    </w:p>
    <w:p>
      <w:r>
        <w:t>Badamy wpływ wprowadzenia Pracowniczych Planów Kapitałowych (PPK) na miesięczne stopy zwrotu indeksu WIG20. Dane obejmują 30 sparowanych obserwacji miesięcznych: stopy zwrotu w tych samych miesiącach PRZED i PO wprowadzeniu PPK. Próby są zależne (sparowane), ponieważ porównujemy te same okresy kalendarzowe (np. styczeń przed vs styczeń po zdarzeniu). Dane symulowane z set.seed(67) dla powtarzalności wyników.</w:t>
      </w:r>
    </w:p>
    <w:p>
      <w:pPr>
        <w:pStyle w:val="Heading2"/>
      </w:pPr>
      <w:r>
        <w:t>Zastosowana procedura statystyczna</w:t>
      </w:r>
    </w:p>
    <w:p>
      <w:r>
        <w:t>Procedura A/B testingu dla prób zależnych:</w:t>
        <w:br/>
        <w:t>1. Obliczenie różnic (after – before) dla każdej pary obserwacji</w:t>
        <w:br/>
        <w:t>2. Test normalności Lilliefors na różnicach</w:t>
        <w:br/>
        <w:t>3. Parowy test t-Studenta (t.test z paired = TRUE)</w:t>
        <w:br/>
        <w:t>4. Test nieparametryczny Wilcoxona dla prób zależnych (wilcox.test z paired = TRUE)</w:t>
      </w:r>
    </w:p>
    <w:p>
      <w:pPr>
        <w:pStyle w:val="Heading2"/>
      </w:pPr>
      <w:r>
        <w:t>Kod R</w:t>
      </w:r>
    </w:p>
    <w:p>
      <w:r>
        <w:rPr>
          <w:rFonts w:ascii="Consolas" w:hAnsi="Consolas"/>
          <w:sz w:val="18"/>
        </w:rPr>
        <w:t>set.seed(67)</w:t>
        <w:br/>
        <w:br/>
        <w:t>n_obs &lt;- 30</w:t>
        <w:br/>
        <w:t>before_ppk &lt;- rnorm(n_obs, mean = 0.4, sd = 4.0)</w:t>
        <w:br/>
        <w:t>after_ppk &lt;- before_ppk + rnorm(n_obs, mean = 0.5, sd = 2.0)</w:t>
        <w:br/>
        <w:br/>
        <w:t># Różnice</w:t>
        <w:br/>
        <w:t>diff &lt;- after_ppk - before_ppk</w:t>
        <w:br/>
        <w:br/>
        <w:t># Test normalności różnic</w:t>
        <w:br/>
        <w:t>lillie.test(diff)</w:t>
        <w:br/>
        <w:br/>
        <w:t># Parowy test t</w:t>
        <w:br/>
        <w:t>t.test(after_ppk, before_ppk, paired = TRUE)</w:t>
        <w:br/>
        <w:br/>
        <w:t># Test Wilcoxona (nieparametryczny)</w:t>
        <w:br/>
        <w:t>wilcox.test(after_ppk, before_ppk, paired = TRUE)</w:t>
      </w:r>
    </w:p>
    <w:p>
      <w:pPr>
        <w:pStyle w:val="Heading2"/>
      </w:pPr>
      <w:r>
        <w:t>Wyniki testów</w:t>
      </w:r>
    </w:p>
    <w:p>
      <w:pPr>
        <w:pStyle w:val="Heading3"/>
      </w:pPr>
      <w:r>
        <w:t>Statystyki opisowe:</w:t>
      </w:r>
    </w:p>
    <w:p>
      <w:r>
        <w:t>• Średnia stopa zwrotu PRZED PPK: −0,210%</w:t>
        <w:br/>
        <w:t>• Średnia stopa zwrotu PO PPK: +0,091%</w:t>
        <w:br/>
        <w:t>• Średnia różnic (after – before): +0,300 pp</w:t>
        <w:br/>
        <w:t>• Liczba par obserwacji: n = 30</w:t>
      </w:r>
    </w:p>
    <w:p>
      <w:pPr>
        <w:pStyle w:val="Heading3"/>
      </w:pPr>
      <w:r>
        <w:t>Test normalności Lilliefors (na różnicach):</w:t>
      </w:r>
    </w:p>
    <w:p>
      <w:r>
        <w:t>• D = 0,0857; p-value = 0,831</w:t>
        <w:br/>
        <w:t>• p &gt; 0,05, NIE odrzucamy H₀</w:t>
        <w:br/>
        <w:t>• Różnice mają rozkład normalny – możemy stosować parowy test t.</w:t>
      </w:r>
    </w:p>
    <w:p>
      <w:pPr>
        <w:pStyle w:val="Heading3"/>
      </w:pPr>
      <w:r>
        <w:t>Parowy test t-Studenta:</w:t>
      </w:r>
    </w:p>
    <w:p>
      <w:r>
        <w:t>• t = 0,952; df = 29; p-value = 0,349</w:t>
        <w:br/>
        <w:t>• Przedział ufności 95% dla średniej różnicy: (−0,345; 0,946)</w:t>
        <w:br/>
        <w:t>• p &gt; 0,05, NIE odrzucamy H₀</w:t>
      </w:r>
    </w:p>
    <w:p>
      <w:pPr>
        <w:pStyle w:val="Heading3"/>
      </w:pPr>
      <w:r>
        <w:t>Test Wilcoxona (signed-rank):</w:t>
      </w:r>
    </w:p>
    <w:p>
      <w:r>
        <w:t>• V = 288; p-value = 0,262</w:t>
        <w:br/>
        <w:t>• p &gt; 0,05, NIE odrzucamy H₀</w:t>
        <w:br/>
        <w:t>• Potwierdza wynik testu parametrycznego.</w:t>
      </w:r>
    </w:p>
    <w:p>
      <w:pPr>
        <w:pStyle w:val="Heading2"/>
      </w:pPr>
      <w:r>
        <w:t>Interpretacja</w:t>
      </w:r>
    </w:p>
    <w:p>
      <w:r>
        <w:t>Na poziomie istotności α = 0,05 nie stwierdzono statystycznie istotnego wpływu wprowadzenia PPK na miesięczne stopy zwrotu indeksu WIG20. Parowy test t-Studenta dał p-value = 0,349, a test Wilcoxona p = 0,262 – oba znacznie powyżej progu 0,05.</w:t>
        <w:br/>
        <w:br/>
        <w:t>Średnia różnica wynosi zaledwie +0,30 punktu procentowego (po PPK wyższa niż przed), jednak przedział ufności 95% obejmuje zero (−0,345 do +0,946), co oznacza, że obserwowana różnica może być przypadkowa.</w:t>
        <w:br/>
        <w:br/>
        <w:t>Zgodność wyników testu parametrycznego (t-test) i nieparametrycznego (Wilcoxon) wzmacnia wniosek o braku istotnego efektu. Możliwe przyczyny: (1) efekt PPK na rynek jest zbyt mały do wykrycia przy tej wielkości próby (n = 30); (2) dodatkowy kapitał z PPK stanowi zbyt mały procent obrotów giełdowych, aby istotnie wpłynąć na indeks WIG20; (3) inne czynniki makroekonomiczne dominują nad efektem PPK.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