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3A1" w:rsidRDefault="00E82722" w:rsidP="00EB53A1">
      <w:pPr>
        <w:spacing w:line="240" w:lineRule="auto"/>
        <w:ind w:firstLine="720"/>
        <w:contextualSpacing/>
        <w:jc w:val="center"/>
        <w:rPr>
          <w:rFonts w:ascii="Times New Roman" w:hAnsi="Times New Roman" w:cs="Times New Roman"/>
          <w:b/>
          <w:sz w:val="32"/>
          <w:szCs w:val="32"/>
        </w:rPr>
      </w:pPr>
      <w:r>
        <w:rPr>
          <w:rFonts w:ascii="Times New Roman" w:hAnsi="Times New Roman" w:cs="Times New Roman"/>
          <w:b/>
          <w:sz w:val="32"/>
          <w:szCs w:val="32"/>
        </w:rPr>
        <w:t>Personnel Plan</w:t>
      </w:r>
    </w:p>
    <w:p w:rsidR="00EB53A1" w:rsidRPr="00EB53A1" w:rsidRDefault="00EB53A1" w:rsidP="00EB53A1">
      <w:pPr>
        <w:spacing w:line="240" w:lineRule="auto"/>
        <w:contextualSpacing/>
        <w:rPr>
          <w:rFonts w:ascii="Times New Roman" w:hAnsi="Times New Roman" w:cs="Times New Roman"/>
          <w:sz w:val="24"/>
          <w:szCs w:val="24"/>
        </w:rPr>
      </w:pPr>
      <w:r w:rsidRPr="00EB53A1">
        <w:rPr>
          <w:rFonts w:ascii="Times New Roman" w:hAnsi="Times New Roman" w:cs="Times New Roman"/>
          <w:sz w:val="24"/>
          <w:szCs w:val="24"/>
        </w:rPr>
        <w:t>Subsection 6.4</w:t>
      </w:r>
    </w:p>
    <w:p w:rsidR="00430DA7" w:rsidRDefault="00430DA7" w:rsidP="00864078">
      <w:pPr>
        <w:spacing w:line="240" w:lineRule="auto"/>
        <w:ind w:firstLine="720"/>
        <w:contextualSpacing/>
        <w:jc w:val="center"/>
        <w:rPr>
          <w:rFonts w:ascii="Times New Roman" w:hAnsi="Times New Roman" w:cs="Times New Roman"/>
          <w:b/>
          <w:sz w:val="32"/>
          <w:szCs w:val="32"/>
        </w:rPr>
      </w:pPr>
    </w:p>
    <w:p w:rsidR="00430DA7" w:rsidRDefault="00864078" w:rsidP="00864078">
      <w:pPr>
        <w:spacing w:line="24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the initial stages of our</w:t>
      </w:r>
      <w:r w:rsidR="00D02CF1">
        <w:rPr>
          <w:rFonts w:ascii="Times New Roman" w:hAnsi="Times New Roman" w:cs="Times New Roman"/>
          <w:sz w:val="24"/>
          <w:szCs w:val="24"/>
        </w:rPr>
        <w:t xml:space="preserve"> business</w:t>
      </w:r>
      <w:r>
        <w:rPr>
          <w:rFonts w:ascii="Times New Roman" w:hAnsi="Times New Roman" w:cs="Times New Roman"/>
          <w:sz w:val="24"/>
          <w:szCs w:val="24"/>
        </w:rPr>
        <w:t>,</w:t>
      </w:r>
      <w:r w:rsidR="00D02CF1">
        <w:rPr>
          <w:rFonts w:ascii="Times New Roman" w:hAnsi="Times New Roman" w:cs="Times New Roman"/>
          <w:sz w:val="24"/>
          <w:szCs w:val="24"/>
        </w:rPr>
        <w:t xml:space="preserve"> we will have a large portion of the duties done by those who are already here.</w:t>
      </w:r>
      <w:r>
        <w:rPr>
          <w:rFonts w:ascii="Times New Roman" w:hAnsi="Times New Roman" w:cs="Times New Roman"/>
          <w:sz w:val="24"/>
          <w:szCs w:val="24"/>
        </w:rPr>
        <w:t xml:space="preserve">  As leadership staff, we will each oversee all operations equally, but still maintain focus on individual roles.  Due to the possibly large customer base that may occur once our establishment is fully operational, we will require a few employees to oversee L1 and L2 area as well as cleaning staff to manage the sanitization of the facility.</w:t>
      </w:r>
    </w:p>
    <w:p w:rsidR="00D2462B" w:rsidRDefault="00D2462B" w:rsidP="00864078">
      <w:pPr>
        <w:spacing w:line="240" w:lineRule="auto"/>
        <w:ind w:firstLine="720"/>
        <w:contextualSpacing/>
        <w:jc w:val="both"/>
        <w:rPr>
          <w:rFonts w:ascii="Times New Roman" w:hAnsi="Times New Roman" w:cs="Times New Roman"/>
          <w:sz w:val="24"/>
          <w:szCs w:val="24"/>
        </w:rPr>
      </w:pPr>
    </w:p>
    <w:p w:rsidR="00D2462B" w:rsidRDefault="00864078" w:rsidP="00864078">
      <w:pPr>
        <w:spacing w:line="240" w:lineRule="auto"/>
        <w:ind w:firstLine="720"/>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Below outline our staffing requirements</w:t>
      </w:r>
      <w:r w:rsidR="006C37C0" w:rsidRPr="00D2462B">
        <w:rPr>
          <w:rFonts w:ascii="Times New Roman" w:hAnsi="Times New Roman" w:cs="Times New Roman"/>
          <w:sz w:val="24"/>
          <w:szCs w:val="24"/>
          <w:u w:val="single"/>
        </w:rPr>
        <w:t>:</w:t>
      </w:r>
    </w:p>
    <w:p w:rsidR="00864078" w:rsidRDefault="00864078" w:rsidP="00864078">
      <w:pPr>
        <w:spacing w:line="240" w:lineRule="auto"/>
        <w:ind w:firstLine="720"/>
        <w:contextualSpacing/>
        <w:jc w:val="both"/>
        <w:rPr>
          <w:rFonts w:ascii="Times New Roman" w:hAnsi="Times New Roman" w:cs="Times New Roman"/>
          <w:sz w:val="24"/>
          <w:szCs w:val="24"/>
          <w:u w:val="single"/>
        </w:rPr>
      </w:pPr>
    </w:p>
    <w:p w:rsidR="0053109C" w:rsidRDefault="00864078" w:rsidP="0086407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 xml:space="preserve">Fitness Professionals </w:t>
      </w:r>
    </w:p>
    <w:p w:rsidR="00864078" w:rsidRDefault="00864078" w:rsidP="00864078">
      <w:pPr>
        <w:spacing w:line="240" w:lineRule="auto"/>
        <w:ind w:firstLine="720"/>
        <w:contextualSpacing/>
        <w:rPr>
          <w:rFonts w:ascii="Times New Roman" w:hAnsi="Times New Roman" w:cs="Times New Roman"/>
          <w:sz w:val="24"/>
          <w:szCs w:val="24"/>
        </w:rPr>
      </w:pPr>
      <w:r>
        <w:rPr>
          <w:rFonts w:ascii="Times New Roman" w:hAnsi="Times New Roman" w:cs="Times New Roman"/>
          <w:sz w:val="24"/>
          <w:szCs w:val="24"/>
        </w:rPr>
        <w:tab/>
      </w:r>
    </w:p>
    <w:p w:rsidR="00864078" w:rsidRDefault="00864078"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These professionals should be fully qualified to deal with any fitness related questions from our members and be trained in first aid procedures encase injury does occur.</w:t>
      </w:r>
      <w:r w:rsidR="00EB53A1">
        <w:rPr>
          <w:rFonts w:ascii="Times New Roman" w:hAnsi="Times New Roman" w:cs="Times New Roman"/>
          <w:sz w:val="24"/>
          <w:szCs w:val="24"/>
        </w:rPr>
        <w:t xml:space="preserve">  We would also look for technical skills with video game consoles, audio / video equipment and general technical prowess, but this will not be fully required as training will be provided.</w:t>
      </w:r>
    </w:p>
    <w:p w:rsidR="00EB53A1" w:rsidRDefault="00EB53A1" w:rsidP="00864078">
      <w:pPr>
        <w:spacing w:line="240" w:lineRule="auto"/>
        <w:ind w:left="720"/>
        <w:contextualSpacing/>
        <w:rPr>
          <w:rFonts w:ascii="Times New Roman" w:hAnsi="Times New Roman" w:cs="Times New Roman"/>
          <w:sz w:val="24"/>
          <w:szCs w:val="24"/>
        </w:rPr>
      </w:pPr>
    </w:p>
    <w:p w:rsidR="00EB53A1" w:rsidRDefault="00EB53A1"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Cleaning Staff</w:t>
      </w:r>
    </w:p>
    <w:p w:rsidR="00EB53A1" w:rsidRDefault="00EB53A1" w:rsidP="00864078">
      <w:pPr>
        <w:spacing w:line="240" w:lineRule="auto"/>
        <w:ind w:left="720"/>
        <w:contextualSpacing/>
        <w:rPr>
          <w:rFonts w:ascii="Times New Roman" w:hAnsi="Times New Roman" w:cs="Times New Roman"/>
          <w:sz w:val="24"/>
          <w:szCs w:val="24"/>
        </w:rPr>
      </w:pPr>
    </w:p>
    <w:p w:rsidR="00EB53A1" w:rsidRDefault="00EB53A1"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t>A professional cleaning staff member will be responsible for the facilities sanitization and general upkeep during business hours.  It is vital that this is maintained for the reputation of the business and the wellbeing of our members.</w:t>
      </w:r>
    </w:p>
    <w:p w:rsidR="00864078" w:rsidRDefault="00864078" w:rsidP="00864078">
      <w:pPr>
        <w:spacing w:line="240" w:lineRule="auto"/>
        <w:ind w:left="720"/>
        <w:contextualSpacing/>
        <w:rPr>
          <w:rFonts w:ascii="Times New Roman" w:hAnsi="Times New Roman" w:cs="Times New Roman"/>
          <w:sz w:val="24"/>
          <w:szCs w:val="24"/>
        </w:rPr>
      </w:pPr>
    </w:p>
    <w:p w:rsidR="00864078" w:rsidRPr="00864078" w:rsidRDefault="00864078" w:rsidP="00864078">
      <w:pPr>
        <w:spacing w:line="240" w:lineRule="auto"/>
        <w:ind w:left="720"/>
        <w:contextualSpacing/>
        <w:rPr>
          <w:rFonts w:ascii="Times New Roman" w:hAnsi="Times New Roman" w:cs="Times New Roman"/>
          <w:sz w:val="24"/>
          <w:szCs w:val="24"/>
        </w:rPr>
      </w:pPr>
    </w:p>
    <w:p w:rsidR="00EB53A1" w:rsidRDefault="00F77463"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Note:</w:t>
      </w:r>
    </w:p>
    <w:p w:rsidR="009B243F" w:rsidRDefault="00F77463" w:rsidP="00EB53A1">
      <w:pPr>
        <w:spacing w:line="240" w:lineRule="auto"/>
        <w:ind w:left="720" w:firstLine="720"/>
        <w:contextualSpacing/>
        <w:rPr>
          <w:rFonts w:ascii="Times New Roman" w:hAnsi="Times New Roman" w:cs="Times New Roman"/>
          <w:sz w:val="24"/>
          <w:szCs w:val="24"/>
        </w:rPr>
      </w:pPr>
      <w:r>
        <w:rPr>
          <w:rFonts w:ascii="Times New Roman" w:hAnsi="Times New Roman" w:cs="Times New Roman"/>
          <w:sz w:val="24"/>
          <w:szCs w:val="24"/>
        </w:rPr>
        <w:t xml:space="preserve">The following positions have multiple people in the same position, this will be accounted </w:t>
      </w:r>
      <w:r w:rsidR="00A914CD">
        <w:rPr>
          <w:rFonts w:ascii="Times New Roman" w:hAnsi="Times New Roman" w:cs="Times New Roman"/>
          <w:sz w:val="24"/>
          <w:szCs w:val="24"/>
        </w:rPr>
        <w:t xml:space="preserve">for </w:t>
      </w:r>
      <w:r>
        <w:rPr>
          <w:rFonts w:ascii="Times New Roman" w:hAnsi="Times New Roman" w:cs="Times New Roman"/>
          <w:sz w:val="24"/>
          <w:szCs w:val="24"/>
        </w:rPr>
        <w:t>in the yearly total:</w:t>
      </w:r>
    </w:p>
    <w:p w:rsidR="00EB53A1" w:rsidRDefault="00EB53A1" w:rsidP="00EB53A1">
      <w:pPr>
        <w:spacing w:line="240" w:lineRule="auto"/>
        <w:ind w:left="720" w:firstLine="720"/>
        <w:contextualSpacing/>
        <w:rPr>
          <w:rFonts w:ascii="Times New Roman" w:hAnsi="Times New Roman" w:cs="Times New Roman"/>
          <w:sz w:val="24"/>
          <w:szCs w:val="24"/>
        </w:rPr>
      </w:pPr>
    </w:p>
    <w:p w:rsidR="00F77463" w:rsidRDefault="00F77463"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r w:rsidR="00864078">
        <w:rPr>
          <w:rFonts w:ascii="Times New Roman" w:hAnsi="Times New Roman" w:cs="Times New Roman"/>
          <w:sz w:val="24"/>
          <w:szCs w:val="24"/>
        </w:rPr>
        <w:t>Fitness Professionals</w:t>
      </w:r>
      <w:r>
        <w:rPr>
          <w:rFonts w:ascii="Times New Roman" w:hAnsi="Times New Roman" w:cs="Times New Roman"/>
          <w:sz w:val="24"/>
          <w:szCs w:val="24"/>
        </w:rPr>
        <w:t xml:space="preserve">: </w:t>
      </w:r>
      <w:r>
        <w:rPr>
          <w:rFonts w:ascii="Times New Roman" w:hAnsi="Times New Roman" w:cs="Times New Roman"/>
          <w:sz w:val="24"/>
          <w:szCs w:val="24"/>
        </w:rPr>
        <w:tab/>
      </w:r>
      <w:r w:rsidR="00864078">
        <w:rPr>
          <w:rFonts w:ascii="Times New Roman" w:hAnsi="Times New Roman" w:cs="Times New Roman"/>
          <w:sz w:val="24"/>
          <w:szCs w:val="24"/>
        </w:rPr>
        <w:t>2</w:t>
      </w:r>
    </w:p>
    <w:p w:rsidR="00F77463" w:rsidRDefault="00F77463"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r w:rsidR="00864078">
        <w:rPr>
          <w:rFonts w:ascii="Times New Roman" w:hAnsi="Times New Roman" w:cs="Times New Roman"/>
          <w:sz w:val="24"/>
          <w:szCs w:val="24"/>
        </w:rPr>
        <w:t>Cleaning Staff</w:t>
      </w:r>
      <w:r>
        <w:rPr>
          <w:rFonts w:ascii="Times New Roman" w:hAnsi="Times New Roman" w:cs="Times New Roman"/>
          <w:sz w:val="24"/>
          <w:szCs w:val="24"/>
        </w:rPr>
        <w:t xml:space="preserve">: </w:t>
      </w:r>
      <w:r>
        <w:rPr>
          <w:rFonts w:ascii="Times New Roman" w:hAnsi="Times New Roman" w:cs="Times New Roman"/>
          <w:sz w:val="24"/>
          <w:szCs w:val="24"/>
        </w:rPr>
        <w:tab/>
      </w:r>
      <w:r w:rsidR="00864078">
        <w:rPr>
          <w:rFonts w:ascii="Times New Roman" w:hAnsi="Times New Roman" w:cs="Times New Roman"/>
          <w:sz w:val="24"/>
          <w:szCs w:val="24"/>
        </w:rPr>
        <w:t>1</w:t>
      </w:r>
    </w:p>
    <w:p w:rsidR="00416251" w:rsidRDefault="00416251"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p>
    <w:p w:rsidR="00E258B7" w:rsidRDefault="00416251" w:rsidP="00864078">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p>
    <w:p w:rsidR="00776A7C" w:rsidRDefault="00776A7C" w:rsidP="00776A7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The chart below shows annual dollar amounts payable for each position based on their rates outlined in the financial section.  Each year there is an increase in pay to the position as outlined in the operational section.</w:t>
      </w:r>
      <w:r>
        <w:rPr>
          <w:rFonts w:ascii="Times New Roman" w:hAnsi="Times New Roman" w:cs="Times New Roman"/>
          <w:sz w:val="24"/>
          <w:szCs w:val="24"/>
        </w:rPr>
        <w:tab/>
      </w:r>
    </w:p>
    <w:p w:rsidR="00776A7C" w:rsidRDefault="00776A7C" w:rsidP="00776A7C">
      <w:pPr>
        <w:spacing w:line="240" w:lineRule="auto"/>
        <w:ind w:left="720"/>
        <w:contextualSpacing/>
        <w:rPr>
          <w:rFonts w:ascii="Times New Roman" w:hAnsi="Times New Roman" w:cs="Times New Roman"/>
          <w:sz w:val="24"/>
          <w:szCs w:val="24"/>
        </w:rPr>
      </w:pP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3256"/>
        <w:gridCol w:w="1418"/>
        <w:gridCol w:w="1417"/>
        <w:gridCol w:w="1559"/>
      </w:tblGrid>
      <w:tr w:rsidR="00776A7C" w:rsidTr="00755817">
        <w:tc>
          <w:tcPr>
            <w:tcW w:w="3256" w:type="dxa"/>
            <w:shd w:val="clear" w:color="auto" w:fill="D9D9D9" w:themeFill="background1" w:themeFillShade="D9"/>
          </w:tcPr>
          <w:p w:rsidR="00776A7C" w:rsidRPr="00EB53A1" w:rsidRDefault="00776A7C" w:rsidP="00755817">
            <w:pPr>
              <w:contextualSpacing/>
              <w:jc w:val="center"/>
              <w:rPr>
                <w:rFonts w:ascii="Times New Roman" w:hAnsi="Times New Roman" w:cs="Times New Roman"/>
                <w:b/>
                <w:sz w:val="24"/>
                <w:szCs w:val="24"/>
              </w:rPr>
            </w:pPr>
            <w:r w:rsidRPr="00EB53A1">
              <w:rPr>
                <w:rFonts w:ascii="Times New Roman" w:hAnsi="Times New Roman" w:cs="Times New Roman"/>
                <w:b/>
                <w:sz w:val="24"/>
                <w:szCs w:val="24"/>
              </w:rPr>
              <w:t>Position</w:t>
            </w:r>
          </w:p>
        </w:tc>
        <w:tc>
          <w:tcPr>
            <w:tcW w:w="1418"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1</w:t>
            </w:r>
          </w:p>
        </w:tc>
        <w:tc>
          <w:tcPr>
            <w:tcW w:w="1417"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2</w:t>
            </w:r>
          </w:p>
        </w:tc>
        <w:tc>
          <w:tcPr>
            <w:tcW w:w="1559"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Year 3</w:t>
            </w:r>
          </w:p>
        </w:tc>
      </w:tr>
      <w:tr w:rsidR="00776A7C" w:rsidTr="00755817">
        <w:tc>
          <w:tcPr>
            <w:tcW w:w="3256" w:type="dxa"/>
          </w:tcPr>
          <w:p w:rsidR="00776A7C" w:rsidRDefault="00776A7C" w:rsidP="00755817">
            <w:pPr>
              <w:contextualSpacing/>
              <w:rPr>
                <w:rFonts w:ascii="Times New Roman" w:hAnsi="Times New Roman" w:cs="Times New Roman"/>
                <w:sz w:val="24"/>
                <w:szCs w:val="24"/>
              </w:rPr>
            </w:pPr>
            <w:r>
              <w:rPr>
                <w:rFonts w:ascii="Times New Roman" w:hAnsi="Times New Roman" w:cs="Times New Roman"/>
                <w:sz w:val="24"/>
                <w:szCs w:val="24"/>
              </w:rPr>
              <w:t>Fitness Professional ( L1 area )</w:t>
            </w:r>
          </w:p>
        </w:tc>
        <w:tc>
          <w:tcPr>
            <w:tcW w:w="1418"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w:t>
            </w:r>
            <w:r w:rsidRPr="00EB53A1">
              <w:rPr>
                <w:rFonts w:ascii="Times New Roman" w:hAnsi="Times New Roman" w:cs="Times New Roman"/>
                <w:sz w:val="24"/>
                <w:szCs w:val="24"/>
              </w:rPr>
              <w:t>23</w:t>
            </w:r>
            <w:r>
              <w:rPr>
                <w:rFonts w:ascii="Times New Roman" w:hAnsi="Times New Roman" w:cs="Times New Roman"/>
                <w:sz w:val="24"/>
                <w:szCs w:val="24"/>
              </w:rPr>
              <w:t>,</w:t>
            </w:r>
            <w:r w:rsidRPr="00EB53A1">
              <w:rPr>
                <w:rFonts w:ascii="Times New Roman" w:hAnsi="Times New Roman" w:cs="Times New Roman"/>
                <w:sz w:val="24"/>
                <w:szCs w:val="24"/>
              </w:rPr>
              <w:t>520</w:t>
            </w:r>
          </w:p>
        </w:tc>
        <w:tc>
          <w:tcPr>
            <w:tcW w:w="1417"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$24,360</w:t>
            </w:r>
          </w:p>
        </w:tc>
        <w:tc>
          <w:tcPr>
            <w:tcW w:w="1559"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$25,200</w:t>
            </w:r>
          </w:p>
        </w:tc>
      </w:tr>
      <w:tr w:rsidR="00776A7C" w:rsidTr="00755817">
        <w:tc>
          <w:tcPr>
            <w:tcW w:w="3256" w:type="dxa"/>
          </w:tcPr>
          <w:p w:rsidR="00776A7C" w:rsidRDefault="00776A7C" w:rsidP="00755817">
            <w:pPr>
              <w:contextualSpacing/>
              <w:rPr>
                <w:rFonts w:ascii="Times New Roman" w:hAnsi="Times New Roman" w:cs="Times New Roman"/>
                <w:sz w:val="24"/>
                <w:szCs w:val="24"/>
              </w:rPr>
            </w:pPr>
            <w:r>
              <w:rPr>
                <w:rFonts w:ascii="Times New Roman" w:hAnsi="Times New Roman" w:cs="Times New Roman"/>
                <w:sz w:val="24"/>
                <w:szCs w:val="24"/>
              </w:rPr>
              <w:t>Fitness Professional ( L2 area )</w:t>
            </w:r>
          </w:p>
        </w:tc>
        <w:tc>
          <w:tcPr>
            <w:tcW w:w="1418"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w:t>
            </w:r>
            <w:r w:rsidRPr="00EB53A1">
              <w:rPr>
                <w:rFonts w:ascii="Times New Roman" w:hAnsi="Times New Roman" w:cs="Times New Roman"/>
                <w:sz w:val="24"/>
                <w:szCs w:val="24"/>
              </w:rPr>
              <w:t>23</w:t>
            </w:r>
            <w:r>
              <w:rPr>
                <w:rFonts w:ascii="Times New Roman" w:hAnsi="Times New Roman" w:cs="Times New Roman"/>
                <w:sz w:val="24"/>
                <w:szCs w:val="24"/>
              </w:rPr>
              <w:t>,</w:t>
            </w:r>
            <w:r w:rsidRPr="00EB53A1">
              <w:rPr>
                <w:rFonts w:ascii="Times New Roman" w:hAnsi="Times New Roman" w:cs="Times New Roman"/>
                <w:sz w:val="24"/>
                <w:szCs w:val="24"/>
              </w:rPr>
              <w:t>520</w:t>
            </w:r>
          </w:p>
        </w:tc>
        <w:tc>
          <w:tcPr>
            <w:tcW w:w="1417"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$24,360</w:t>
            </w:r>
          </w:p>
        </w:tc>
        <w:tc>
          <w:tcPr>
            <w:tcW w:w="1559"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$25,200</w:t>
            </w:r>
          </w:p>
        </w:tc>
      </w:tr>
      <w:tr w:rsidR="00776A7C" w:rsidTr="00755817">
        <w:tc>
          <w:tcPr>
            <w:tcW w:w="3256" w:type="dxa"/>
          </w:tcPr>
          <w:p w:rsidR="00776A7C" w:rsidRDefault="00776A7C" w:rsidP="00755817">
            <w:pPr>
              <w:contextualSpacing/>
              <w:rPr>
                <w:rFonts w:ascii="Times New Roman" w:hAnsi="Times New Roman" w:cs="Times New Roman"/>
                <w:sz w:val="24"/>
                <w:szCs w:val="24"/>
              </w:rPr>
            </w:pPr>
            <w:r>
              <w:rPr>
                <w:rFonts w:ascii="Times New Roman" w:hAnsi="Times New Roman" w:cs="Times New Roman"/>
                <w:sz w:val="24"/>
                <w:szCs w:val="24"/>
              </w:rPr>
              <w:t>Cleaning Staff</w:t>
            </w:r>
          </w:p>
        </w:tc>
        <w:tc>
          <w:tcPr>
            <w:tcW w:w="1418"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$20,160</w:t>
            </w:r>
          </w:p>
        </w:tc>
        <w:tc>
          <w:tcPr>
            <w:tcW w:w="1417"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$21,000</w:t>
            </w:r>
          </w:p>
        </w:tc>
        <w:tc>
          <w:tcPr>
            <w:tcW w:w="1559" w:type="dxa"/>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$21,840</w:t>
            </w:r>
          </w:p>
        </w:tc>
      </w:tr>
      <w:tr w:rsidR="00776A7C" w:rsidTr="00755817">
        <w:tc>
          <w:tcPr>
            <w:tcW w:w="3256" w:type="dxa"/>
            <w:shd w:val="clear" w:color="auto" w:fill="D9D9D9" w:themeFill="background1" w:themeFillShade="D9"/>
          </w:tcPr>
          <w:p w:rsidR="00776A7C" w:rsidRPr="00EB53A1" w:rsidRDefault="00776A7C" w:rsidP="00755817">
            <w:pPr>
              <w:contextualSpacing/>
              <w:jc w:val="center"/>
              <w:rPr>
                <w:rFonts w:ascii="Times New Roman" w:hAnsi="Times New Roman" w:cs="Times New Roman"/>
                <w:b/>
                <w:sz w:val="24"/>
                <w:szCs w:val="24"/>
              </w:rPr>
            </w:pPr>
            <w:r w:rsidRPr="00EB53A1">
              <w:rPr>
                <w:rFonts w:ascii="Times New Roman" w:hAnsi="Times New Roman" w:cs="Times New Roman"/>
                <w:b/>
                <w:sz w:val="24"/>
                <w:szCs w:val="24"/>
              </w:rPr>
              <w:t>Total Personal Costs</w:t>
            </w:r>
          </w:p>
        </w:tc>
        <w:tc>
          <w:tcPr>
            <w:tcW w:w="1418"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$66,660</w:t>
            </w:r>
          </w:p>
        </w:tc>
        <w:tc>
          <w:tcPr>
            <w:tcW w:w="1417"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$69,720</w:t>
            </w:r>
          </w:p>
        </w:tc>
        <w:tc>
          <w:tcPr>
            <w:tcW w:w="1559" w:type="dxa"/>
            <w:shd w:val="clear" w:color="auto" w:fill="D9D9D9" w:themeFill="background1" w:themeFillShade="D9"/>
          </w:tcPr>
          <w:p w:rsidR="00776A7C" w:rsidRDefault="00776A7C" w:rsidP="00755817">
            <w:pPr>
              <w:contextualSpacing/>
              <w:jc w:val="center"/>
              <w:rPr>
                <w:rFonts w:ascii="Times New Roman" w:hAnsi="Times New Roman" w:cs="Times New Roman"/>
                <w:sz w:val="24"/>
                <w:szCs w:val="24"/>
              </w:rPr>
            </w:pPr>
            <w:r>
              <w:rPr>
                <w:rFonts w:ascii="Times New Roman" w:hAnsi="Times New Roman" w:cs="Times New Roman"/>
                <w:sz w:val="24"/>
                <w:szCs w:val="24"/>
              </w:rPr>
              <w:t>$72,240</w:t>
            </w:r>
          </w:p>
        </w:tc>
      </w:tr>
    </w:tbl>
    <w:p w:rsidR="00EE7C79" w:rsidRDefault="00EE7C79" w:rsidP="00864078">
      <w:pPr>
        <w:spacing w:line="240" w:lineRule="auto"/>
        <w:contextualSpacing/>
        <w:rPr>
          <w:rFonts w:ascii="Times New Roman" w:hAnsi="Times New Roman" w:cs="Times New Roman"/>
          <w:sz w:val="24"/>
          <w:szCs w:val="24"/>
        </w:rPr>
      </w:pPr>
      <w:bookmarkStart w:id="0" w:name="_GoBack"/>
      <w:bookmarkEnd w:id="0"/>
    </w:p>
    <w:p w:rsidR="00EE7C79" w:rsidRDefault="00EE7C79" w:rsidP="00864078">
      <w:pPr>
        <w:spacing w:line="240" w:lineRule="auto"/>
        <w:contextualSpacing/>
        <w:rPr>
          <w:rFonts w:ascii="Times New Roman" w:hAnsi="Times New Roman" w:cs="Times New Roman"/>
          <w:sz w:val="24"/>
          <w:szCs w:val="24"/>
        </w:rPr>
      </w:pPr>
    </w:p>
    <w:p w:rsidR="00EE7C79" w:rsidRDefault="00EE7C79" w:rsidP="00864078">
      <w:pPr>
        <w:spacing w:line="240" w:lineRule="auto"/>
        <w:contextualSpacing/>
        <w:rPr>
          <w:rFonts w:ascii="Times New Roman" w:hAnsi="Times New Roman" w:cs="Times New Roman"/>
          <w:sz w:val="24"/>
          <w:szCs w:val="24"/>
        </w:rPr>
      </w:pPr>
    </w:p>
    <w:p w:rsidR="00EE7C79" w:rsidRDefault="00EE7C79" w:rsidP="00864078">
      <w:pPr>
        <w:spacing w:line="240" w:lineRule="auto"/>
        <w:contextualSpacing/>
        <w:rPr>
          <w:rFonts w:ascii="Times New Roman" w:hAnsi="Times New Roman" w:cs="Times New Roman"/>
          <w:sz w:val="24"/>
          <w:szCs w:val="24"/>
        </w:rPr>
      </w:pPr>
    </w:p>
    <w:p w:rsidR="00EE7C79" w:rsidRDefault="00EE7C79" w:rsidP="00864078">
      <w:pPr>
        <w:spacing w:line="240" w:lineRule="auto"/>
        <w:contextualSpacing/>
        <w:rPr>
          <w:rFonts w:ascii="Times New Roman" w:hAnsi="Times New Roman" w:cs="Times New Roman"/>
          <w:sz w:val="24"/>
          <w:szCs w:val="24"/>
        </w:rPr>
      </w:pPr>
    </w:p>
    <w:p w:rsidR="00EE7C79" w:rsidRDefault="00EE7C79" w:rsidP="00864078">
      <w:pPr>
        <w:spacing w:line="240" w:lineRule="auto"/>
        <w:contextualSpacing/>
        <w:rPr>
          <w:rFonts w:ascii="Times New Roman" w:hAnsi="Times New Roman" w:cs="Times New Roman"/>
          <w:sz w:val="24"/>
          <w:szCs w:val="24"/>
        </w:rPr>
      </w:pPr>
    </w:p>
    <w:p w:rsidR="00EE7C79" w:rsidRPr="005E12FE" w:rsidRDefault="00EE7C79" w:rsidP="00864078">
      <w:pPr>
        <w:spacing w:line="240" w:lineRule="auto"/>
        <w:contextualSpacing/>
        <w:rPr>
          <w:rFonts w:ascii="Times New Roman" w:hAnsi="Times New Roman" w:cs="Times New Roman"/>
          <w:sz w:val="24"/>
          <w:szCs w:val="24"/>
        </w:rPr>
      </w:pPr>
    </w:p>
    <w:sectPr w:rsidR="00EE7C79" w:rsidRPr="005E12F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E6672"/>
    <w:multiLevelType w:val="hybridMultilevel"/>
    <w:tmpl w:val="DDBAE5F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4D4"/>
    <w:rsid w:val="00020042"/>
    <w:rsid w:val="00080655"/>
    <w:rsid w:val="000903D6"/>
    <w:rsid w:val="000B1CE1"/>
    <w:rsid w:val="000B24D5"/>
    <w:rsid w:val="0012546B"/>
    <w:rsid w:val="00147D30"/>
    <w:rsid w:val="001979FD"/>
    <w:rsid w:val="001D2704"/>
    <w:rsid w:val="001D2D06"/>
    <w:rsid w:val="001E103B"/>
    <w:rsid w:val="0022263B"/>
    <w:rsid w:val="00225CB5"/>
    <w:rsid w:val="002433A1"/>
    <w:rsid w:val="0025664F"/>
    <w:rsid w:val="002817A4"/>
    <w:rsid w:val="002D05DB"/>
    <w:rsid w:val="002D77F2"/>
    <w:rsid w:val="00383997"/>
    <w:rsid w:val="003C727E"/>
    <w:rsid w:val="003E23F9"/>
    <w:rsid w:val="00407596"/>
    <w:rsid w:val="00416251"/>
    <w:rsid w:val="00430DA7"/>
    <w:rsid w:val="004A520C"/>
    <w:rsid w:val="004B7616"/>
    <w:rsid w:val="004E2112"/>
    <w:rsid w:val="004E367E"/>
    <w:rsid w:val="004F6017"/>
    <w:rsid w:val="004F6E20"/>
    <w:rsid w:val="00522196"/>
    <w:rsid w:val="0053109C"/>
    <w:rsid w:val="005360E6"/>
    <w:rsid w:val="005413F9"/>
    <w:rsid w:val="005C295B"/>
    <w:rsid w:val="005E12FE"/>
    <w:rsid w:val="006011FB"/>
    <w:rsid w:val="00616875"/>
    <w:rsid w:val="006172BB"/>
    <w:rsid w:val="006369A6"/>
    <w:rsid w:val="00642F6C"/>
    <w:rsid w:val="006C37C0"/>
    <w:rsid w:val="006D0C97"/>
    <w:rsid w:val="00706EAB"/>
    <w:rsid w:val="00772E3A"/>
    <w:rsid w:val="00776A7C"/>
    <w:rsid w:val="0078675E"/>
    <w:rsid w:val="00791883"/>
    <w:rsid w:val="00806BD5"/>
    <w:rsid w:val="00813E3F"/>
    <w:rsid w:val="00826AB0"/>
    <w:rsid w:val="008430F4"/>
    <w:rsid w:val="00845569"/>
    <w:rsid w:val="00852C17"/>
    <w:rsid w:val="00864078"/>
    <w:rsid w:val="008913EF"/>
    <w:rsid w:val="008B01DC"/>
    <w:rsid w:val="008D79F6"/>
    <w:rsid w:val="008E6DA8"/>
    <w:rsid w:val="00927133"/>
    <w:rsid w:val="00956EFE"/>
    <w:rsid w:val="00980BE6"/>
    <w:rsid w:val="009B243F"/>
    <w:rsid w:val="009E5403"/>
    <w:rsid w:val="00A914CD"/>
    <w:rsid w:val="00A95AF4"/>
    <w:rsid w:val="00A95CD9"/>
    <w:rsid w:val="00AB7FDF"/>
    <w:rsid w:val="00B23F45"/>
    <w:rsid w:val="00B34C60"/>
    <w:rsid w:val="00B752C3"/>
    <w:rsid w:val="00BA5129"/>
    <w:rsid w:val="00BB54A9"/>
    <w:rsid w:val="00BE7C5A"/>
    <w:rsid w:val="00BF3F67"/>
    <w:rsid w:val="00C25497"/>
    <w:rsid w:val="00C362AF"/>
    <w:rsid w:val="00C444C4"/>
    <w:rsid w:val="00C47340"/>
    <w:rsid w:val="00C96E94"/>
    <w:rsid w:val="00D02CF1"/>
    <w:rsid w:val="00D2462B"/>
    <w:rsid w:val="00D27A2D"/>
    <w:rsid w:val="00D45094"/>
    <w:rsid w:val="00D56932"/>
    <w:rsid w:val="00D8170C"/>
    <w:rsid w:val="00D94330"/>
    <w:rsid w:val="00D9482E"/>
    <w:rsid w:val="00DC114F"/>
    <w:rsid w:val="00DF26F0"/>
    <w:rsid w:val="00E2130B"/>
    <w:rsid w:val="00E2190B"/>
    <w:rsid w:val="00E258B7"/>
    <w:rsid w:val="00E82722"/>
    <w:rsid w:val="00E93E7E"/>
    <w:rsid w:val="00EA4EBC"/>
    <w:rsid w:val="00EB0B30"/>
    <w:rsid w:val="00EB53A1"/>
    <w:rsid w:val="00EE2AB4"/>
    <w:rsid w:val="00EE7C79"/>
    <w:rsid w:val="00F06692"/>
    <w:rsid w:val="00F77463"/>
    <w:rsid w:val="00F92978"/>
    <w:rsid w:val="00F95450"/>
    <w:rsid w:val="00FA14D4"/>
    <w:rsid w:val="00FA3BDC"/>
    <w:rsid w:val="00FB3599"/>
    <w:rsid w:val="00FC2BD0"/>
    <w:rsid w:val="00FD752F"/>
    <w:rsid w:val="00FE3C5C"/>
    <w:rsid w:val="00FE502A"/>
    <w:rsid w:val="00FF53AB"/>
    <w:rsid w:val="00FF64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EF1CA-9790-4D3B-9C57-8E2B32B6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5">
    <w:name w:val="Grid Table 3 Accent 5"/>
    <w:basedOn w:val="TableNormal"/>
    <w:uiPriority w:val="48"/>
    <w:rsid w:val="00772E3A"/>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ListParagraph">
    <w:name w:val="List Paragraph"/>
    <w:basedOn w:val="Normal"/>
    <w:uiPriority w:val="34"/>
    <w:qFormat/>
    <w:rsid w:val="00FE3C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Gergely</dc:creator>
  <cp:keywords/>
  <dc:description/>
  <cp:lastModifiedBy>krystofurr</cp:lastModifiedBy>
  <cp:revision>113</cp:revision>
  <dcterms:created xsi:type="dcterms:W3CDTF">2015-03-07T12:42:00Z</dcterms:created>
  <dcterms:modified xsi:type="dcterms:W3CDTF">2015-04-16T16:23:00Z</dcterms:modified>
</cp:coreProperties>
</file>