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1F3864"/>
          <w:sz w:val="52"/>
        </w:rPr>
        <w:t>АНАЛИТИЧЕСКАЯ ЗАПИСКА</w:t>
      </w:r>
    </w:p>
    <w:p>
      <w:pPr>
        <w:jc w:val="center"/>
      </w:pPr>
      <w:r>
        <w:rPr>
          <w:rFonts w:ascii="Arial" w:hAnsi="Arial"/>
          <w:sz w:val="30"/>
        </w:rPr>
        <w:t>Категорийный анализ товарного портфеля</w:t>
      </w:r>
    </w:p>
    <w:p>
      <w:pPr>
        <w:jc w:val="center"/>
      </w:pPr>
      <w:r>
        <w:rPr>
          <w:rFonts w:ascii="Arial" w:hAnsi="Arial"/>
          <w:b/>
          <w:sz w:val="30"/>
        </w:rPr>
        <w:t>Дивизион РТГ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Расчёт выполнен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14.09.2026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Данные в отчёте по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11.09.2026   (выгрузка от 14.09.2026)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Период анализа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01.01 - 11.09.2026 (254 дней)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Периметр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5 955 SKU, 41,75 млн руб. запаса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b w:val="0"/>
                <w:color w:val="6B7280"/>
                <w:sz w:val="21"/>
              </w:rPr>
              <w:t>Подготовлено</w:t>
            </w:r>
          </w:p>
        </w:tc>
        <w:tc>
          <w:tcPr>
            <w:tcW w:type="dxa" w:w="5329"/>
          </w:tcPr>
          <w:p>
            <w:r/>
            <w:r>
              <w:rPr>
                <w:rFonts w:ascii="Arial" w:hAnsi="Arial"/>
                <w:b/>
                <w:sz w:val="21"/>
              </w:rPr>
              <w:t>автоматически, категорийная аналитика РТГ</w:t>
            </w:r>
          </w:p>
        </w:tc>
      </w:tr>
    </w:tbl>
    <w:p/>
    <w:p/>
    <w:p/>
    <w:p/>
    <w:p/>
    <w:p/>
    <w:p/>
    <w:p>
      <w:pPr>
        <w:jc w:val="center"/>
      </w:pPr>
      <w:r>
        <w:rPr>
          <w:rFonts w:ascii="Arial" w:hAnsi="Arial"/>
          <w:i/>
          <w:color w:val="6B7280"/>
          <w:sz w:val="17"/>
        </w:rPr>
        <w:t>Документ содержит коммерческую информацию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…</w:t>
        <w:fldChar w:fldCharType="end"/>
      </w: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Чтобы номера страниц заполнились, нажмите Ctrl+A, затем F9 и выберите «Обновить целиком». Word делает это один раз при первом открытии.</w:t>
      </w:r>
    </w:p>
    <w:p>
      <w:r>
        <w:br w:type="page"/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Выгрузка сделана 14.09.2026, но последние данные в ней — за 11.09.2026. Отчёт построен по фактическим данным, то есть по 11.09.2026: продажи за более поздние дни в хранилище ещё не попали.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Главное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DF1F7"/>
            <w:tcBorders>
              <w:left w:val="single" w:sz="24" w:color="1F3864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1F3864"/>
                <w:sz w:val="21"/>
              </w:rPr>
              <w:t>Каждый рубль запаса приносит 1,05 руб. валовой прибыли в год при стоимости владения 0,57 руб. Портфель окупается, но запас прочности небольшой.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Что это значит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Запас периметра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41,75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из них 7,12 млн ₽ не продаётся вовсе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Дефицит (OOS)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24,0 %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недополучено 3,26 млн ₽ оборота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8"/>
              </w:rPr>
              <w:t>Можно высвободить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10,97 млн ₽</w:t>
            </w:r>
          </w:p>
        </w:tc>
        <w:tc>
          <w:tcPr>
            <w:tcW w:type="dxa" w:w="5102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плюс 5,50 млн ₽/год экономии на хранении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Если не делать ничего, за квартал потеряем 2,54 млн ₽: 2,26 млн на содержании ненужного запаса и 0,28 млн упущенной прибыли на дефиците. При этом 10,33 млн ₽ остаются замороженными.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Выполнение плана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Вид плана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План,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Факт,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Разница,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8"/>
              </w:rPr>
              <w:t>Выполнение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ИТАН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128,99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−28,76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77,7 %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Оперативный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142,54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−42,32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70,3 %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8"/>
              </w:rPr>
              <w:t>Дефицит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133,10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100,22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8"/>
              </w:rPr>
              <w:t>−32,88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8"/>
              </w:rPr>
              <w:t>75,3 %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7"/>
        </w:rPr>
        <w:t>За 8 завершённых месяцев. Текущий месяц не учитывается — он неполный.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ECEA"/>
            <w:tcBorders>
              <w:left w:val="single" w:sz="24" w:color="C000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0000"/>
                <w:sz w:val="21"/>
              </w:rPr>
              <w:t>План выполнен на 77,7 %. Отставание 28,76 млн ₽ за 8 месяцев — это главный вопрос, на который отвечает вся остальная записка.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Сравнение с прошлым годом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За те же 8 месяцев: 104,03 млн ₽ в прошлом году против 100,22 млн ₽ в этом — -3,7 %.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Сравнение возможно только по периметру целиком: между годами товар переразнесли по направлениям (доля отдельных направлений сдвинулась до 78 п.п.). Сопоставлять направления год к году — сравнивать разные наборы товара. Как именно переразнесли — лист «0e.Сдвиг структуры».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Три решения по приоритету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Даст,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340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Почему первым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деньги нужны на закупку, но возврат самый быстрый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4,94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2,84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нужно согласование скидки и работа менеджеров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часть можно вернуть поставщику, часть списать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EAF5EC"/>
            <w:tcBorders>
              <w:left w:val="single" w:sz="24" w:color="00713C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00713C"/>
                <w:sz w:val="21"/>
              </w:rPr>
              <w:t>Прошу согласовать первый пункт: он не требует денег и закрывает часть дефицита за счёт уже купленного товара.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изменилось с расчёта от 10.09.2026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30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Показатель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Было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Стало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Изменение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Оценка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Запас,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43,41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41,75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-1,66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Оборот,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105,01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107,36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+2,35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Валовая прибыль,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27,07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27,60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+0,54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Эконом. прибыль, ₽/год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17,74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18,36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+0,62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color w:val="00713C"/>
                <w:sz w:val="17"/>
              </w:rPr>
              <w:t>лучше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Arial" w:hAnsi="Arial"/>
                <w:sz w:val="17"/>
              </w:rPr>
              <w:t>Упущенные продажи, 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3,19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 млн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+0,08 млн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7"/>
              </w:rPr>
              <w:t>хуже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1. Где лежат деньги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24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структура_запас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24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Структура запаса периметра по состоянию на 11.09.2026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Из 41,75 млн ₽ запаса 5,39 млн не продавались ни разу за период. Ещё 9,87 млн — медленный товар, содержание которого дороже приносимой им прибыли.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9"/>
        </w:rPr>
        <w:t>Отдельно выделены новинки: 129 позиций на 1,73 млн ₽ моложе 90 дней. Продаж по ним ещё нет, но это не неликвид — за ними надо наблюдать, а не выводить.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Запас растёт быстрее продаж?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5205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запас_оборот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2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Оборот за месяц и запас на конец месяца, млн ₽</w:t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2. Рентабельность по направлениям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Основная метрика — GMROI: валовая прибыль за год на рубль среднего запаса. Порог 0,57 — это стоимость владения запасом (хранение 34,6 % + капитал 22,0 %). Ниже порога направление не окупает собственное хранение, какой бы ни была его маржа.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8389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mro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38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Красным — направления, которые не окупают хранение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Ниже порога: Промышленное тепловое обор, Водоснабжение, Инструмент и оснастка, Вент Холод. Совокупный запас 4,69 млн ₽, убыток 1,68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▁▂▂█▅▅▆▅▂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9,35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▁▃▃▇▇▇█▆▃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3 036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▁▁▂▂▅▇█▇▂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▁▃▂▅▄▆▄█▄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16,28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ИСРМ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▁▁▅█▁▃▁▁▁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▂▂▁▃▄▃▄█▅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▁▄▂▃▅▄█▅▃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Электрика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▃▁▁▁█▅▆▁▁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Трубы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▁▂▃█▃▄▂▃▅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Группы Филиалов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▂█▃▁▃▂▇▅▂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-136,2 %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-1,83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−1,06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Вент Холод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█▁▁▁▁▁▂▂▁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Группы Термо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▁▁▁▁▃▁█▁▁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 · Группы Комфорт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-46,4 %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Группы Вент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▁▁▁▁█▁▁▁▁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Группы, уничтожающие стоимость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Инструмент и оснастка · Специализированный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▁█▃▁▂▁▁▁▁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-284,0 %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-3,55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−0,82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Водоснабжение · Санитарно-технические издели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▁▃▂▄▅▃█▃▂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 · Группы коллекторные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▆█▁▁▂▄▂▁▁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труб ПНД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▁▂▂▃█▆▄▄▂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 · 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▂▇█▃▆▂▅▅▂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резьбовые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▁▃▃▇▅▆▇█▅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0,43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металлопластиков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▁▂▃▄▃▂▇█▂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Канализация и водоотведение · Трубы и фитинги (бесшумные)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▁▂▆▄▄█▃▆▁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386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Фитинги · Фитинги для нержавеющих труб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▁▆▃▄▅▄▇█▄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 · Трубы и фитинги для внутренн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▁▂▃▆▃▄█▆▂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6 %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 11,11 млн ₽ запаса и 2,56 млн ₽ убытка в год. Первоочередной список для сокращения ассортимента.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3. Бренды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Royal Thermo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▁▃▃▄▄▆▅█▄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6,52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TEBO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▂▂▄▆▅█▆▆▃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18,63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8,46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УЗПК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▁▁▁█▄▄▇▃▂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ХЕМКОР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▁▁▁▁▄▇█▄▁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Usystems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▁▁▁▄█▂▆▄▄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5,72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VARMEGA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▁▄▃▃▄▃▄█▄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AntiFire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Сантехкомплект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▁▁▁▁▆▇█▅▂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РИДАН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▁▁▅█▁▃▁▁▁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3,38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РГК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▁▁▁▁▂▃▆█▂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Политэк Пайп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▁▂▅▇▅▇▇█▃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35,4 %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▁▅▃▇█▇▅▃▁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Бренды, уничтожающие стоимость (запас свыше 200 тыс.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58"/>
        <w:gridCol w:w="1158"/>
        <w:gridCol w:w="1158"/>
        <w:gridCol w:w="1158"/>
        <w:gridCol w:w="1158"/>
        <w:gridCol w:w="1158"/>
        <w:gridCol w:w="1158"/>
        <w:gridCol w:w="1158"/>
        <w:gridCol w:w="1158"/>
      </w:tblGrid>
      <w:tr>
        <w:tc>
          <w:tcPr>
            <w:tcW w:type="dxa" w:w="175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Бренд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БЕЗ МАРКИ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1 065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2,80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−1,16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THERMOLIGHT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-10,3 %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-0,41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−0,62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ROTORICA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н/д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-15,11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−0,50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ONE PLUS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ALTSTREAM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185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29,9 %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−0,21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ТПК-АКВА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43,8 %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638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−0,18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VIEIR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2227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−0,13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Mr.Bond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22,1 %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328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364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1757"/>
          </w:tcPr>
          <w:p>
            <w:r/>
            <w:r>
              <w:rPr>
                <w:rFonts w:ascii="Arial" w:hAnsi="Arial"/>
                <w:sz w:val="16"/>
              </w:rPr>
              <w:t>BETTOSERB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19,4 %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−0,02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Совокупно: запас 6,86 млн ₽, убыток 3,26 млн ₽ в год.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4. Склады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Ижевск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▁▂▃▆▆▆█▆▂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4 374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59,59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19,15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1,11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10,10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Филиал РТГ Пермь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▁▃▃▄▅▆▆█▄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4 319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44,77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28,3 %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22,60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Типы складов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Основной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▁▃▄▇▆▇▇█▃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5 836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87,83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11,78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▂▂▂▃▅▇█▇▃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2 513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25,6 %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0,21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5,92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Прочее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618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РЦ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▁█▁▁▁▇▂▃▁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Витрина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█▂▂▃▂▃▄▅▁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-21,5 %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Склады поимённо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  <w:gridCol w:w="1043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type="dxa" w:w="85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Динамика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96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51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</w:t>
            </w:r>
          </w:p>
        </w:tc>
        <w:tc>
          <w:tcPr>
            <w:tcW w:type="dxa" w:w="62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▁▁▃█▆▇▇▆▃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3 825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41,54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16,34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▁▂▃▄▄▄▃█▃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2 875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24,96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11,48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5,24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▁▃▃▄▆█▇▅▂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3 397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11,68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10,99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−0,03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Основной с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▁▂▂▃▂▃█▃▁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1 902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8,29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31,0 %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121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2,14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 РТГ Cash&amp;Ca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▃▂▂▃▆▆█▆▅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1 111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4,85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17,2 %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0,06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1,15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▂▂▂▃█▇▇▇▃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1 120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4,32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 РТГ Cash&amp;Carry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▁▂▂▃▇▆█▇▂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1 121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4,08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1,81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 тракт РТГ C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▁▂▁▂▁█▇▆▃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968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3,17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0,99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Адмирал Объекты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▁▁▁█▁▂▁▁▁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21,8 %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0,86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▆█▁▁▁▁▁▁▁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1 377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23,0 %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−0,37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80 %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 xml:space="preserve">Ижевск Воткинское шоссе РТГ </w:t>
            </w:r>
          </w:p>
        </w:tc>
        <w:tc>
          <w:tcPr>
            <w:tcW w:type="dxa" w:w="85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▄█▁▁▁▁▁▁▁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1 345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29,1 %</w:t>
            </w:r>
          </w:p>
        </w:tc>
        <w:tc>
          <w:tcPr>
            <w:tcW w:type="dxa" w:w="96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51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788</w:t>
            </w:r>
          </w:p>
        </w:tc>
        <w:tc>
          <w:tcPr>
            <w:tcW w:type="dxa" w:w="62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−0,48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Складов не отрабатывают стоимость владения: 6, суммарный убыток 1,30 млн ₽ в год.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Склад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текущий, ₽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 средний,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₽/год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1 275 290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-479 755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1 073 137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488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-367 269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Уличное хранение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438 603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&gt; 9999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-248 061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283 873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2087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-140 406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Пермь Чайковский РТГ Основной склад LV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10 991 596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9 259 874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292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-34 843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Arial" w:hAnsi="Arial"/>
                <w:sz w:val="16"/>
              </w:rPr>
              <w:t>Ижевск Воткинское шоссе РТГ Основной склад 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48 139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1846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-33 284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Площадки с нулевым текущим остатком, но существенным средним запасом — скрытые буферы неликвида: товар пролежал там большую часть периода.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«направление × склад»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Направление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Воткинско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Бродовский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Ижевск Глазов Ос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Пермь Чайковский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Трубы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Фитинги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Канализация и водоотведение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ИСРМ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-0,19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Промышленное тепловое оборудов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Коллекторы и коллекторные груп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Водоснабжение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Электрика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Инструмент и оснастка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-3,10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Вент Холод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Прочее оборудование КОМФОРТ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5. Дефицит (OOS)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0826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8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Доля нормируемых позиций, отсутствовавших на складе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60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  <w:tc>
          <w:tcPr>
            <w:tcW w:type="dxa" w:w="532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Как считается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OOS_incidence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связок SKU × офис × месяц в нуле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Fill Rate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91,0 %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доля спроса, закрытая с полки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Cycle Service Level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76,0 %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вероятность отработать месяц без дефицита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DNS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51 505 ед.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неудовлетворённый спрос в единицах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3,26 млн ₽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DNS × цена × 0,30 (доля вернувшихся покупателей)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Оценка упущенных продаж зависит от допущения о доле вернувшихся покупателей. При консервативном коэффициенте 0,30 это 3,26 млн ₽; если считать, что покупатель не вернулся вовсе — 10,87 млн ₽. Реальная величина между этими границами.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Дефицит по офисам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317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92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Связок SKU × месяц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OOS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7 981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3 452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43,3 %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6 489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1 809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27,9 %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9 639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1 456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15,1 %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8 964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1 225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13,7 %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Почему товара не было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24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Причина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Месяцев в нуле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Упущено,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потерь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Кому адресовать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Не закупали в этом году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3 982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55,6 %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— позиция не заказывалась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хватило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596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3 713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44,4 %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закупки и нормы — объём партии мал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Arial" w:hAnsi="Arial"/>
                <w:sz w:val="16"/>
              </w:rPr>
              <w:t>Закупали, но не продавалось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категорийный менеджмент — спрос не подтвердился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Разделение по причинам меняет адресата: «не закупали» — вопрос к плану закупок, «закупали, но не хватило» — к нормам и размеру партии.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6. Сверка с юнит-экономикой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По 1 391 позициям есть готовое решение из модели юнит-экономики дивизиона. Сравниваем его с тем, что предлагает наш расчёт.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Результат сверки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4762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совпадают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602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действовать, вопросов нет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Решения расходятся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пересмотреть вручную, запас 0,78 млн ₽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rial" w:hAnsi="Arial"/>
                <w:sz w:val="16"/>
              </w:rPr>
              <w:t>Нет пары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752</w:t>
            </w:r>
          </w:p>
        </w:tc>
        <w:tc>
          <w:tcPr>
            <w:tcW w:type="dxa" w:w="4762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позиция не попала ни в один наш список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Дополнительно из юнит-экономики (эти цифры уже посчитаны и не требуют нашей оценки):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Избыточный сток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10,41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Накоплено долга позициями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2,59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лежание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9,40 млн ₽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Arial" w:hAnsi="Arial"/>
                <w:sz w:val="16"/>
              </w:rPr>
              <w:t>Затраты за продажу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7,33 млн ₽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Расхождения — самое полезное в этом разделе: это либо устаревшее решение, либо ошибка в наших порогах. Поимённый список — лист «29.Расхождения».</w:t>
      </w:r>
    </w:p>
    <w:p>
      <w:r>
        <w:br w:type="page"/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7. Ассортиментная политика и поставщики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Матрица ABC × XYZ: что с чем делать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ABC — вклад в оборот, XYZ — предсказуемость спроса. На пересечении получается готовая политика: один и тот же оборот при стабильном и при рваном спросе требует разных норм.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ABC</w:t>
            </w:r>
          </w:p>
        </w:tc>
        <w:tc>
          <w:tcPr>
            <w:tcW w:type="dxa" w:w="56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XYZ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Доля оборота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делать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2,38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0,54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всегда. Автозаказ, страховой запас минимальный — с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126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32,50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30,3 %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7,63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 с сезонным запасом. Нормы пересматривать перед сез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A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50,99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47,5 %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10,21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Держать, но страховой запас выше. Спрос рваный — следить в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по норме. Внимания почти не требует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3,20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Автозаказ с сезонной поправкой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B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12,65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6,23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Снизить норму, часть перевести в заказные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X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Минимальная норма, автозаказ редкими партиями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Y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Под заказ или минимальный запас в одном месте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C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Z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2 747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7,75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Только под заказ. Складской запас не оправдан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Arial" w:hAnsi="Arial"/>
                <w:sz w:val="16"/>
              </w:rPr>
              <w:t>D (нет продаж)</w:t>
            </w:r>
          </w:p>
        </w:tc>
        <w:tc>
          <w:tcPr>
            <w:tcW w:type="dxa" w:w="56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1 859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-0,01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-0,0 %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7,12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Поставщики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Решения о возврате, отсрочке и размере партии принимаются по поставщику, а не по позиции. Всего поставщиков в периметре: 36.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Поставщик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07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без продаж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Оборот, млн ₽</w:t>
            </w:r>
          </w:p>
        </w:tc>
        <w:tc>
          <w:tcPr>
            <w:tcW w:type="dxa" w:w="73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Маржа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68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1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Эк. прибыль, млн ₽/год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ТВВД,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510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18,53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9,04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2,61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БЕ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15,71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26,8 %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4,51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ПОЛИТЭК ПАЙП,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399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3,96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37,2 %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ЮНАЙТЕД ТЕРМО РУС,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3,75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ХЕМКОР, АО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5,00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0,88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Юсистем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108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42,0 %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2,30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2,18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УЗПК,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24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6,15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1,62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1,19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РОКНИ,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130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3,07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48,9 %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1,99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1,54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ТД Импульс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67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2,42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27,5 %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1,33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БАШПОЛИМЕР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2,25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25,7 %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1,79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0,57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ПК ХОММЕТ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0,46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30,9 %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0,45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C00000"/>
                <w:sz w:val="16"/>
              </w:rPr>
              <w:t>−0,05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Arial" w:hAnsi="Arial"/>
                <w:sz w:val="16"/>
              </w:rPr>
              <w:t>Сармат, ООО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</w:t>
            </w:r>
          </w:p>
        </w:tc>
        <w:tc>
          <w:tcPr>
            <w:tcW w:type="dxa" w:w="107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1,32</w:t>
            </w:r>
          </w:p>
        </w:tc>
        <w:tc>
          <w:tcPr>
            <w:tcW w:type="dxa" w:w="73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20,1 %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Не отрабатывают стоимость владения 3 поставщиков: запас 1,11 млн ₽, убыток 0,11 млн ₽ в год. С ними есть предмет для разговора об условиях — отсрочка, размер партии, право возврата.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Готовая диагностика из рабочей матрицы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Эти проблемы уже размечены в матрице пополнения. Они не требуют анализа — только действий.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430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Что означает</w:t>
            </w:r>
          </w:p>
        </w:tc>
        <w:tc>
          <w:tcPr>
            <w:tcW w:type="dxa" w:w="90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SKU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Содержание, млн ₽/год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п1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Норма упаковки больше нормы запаса — заказать меньше физически нел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560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5,43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2,70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п2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Запасы лежат на складах с нулевой нормой — товар не должен там быт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1 098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13,94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7,21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п3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расчёт перераспределения между складами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75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1,04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0,98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Arial" w:hAnsi="Arial"/>
                <w:sz w:val="16"/>
              </w:rPr>
              <w:t>п4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Требуется перемещение с основного склада на недостающие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1 914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30,16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14,19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shd w:fill="FDF3E7"/>
            <w:tcBorders>
              <w:left w:val="single" w:sz="24" w:color="C05600"/>
              <w:top w:val="single" w:sz="4" w:color="D6DCE5"/>
              <w:bottom w:val="single" w:sz="4" w:color="D6DCE5"/>
              <w:right w:val="single" w:sz="4" w:color="D6DCE5"/>
            </w:tcBorders>
          </w:tcPr>
          <w:p>
            <w:pPr>
              <w:spacing w:before="80" w:after="80"/>
            </w:pPr>
            <w:r/>
            <w:r>
              <w:rPr>
                <w:rFonts w:ascii="Arial" w:hAnsi="Arial"/>
                <w:b/>
                <w:color w:val="C05600"/>
                <w:sz w:val="21"/>
              </w:rPr>
              <w:t>Особое внимание к коду п1: 560 позиций на 5,43 млн ₽, где норма упаковки больше нормы запаса. Это механическая причина затоваривания — уценкой не лечится, нужен разговор с поставщиком о размере партии.</w:t>
            </w:r>
          </w:p>
        </w:tc>
      </w:tr>
    </w:tbl>
    <w:p>
      <w:pPr>
        <w:spacing w:after="8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Бенчмарк офисов</w:t>
      </w: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Эталон — «Ижевск Глазов» с GMROI 2,02. Медиана по дивизиону — 1,08.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Офис</w:t>
            </w:r>
          </w:p>
        </w:tc>
        <w:tc>
          <w:tcPr>
            <w:tcW w:type="dxa" w:w="124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Запас, млн ₽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Дней запаса</w:t>
            </w:r>
          </w:p>
        </w:tc>
        <w:tc>
          <w:tcPr>
            <w:tcW w:type="dxa" w:w="79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GMROI</w:t>
            </w:r>
          </w:p>
        </w:tc>
        <w:tc>
          <w:tcPr>
            <w:tcW w:type="dxa" w:w="147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Цель,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Потолок, млн ₽/год</w:t>
            </w:r>
          </w:p>
        </w:tc>
        <w:tc>
          <w:tcPr>
            <w:tcW w:type="dxa" w:w="1587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Излишек запаса, млн 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Чайковский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11,05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197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3,65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12,43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7,19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Воткинское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16,38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109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0,96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1,88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16,64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4,64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Пермь Бродовский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11,55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125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1,20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8,08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5,15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Arial" w:hAnsi="Arial"/>
                <w:sz w:val="16"/>
              </w:rPr>
              <w:t>Ижевск Глазов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2,77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81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2,02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 w:val="0"/>
          <w:i w:val="0"/>
          <w:sz w:val="21"/>
        </w:rPr>
        <w:t>«Цель» — если отстающие подтянутся до медианы: +5,53 млн ₽ валовой прибыли в год. «Потолок» — если все сработают как лучший офис: +37,15 млн ₽; это теоретический максимум, а не план — у офисов разный ассортимент и разная клиентская база.</w:t>
      </w: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Куда идёт запас</w:t>
      </w: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При сохранении текущего темпа запас растёт на 1,08 млн ₽ в месяц. Через полгода это 48,4 млн ₽ против 42,5 млн ₽ сейчас (+14 %).</w:t>
      </w:r>
    </w:p>
    <w:p>
      <w:pPr>
        <w:spacing w:after="100"/>
        <w:jc w:val="both"/>
      </w:pPr>
      <w:r>
        <w:rPr>
          <w:rFonts w:ascii="Arial" w:hAnsi="Arial"/>
          <w:b w:val="0"/>
          <w:i/>
          <w:color w:val="6B7280"/>
          <w:sz w:val="18"/>
        </w:rPr>
        <w:t>Это экстраполяция текущего тренда, а не прогноз спроса: она показывает, что будет, если ничего не менять.</w:t>
      </w:r>
    </w:p>
    <w:p>
      <w:r>
        <w:br w:type="page"/>
      </w: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8. План действий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649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приоритет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64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i/>
          <w:color w:val="6B7280"/>
          <w:sz w:val="16"/>
        </w:rPr>
        <w:t>Чем выше и левее — тем раньше делать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Приоритет</w:t>
            </w:r>
          </w:p>
        </w:tc>
        <w:tc>
          <w:tcPr>
            <w:tcW w:type="dxa" w:w="28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Что сделать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Высвободит, млн ₽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Эффект, млн ₽/год</w:t>
            </w:r>
          </w:p>
        </w:tc>
        <w:tc>
          <w:tcPr>
            <w:tcW w:type="dxa" w:w="1020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Срок</w:t>
            </w:r>
          </w:p>
        </w:tc>
        <w:tc>
          <w:tcPr>
            <w:tcW w:type="dxa" w:w="204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7"/>
              </w:rPr>
              <w:t>Ответственный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Дозаказ ходовых в дефиците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3,26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Закупки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Уценка медленного товара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4,94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2,84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3 месяца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Вывод неликвида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5,39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2,66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Перемещение вместо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0,65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0,22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 недели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Логистика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2835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Пересмотр размера закупки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2,34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0,42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1 месяц</w:t>
            </w:r>
          </w:p>
        </w:tc>
        <w:tc>
          <w:tcPr>
            <w:tcW w:type="dxa" w:w="2041"/>
          </w:tcPr>
          <w:p>
            <w:pPr>
              <w:jc w:val="right"/>
            </w:pPr>
            <w:r/>
            <w:r>
              <w:rPr>
                <w:rFonts w:ascii="Arial" w:hAnsi="Arial"/>
                <w:sz w:val="17"/>
              </w:rPr>
              <w:t>Категорийный менеджер</w:t>
            </w:r>
          </w:p>
        </w:tc>
      </w:tr>
    </w:tbl>
    <w:p>
      <w:pPr>
        <w:spacing w:after="40"/>
      </w:pPr>
    </w:p>
    <w:p>
      <w:pPr>
        <w:spacing w:after="100"/>
        <w:jc w:val="both"/>
      </w:pPr>
      <w:r>
        <w:rPr>
          <w:rFonts w:ascii="Arial" w:hAnsi="Arial"/>
          <w:b/>
          <w:i w:val="0"/>
          <w:sz w:val="21"/>
        </w:rPr>
        <w:t>Поимённый план — лист «0.Задачи» в приложении: 312 строк, годовой эффект 9,81 млн ₽. По каждой позиции указано, что делать, где, сколько и в какой срок. Столбцы «Статус выполнения» и «Комментарий исполнителя» оставлены пустыми для заполнения в работе, а «Внимание» показывает, что нужно решить до исполнения.</w:t>
      </w:r>
    </w:p>
    <w:p>
      <w:pPr>
        <w:spacing w:after="100"/>
        <w:jc w:val="both"/>
      </w:pPr>
      <w:r>
        <w:rPr>
          <w:rFonts w:ascii="Arial" w:hAnsi="Arial"/>
          <w:b w:val="0"/>
          <w:i/>
          <w:sz w:val="18"/>
        </w:rPr>
        <w:t>«Сумма действия» — сколько денег двигает само действие: запас под уценку, стоимость перевозки, объём закупки. «Эффект за год» — сколько это приносит или экономит за год. Порядок — по годовой выгоде с поправкой на скорость отдачи: действие, не требующее согласований, при равной выгоде идёт раньше. Приоритет 1 — начинать отсюда. Позиции дешевле порога и всё, что не поместилось в план, свёрнуты в строки с приоритетом 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85"/>
      </w:tblGrid>
      <w:tr>
        <w:tc>
          <w:tcPr>
            <w:tcW w:type="dxa" w:w="238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Действие</w:t>
            </w:r>
          </w:p>
        </w:tc>
        <w:tc>
          <w:tcPr>
            <w:tcW w:type="dxa" w:w="1134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Позиций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 действия, млн ₽</w:t>
            </w:r>
          </w:p>
        </w:tc>
        <w:tc>
          <w:tcPr>
            <w:tcW w:type="dxa" w:w="170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Эффект, млн ₽/год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Срок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199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6,03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3,63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2026-09-25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3,56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3,17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1,70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36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1,60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34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Уценить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0,35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2026-10-23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2,23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0,73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2026-09-16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Вывести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0,17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0,49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0,53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2026-10-11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Пересмотреть закупку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0,69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Переместить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2026-10-16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— мелочь пакетом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0,12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Рассмотреть ввод в матрицу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2026-11-08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Arial" w:hAnsi="Arial"/>
                <w:sz w:val="16"/>
              </w:rPr>
              <w:t>Дозаказать — остальное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0,04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0,01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2026-10-14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Цена бездействия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Если не делать ничего — за квартал</w:t>
            </w:r>
          </w:p>
        </w:tc>
        <w:tc>
          <w:tcPr>
            <w:tcW w:type="dxa" w:w="2268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Сумма, млн ₽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неликвида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0,84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Содержание медленного товара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1,42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Упущенная прибыль на дефиците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0,28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ИТОГО потерь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2,54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Останется замороженным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10,33</w:t>
            </w:r>
          </w:p>
        </w:tc>
      </w:tr>
    </w:tbl>
    <w:p>
      <w:pPr>
        <w:spacing w:after="40"/>
      </w:pPr>
    </w:p>
    <w:p>
      <w:pPr>
        <w:spacing w:before="260" w:after="100"/>
      </w:pPr>
      <w:r>
        <w:rPr>
          <w:rFonts w:ascii="Arial" w:hAnsi="Arial"/>
          <w:b/>
          <w:color w:val="1F3864"/>
          <w:sz w:val="30"/>
        </w:rPr>
        <w:t>9. Качество данных и оговорки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419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Проблема</w:t>
            </w:r>
          </w:p>
        </w:tc>
        <w:tc>
          <w:tcPr>
            <w:tcW w:type="dxa" w:w="1361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Объём</w:t>
            </w:r>
          </w:p>
        </w:tc>
        <w:tc>
          <w:tcPr>
            <w:tcW w:type="dxa" w:w="351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Последствие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Продажи по символической цене (оборот ниже 20% себестоимости)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229 строк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Искажают маржу и GMROI по SKU и брендам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Расхождение статуса SKU: рабочая матрица против сквозной аналитики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642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Статус в сквозной устарел; в расчёте взят актуальный из рабочей матрицы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SKU рабочей матрицы отсутствуют в каталоге сквозной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154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Позиции выпадают из всех сводных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Складские SKU без норм в матрице пополнения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215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Не попадают в расчёт пополнения и OOS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Цена за ед. изм. в сквозной равна нулю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14871 SKU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Цены берутся из файла динамики стоков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Arial" w:hAnsi="Arial"/>
                <w:sz w:val="16"/>
              </w:rPr>
              <w:t>Нет дневной истории остатков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—</w:t>
            </w:r>
          </w:p>
        </w:tc>
        <w:tc>
          <w:tcPr>
            <w:tcW w:type="dxa" w:w="3515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OOS считается помесячно; дневная точность появится за 2–3 недели накопления</w:t>
            </w:r>
          </w:p>
        </w:tc>
      </w:tr>
    </w:tbl>
    <w:p>
      <w:pPr>
        <w:spacing w:after="40"/>
      </w:pPr>
    </w:p>
    <w:p>
      <w:pPr>
        <w:spacing w:before="180" w:after="100"/>
      </w:pPr>
      <w:r>
        <w:rPr>
          <w:rFonts w:ascii="Arial" w:hAnsi="Arial"/>
          <w:b/>
          <w:color w:val="1F3864"/>
          <w:sz w:val="24"/>
        </w:rPr>
        <w:t>Что посчитано точно, а что оценочно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4535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3969"/>
            <w:shd w:fill="1F3864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Надёжность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Запас, оборот, валовая прибыль, GMROI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— из учётных данных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Дефицит OOS, Fill Rate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точно в пределах помесячной гранулярности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Упущенные продажи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зависит от коэффициента возврата покупателя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Эффект от вывода и уценки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предполагает реализацию по себестоимости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Arial" w:hAnsi="Arial"/>
                <w:sz w:val="16"/>
              </w:rPr>
              <w:t>Цена бездействия</w:t>
            </w:r>
          </w:p>
        </w:tc>
        <w:tc>
          <w:tcPr>
            <w:tcW w:type="dxa" w:w="3969"/>
          </w:tcPr>
          <w:p>
            <w:pPr>
              <w:jc w:val="right"/>
            </w:pPr>
            <w:r/>
            <w:r>
              <w:rPr>
                <w:rFonts w:ascii="Arial" w:hAnsi="Arial"/>
                <w:sz w:val="16"/>
              </w:rPr>
              <w:t>оценка: линейная экстраполяция текущего состояния</w:t>
            </w:r>
          </w:p>
        </w:tc>
      </w:tr>
    </w:tbl>
    <w:p>
      <w:pPr>
        <w:spacing w:after="40"/>
      </w:pPr>
    </w:p>
    <w:p>
      <w:pPr>
        <w:spacing w:before="280"/>
      </w:pPr>
      <w:r>
        <w:rPr>
          <w:rFonts w:ascii="Arial" w:hAnsi="Arial"/>
          <w:i/>
          <w:sz w:val="16"/>
        </w:rPr>
        <w:t>Методика: период 01.01–11.09.2026 (254 дней), годовое приведение ×1.437. GMROI = валовая прибыль за год / средний запас по себестоимости. Стоимость владения 56,6 % годовых. Дефицит считается только с месяца появления позиции в ассортименте. Из списка на вывод исключены позиции моложе 90 дней. Возраст запаса — средневзвешенный по деньгам: позиция обычно состоит из нескольких партий разного возраста, и одна свежая коробка не должна омолаживать весь остаток. Относительные метрики не рассчитываются при запасе менее 10 000 ₽. Детальные расчёты — в файле Excel, лист «_Оглавление» объясняет остальные.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794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стр. </w:t>
    </w:r>
    <w:r>
      <w:fldChar w:fldCharType="begin"/>
      <w:instrText xml:space="preserve">PAGE</w:instrText>
      <w:fldChar w:fldCharType="separate"/>
      <w:t>…</w:t>
      <w:fldChar w:fldCharType="end"/>
    </w:r>
    <w:r>
      <w:rPr>
        <w:rFonts w:ascii="Arial" w:hAnsi="Arial"/>
        <w:color w:val="6B7280"/>
        <w:sz w:val="16"/>
      </w:rPr>
      <w:t xml:space="preserve"> из </w:t>
    </w:r>
    <w:r>
      <w:fldChar w:fldCharType="begin"/>
      <w:instrText xml:space="preserve">NUMPAGES</w:instrText>
      <w:fldChar w:fldCharType="separate"/>
      <w:t>…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Категорийная аналитика РТГ · данные на 11.09.2026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