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40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26"/>
        </w:rPr>
        <w:t>Категорийный анализ товарного портфеля</w:t>
        <w:br/>
        <w:t>Дивизион РТГ</w:t>
      </w:r>
    </w:p>
    <w:p>
      <w:pPr>
        <w:jc w:val="center"/>
      </w:pPr>
      <w:r>
        <w:rPr>
          <w:rFonts w:ascii="Arial" w:hAnsi="Arial"/>
          <w:i/>
          <w:sz w:val="20"/>
        </w:rPr>
        <w:t>Данные на 10.09.2026 · период 01.01–10.09.2026 (253 дней)</w:t>
      </w:r>
    </w:p>
    <w:p/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Резюме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Каждый рубль, вложенный в запас, возвращает 1,04 руб. валовой прибыли в год при стоимости владения этим рублём 0,57 руб. Экономическая прибыль периметра — 17,74 млн руб. в год.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Запас текущий 43,41 млн руб., оборот за период 105,01 млн руб., маржа 25,8 %.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1 904 SKU из 5 948 не продались ни разу за период; 1 310 из них лежат на складе на 7,36 млн руб.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OOS 29,9 %, Fill Rate 84,1 %. Упущено 4,94 млн руб. оборота.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4 направлений не отрабатывают стоимость владения: запас 4,72 млн руб., убыток 1,71 млн руб. в год.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Что предлагается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Высвобождение, млн ₽</w:t>
            </w:r>
          </w:p>
        </w:tc>
        <w:tc>
          <w:tcPr>
            <w:tcW w:type="dxa" w:w="215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Arial" w:hAnsi="Arial"/>
                <w:sz w:val="16"/>
              </w:rPr>
              <w:t>1. Вывод и уценка неликвида (1 310 SKU)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7,36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мес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Arial" w:hAnsi="Arial"/>
                <w:sz w:val="16"/>
              </w:rPr>
              <w:t>2. Сокращение медленного товара вдвое (490 SKU)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5,06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мес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Arial" w:hAnsi="Arial"/>
                <w:sz w:val="16"/>
              </w:rPr>
              <w:t>3. Перемещение вместо закупки (261 SKU)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нед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Arial" w:hAnsi="Arial"/>
                <w:sz w:val="16"/>
              </w:rPr>
              <w:t>4. Закрытие дефицита по ходовым (221 SKU)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4,94 оборота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мес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Arial" w:hAnsi="Arial"/>
                <w:sz w:val="16"/>
              </w:rPr>
              <w:t>ИТОГО (без двойного счёта)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13,40</w:t>
            </w:r>
          </w:p>
        </w:tc>
        <w:tc>
          <w:tcPr>
            <w:tcW w:type="dxa" w:w="215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4,34 + 4,94 оборота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Как читать рентабельность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Основная метрика — GMROI: валовая прибыль за год, делённая на средний запас по себестоимости. Порог для нас — 0,57. Это корпоративная ставка стоимости владения (хранение 34,6 % + капитал 22,0 %). Категория с GMROI ниже порога не окупает собственное хранение и финансирование, каким бы ни был её процент маржи.</w:t>
      </w:r>
    </w:p>
    <w:p>
      <w:r>
        <w:br w:type="page"/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1. Рентабельность по уровням товарной иерархии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Уровень 1. Группы планирования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5 480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84,19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Группы Комфорт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Группы Термо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Группы Вент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Уровень 2. Товарные направления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22,47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13,58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15,41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ИСРМ · Группы Термо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Трубы · Группы Комфорт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-137,1 %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-1,84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Группы Термо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 · Группы Вент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 0,57: Промышленное тепловое оборуд, Водоснабжение, Инструмент и оснастка, Вент Холод. Совокупный запас 4,72 млн руб., убыток 1,71 млн руб. в год.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Уровень 3. 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-286,6 %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-3,57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изделия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 · Группы коллекторные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-1,5 %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 · Прочее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металлопластиковых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(бесшумные) дл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внутренней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эти группы держат 11,15 млн руб. запаса и приносят 2,63 млн руб. убытка в год. Это первоочередной список для сокращения ассортимента.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Полная иерархия до Группы 3 — листы 03–05 приложения.</w:t>
      </w:r>
    </w:p>
    <w:p>
      <w:r>
        <w:br w:type="page"/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2. Рентабельность по брендам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Крупнейшие бренды периметра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8,54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45 %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РИДАН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44,84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МАЛАХИТ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Башполимер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Теплосеть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т.ч. 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−0,06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−0,06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7,25 млн руб., убыток 3,00 млн руб. в год.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Полные данные — листы «06.Бренды» и «07.Бренд x Направление».</w:t>
      </w:r>
    </w:p>
    <w:p>
      <w:r>
        <w:br w:type="page"/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3. Сегментация по складам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3.1. Филиалы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4 363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58,63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4 299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3.2. 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5 830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85,96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43,14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2 492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-20,6 %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3.3. 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3 817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40,71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Осн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2 855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 xml:space="preserve">Пермь Чайковский РТГ Основной 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3 374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11,61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скл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1 897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8,24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Cash&amp;Carr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1 103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1 102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69,36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Cas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1 345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6. Суммарный убыток 1,32 млн руб.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1 275 290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785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-478 798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1 073 137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-366 320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2078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-140 326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10 913 003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9 259 874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-48 280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1839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-33 308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Обратите внимание на площадки с нулевым текущим остатком, но существенным средним запасом: товар пролежал там большую часть периода и был вывезен или списан. Это скрытые буферы неликвида.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3.4. 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11,21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-0,20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Строка — категория, столбец — склад. Значение ниже 0,57 означает, что категория на этом складе не окупает хранение. Прочерк — запас несущественный. Полные матрицы — листы 19–22.</w:t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4. Сегментация спроса (XYZ)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Эк. прибыль, млн ₽/год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Z нерегулярный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3 694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70,00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11,16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Y сезонный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33,52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X стабильный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— нет продаж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-193447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−3,07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66,7 % оборота приходится на сегмент Z — товар с нерегулярным спросом. Именно этим объясняется одновременное существование засолов и дефицита: такой спрос не ловится классическими нормами min/max. Для сегмента Z нормы надо считать не от среднего спроса, а от частоты обращений и срока поставки, часть позиций переводить в заказные.</w:t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84,1 %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70,1 %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95 633 ед.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Упущенные продажи (коэф. 0,30)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4,94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Упущенные продажи, верхняя оценка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16,45 млн ₽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8 724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4 195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48,1 %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7 137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2 457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34,4 %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10 473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2 290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9 534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1 795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18,8 %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6. План действий</w:t>
      </w:r>
    </w:p>
    <w:p>
      <w:pPr>
        <w:spacing w:before="200" w:after="100"/>
      </w:pPr>
      <w:r>
        <w:rPr>
          <w:rFonts w:ascii="Arial" w:hAnsi="Arial"/>
          <w:b/>
          <w:color w:val="C00000"/>
          <w:sz w:val="24"/>
        </w:rPr>
        <w:t>Решение 1. Вывод и уценка неликвида — 7,36 млн ₽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1 310 SKU имеют остаток и ноль продаж за период. Заморожено 7,36 млн руб., содержание 1,93 млн руб. в год.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Септик АОС МАЛАХИТ GEO 5 ПР (высота 1500, врезка 520) — 374 400 руб.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Бокс уличный САРМАТ для КНГ 32-50, белый — 373 000 руб.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Система инсталляции BETTOSERB для подвесного унитаза Sava  — 148 500 руб.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Комплект петель ХОММЕТ для профиля, 99999999 — 108 900 руб.</w:t>
      </w:r>
    </w:p>
    <w:p>
      <w:pPr>
        <w:pStyle w:val="ListBullet"/>
        <w:spacing w:after="60"/>
      </w:pPr>
      <w:r>
        <w:rPr>
          <w:rFonts w:ascii="Arial" w:hAnsi="Arial"/>
          <w:sz w:val="19"/>
        </w:rPr>
        <w:t>Установка очистки воды Акватек кабинетная, АТ-Cab1035 — 81 757 руб.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Уценка до 30 % на позиции старше 180 дней, возврат поставщику, списание остатков дешевле 1 000 руб.</w:t>
      </w:r>
    </w:p>
    <w:p>
      <w:pPr>
        <w:spacing w:before="200" w:after="100"/>
      </w:pPr>
      <w:r>
        <w:rPr>
          <w:rFonts w:ascii="Arial" w:hAnsi="Arial"/>
          <w:b/>
          <w:color w:val="C00000"/>
          <w:sz w:val="24"/>
        </w:rPr>
        <w:t>Решение 2. Сокращение медленного товара — 5,06 млн ₽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490 SKU продаются, но запас превышает 180 дней и содержание дороже приносимой прибыли: 10,13 млн руб. запаса, чистый минус 3,75 млн руб. в год.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Остановить закупку, распродать до 90-дневного запаса, пересмотреть нормы min/max.</w:t>
      </w:r>
    </w:p>
    <w:p>
      <w:pPr>
        <w:spacing w:before="200" w:after="100"/>
      </w:pPr>
      <w:r>
        <w:rPr>
          <w:rFonts w:ascii="Arial" w:hAnsi="Arial"/>
          <w:b/>
          <w:color w:val="1F3864"/>
          <w:sz w:val="24"/>
        </w:rPr>
        <w:t>Решение 3. Перемещение вместо закупки — 1,03 млн ₽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261 SKU товар лежит без спроса на одном складе и отсутствует на другом, где спрос есть. Перераспределение закрывает дефицит без новых закупок.</w:t>
      </w:r>
    </w:p>
    <w:p>
      <w:pPr>
        <w:spacing w:before="200" w:after="100"/>
      </w:pPr>
      <w:r>
        <w:rPr>
          <w:rFonts w:ascii="Arial" w:hAnsi="Arial"/>
          <w:b/>
          <w:color w:val="00713C"/>
          <w:sz w:val="24"/>
        </w:rPr>
        <w:t>Решение 4. Закрытие дефицита по ходовым — 4,94 млн ₽ оборота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221 SKU классов A и B с маржой выше 20 % и OOS выше 30 %. Средний OOS группы 49,7 %, маржа 36,5 %, оборот 20,88 млн руб.</w:t>
      </w:r>
    </w:p>
    <w:p>
      <w:pPr>
        <w:spacing w:before="200" w:after="100"/>
      </w:pPr>
      <w:r>
        <w:rPr>
          <w:rFonts w:ascii="Arial" w:hAnsi="Arial"/>
          <w:b/>
          <w:color w:val="ED7D31"/>
          <w:sz w:val="24"/>
        </w:rPr>
        <w:t>Решение 5. Проверить продажи по символической цене — 1,26 млн ₽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229 строк, где товар себестоимостью 1,37 млн руб. отгружен за 0,12 млн руб. Требуется проверка с бухгалтерией: комплектация, демофонд или ошибка ценообразования. Без неё маржа и GMROI по SKU и брендам искажены.</w:t>
      </w:r>
    </w:p>
    <w:p>
      <w:pPr>
        <w:spacing w:before="280" w:after="100"/>
      </w:pPr>
      <w:r>
        <w:rPr>
          <w:rFonts w:ascii="Arial" w:hAnsi="Arial"/>
          <w:b/>
          <w:color w:val="1F3864"/>
          <w:sz w:val="30"/>
        </w:rPr>
        <w:t>7. Качество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229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Конфликт стратегии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Сводные показывают устаревший статус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157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14865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rFonts w:ascii="Arial" w:hAnsi="Arial"/>
          <w:i/>
          <w:sz w:val="16"/>
        </w:rPr>
        <w:t>Методика: период 01.01–10.09.2026 (253 дней), годовое приведение ×1.443. GMROI = валовая прибыль за год / средний запас по себестоимости за период. Стоимость владения 56,6 % годовых. Относительные метрики не рассчитываются для узлов с запасом менее 10 000 руб. Отчёт сформирован автоматически.</w:t>
      </w:r>
    </w:p>
    <w:sectPr w:rsidR="00FC693F" w:rsidRPr="0006063C" w:rsidSect="00034616">
      <w:pgSz w:w="12240" w:h="15840"/>
      <w:pgMar w:top="907" w:right="794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