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Arial" w:hAnsi="Arial"/>
          <w:b/>
          <w:color w:val="1F3864"/>
          <w:sz w:val="52"/>
        </w:rPr>
        <w:t>АНАЛИТИЧЕСКАЯ ЗАПИСКА</w:t>
      </w:r>
    </w:p>
    <w:p>
      <w:pPr>
        <w:jc w:val="center"/>
      </w:pPr>
      <w:r>
        <w:rPr>
          <w:rFonts w:ascii="Arial" w:hAnsi="Arial"/>
          <w:sz w:val="30"/>
        </w:rPr>
        <w:t>Категорийный анализ товарного портфеля</w:t>
      </w:r>
    </w:p>
    <w:p>
      <w:pPr>
        <w:jc w:val="center"/>
      </w:pPr>
      <w:r>
        <w:rPr>
          <w:rFonts w:ascii="Arial" w:hAnsi="Arial"/>
          <w:b/>
          <w:sz w:val="30"/>
        </w:rPr>
        <w:t>Дивизион РТГ</w:t>
      </w:r>
    </w:p>
    <w:p/>
    <w:p/>
    <w:p/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3061"/>
          </w:tcPr>
          <w:p>
            <w:r/>
            <w:r>
              <w:rPr>
                <w:rFonts w:ascii="Arial" w:hAnsi="Arial"/>
                <w:b w:val="0"/>
                <w:color w:val="6B7280"/>
                <w:sz w:val="21"/>
              </w:rPr>
              <w:t>Расчёт выполнен</w:t>
            </w:r>
          </w:p>
        </w:tc>
        <w:tc>
          <w:tcPr>
            <w:tcW w:type="dxa" w:w="5329"/>
          </w:tcPr>
          <w:p>
            <w:r/>
            <w:r>
              <w:rPr>
                <w:rFonts w:ascii="Arial" w:hAnsi="Arial"/>
                <w:b/>
                <w:sz w:val="21"/>
              </w:rPr>
              <w:t>15.09.2026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Arial" w:hAnsi="Arial"/>
                <w:b w:val="0"/>
                <w:color w:val="6B7280"/>
                <w:sz w:val="21"/>
              </w:rPr>
              <w:t>Данные в отчёте по</w:t>
            </w:r>
          </w:p>
        </w:tc>
        <w:tc>
          <w:tcPr>
            <w:tcW w:type="dxa" w:w="5329"/>
          </w:tcPr>
          <w:p>
            <w:r/>
            <w:r>
              <w:rPr>
                <w:rFonts w:ascii="Arial" w:hAnsi="Arial"/>
                <w:b/>
                <w:sz w:val="21"/>
              </w:rPr>
              <w:t>11.09.2026   (выгрузка от 14.09.2026)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Arial" w:hAnsi="Arial"/>
                <w:b w:val="0"/>
                <w:color w:val="6B7280"/>
                <w:sz w:val="21"/>
              </w:rPr>
              <w:t>Период анализа</w:t>
            </w:r>
          </w:p>
        </w:tc>
        <w:tc>
          <w:tcPr>
            <w:tcW w:type="dxa" w:w="5329"/>
          </w:tcPr>
          <w:p>
            <w:r/>
            <w:r>
              <w:rPr>
                <w:rFonts w:ascii="Arial" w:hAnsi="Arial"/>
                <w:b/>
                <w:sz w:val="21"/>
              </w:rPr>
              <w:t>01.01 - 11.09.2026 (254 дней)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Arial" w:hAnsi="Arial"/>
                <w:b w:val="0"/>
                <w:color w:val="6B7280"/>
                <w:sz w:val="21"/>
              </w:rPr>
              <w:t>Периметр</w:t>
            </w:r>
          </w:p>
        </w:tc>
        <w:tc>
          <w:tcPr>
            <w:tcW w:type="dxa" w:w="5329"/>
          </w:tcPr>
          <w:p>
            <w:r/>
            <w:r>
              <w:rPr>
                <w:rFonts w:ascii="Arial" w:hAnsi="Arial"/>
                <w:b/>
                <w:sz w:val="21"/>
              </w:rPr>
              <w:t>5 955 SKU, 41,75 млн руб. запаса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Arial" w:hAnsi="Arial"/>
                <w:b w:val="0"/>
                <w:color w:val="6B7280"/>
                <w:sz w:val="21"/>
              </w:rPr>
              <w:t>Подготовлено</w:t>
            </w:r>
          </w:p>
        </w:tc>
        <w:tc>
          <w:tcPr>
            <w:tcW w:type="dxa" w:w="5329"/>
          </w:tcPr>
          <w:p>
            <w:r/>
            <w:r>
              <w:rPr>
                <w:rFonts w:ascii="Arial" w:hAnsi="Arial"/>
                <w:b/>
                <w:sz w:val="21"/>
              </w:rPr>
              <w:t>автоматически, категорийная аналитика РТГ</w:t>
            </w:r>
          </w:p>
        </w:tc>
      </w:tr>
    </w:tbl>
    <w:p/>
    <w:p/>
    <w:p/>
    <w:p/>
    <w:p/>
    <w:p/>
    <w:p/>
    <w:p>
      <w:pPr>
        <w:jc w:val="center"/>
      </w:pPr>
      <w:r>
        <w:rPr>
          <w:rFonts w:ascii="Arial" w:hAnsi="Arial"/>
          <w:i/>
          <w:color w:val="6B7280"/>
          <w:sz w:val="17"/>
        </w:rPr>
        <w:t>Документ содержит коммерческую информацию</w:t>
      </w:r>
    </w:p>
    <w:p>
      <w:r>
        <w:br w:type="page"/>
      </w:r>
    </w:p>
    <w:p>
      <w:pPr>
        <w:spacing w:before="260" w:after="100"/>
      </w:pPr>
      <w:r>
        <w:rPr>
          <w:rFonts w:ascii="Arial" w:hAnsi="Arial"/>
          <w:b/>
          <w:color w:val="1F3864"/>
          <w:sz w:val="30"/>
        </w:rPr>
        <w:t>Содержание</w:t>
      </w:r>
    </w:p>
    <w:p>
      <w:r>
        <w:fldChar w:fldCharType="begin"/>
        <w:instrText xml:space="preserve">TOC \o "1-2" \h \z \u</w:instrText>
        <w:fldChar w:fldCharType="separate"/>
        <w:t>…</w:t>
        <w:fldChar w:fldCharType="end"/>
      </w:r>
    </w:p>
    <w:p>
      <w:pPr>
        <w:spacing w:after="100"/>
        <w:jc w:val="both"/>
      </w:pPr>
      <w:r>
        <w:rPr>
          <w:rFonts w:ascii="Arial" w:hAnsi="Arial"/>
          <w:b w:val="0"/>
          <w:i/>
          <w:sz w:val="17"/>
        </w:rPr>
        <w:t>Чтобы номера страниц заполнились, нажмите Ctrl+A, затем F9 и выберите «Обновить целиком». Word делает это один раз при первом открытии.</w:t>
      </w:r>
    </w:p>
    <w:p>
      <w:r>
        <w:br w:type="page"/>
      </w:r>
    </w:p>
    <w:p>
      <w:pPr>
        <w:spacing w:after="100"/>
        <w:jc w:val="both"/>
      </w:pPr>
      <w:r>
        <w:rPr>
          <w:rFonts w:ascii="Arial" w:hAnsi="Arial"/>
          <w:b w:val="0"/>
          <w:i/>
          <w:color w:val="6B7280"/>
          <w:sz w:val="18"/>
        </w:rPr>
        <w:t>Выгрузка сделана 14.09.2026, но последние данные в ней — за 11.09.2026. Отчёт построен по фактическим данным, то есть по 11.09.2026: продажи за более поздние дни в хранилище ещё не попали.</w:t>
      </w:r>
    </w:p>
    <w:p>
      <w:pPr>
        <w:spacing w:before="260" w:after="100"/>
      </w:pPr>
      <w:r>
        <w:rPr>
          <w:rFonts w:ascii="Arial" w:hAnsi="Arial"/>
          <w:b/>
          <w:color w:val="1F3864"/>
          <w:sz w:val="30"/>
        </w:rPr>
        <w:t>Главное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EDF1F7"/>
            <w:tcBorders>
              <w:left w:val="single" w:sz="24" w:color="1F3864"/>
              <w:top w:val="single" w:sz="4" w:color="D6DCE5"/>
              <w:bottom w:val="single" w:sz="4" w:color="D6DCE5"/>
              <w:right w:val="single" w:sz="4" w:color="D6DCE5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  <w:b/>
                <w:color w:val="1F3864"/>
                <w:sz w:val="21"/>
              </w:rPr>
              <w:t>Каждый рубль запаса приносит 1,05 руб. валовой прибыли в год при стоимости владения 0,57 руб. Портфель окупается, но запас прочности небольшой.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2608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</w:r>
          </w:p>
        </w:tc>
        <w:tc>
          <w:tcPr>
            <w:tcW w:type="dxa" w:w="1928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Значение</w:t>
            </w:r>
          </w:p>
        </w:tc>
        <w:tc>
          <w:tcPr>
            <w:tcW w:type="dxa" w:w="5102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Что это значит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Arial" w:hAnsi="Arial"/>
                <w:sz w:val="18"/>
              </w:rPr>
              <w:t>Запас периметра</w:t>
            </w:r>
          </w:p>
        </w:tc>
        <w:tc>
          <w:tcPr>
            <w:tcW w:type="dxa" w:w="1928"/>
          </w:tcPr>
          <w:p>
            <w:pPr>
              <w:jc w:val="right"/>
            </w:pPr>
            <w:r/>
            <w:r>
              <w:rPr>
                <w:rFonts w:ascii="Arial" w:hAnsi="Arial"/>
                <w:sz w:val="18"/>
              </w:rPr>
              <w:t>41,75 млн ₽</w:t>
            </w:r>
          </w:p>
        </w:tc>
        <w:tc>
          <w:tcPr>
            <w:tcW w:type="dxa" w:w="5102"/>
          </w:tcPr>
          <w:p>
            <w:pPr>
              <w:jc w:val="right"/>
            </w:pPr>
            <w:r/>
            <w:r>
              <w:rPr>
                <w:rFonts w:ascii="Arial" w:hAnsi="Arial"/>
                <w:sz w:val="18"/>
              </w:rPr>
              <w:t>из них 7,12 млн ₽ не продаётся вовсе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Arial" w:hAnsi="Arial"/>
                <w:sz w:val="18"/>
              </w:rPr>
              <w:t>Дефицит (OOS)</w:t>
            </w:r>
          </w:p>
        </w:tc>
        <w:tc>
          <w:tcPr>
            <w:tcW w:type="dxa" w:w="1928"/>
          </w:tcPr>
          <w:p>
            <w:pPr>
              <w:jc w:val="right"/>
            </w:pPr>
            <w:r/>
            <w:r>
              <w:rPr>
                <w:rFonts w:ascii="Arial" w:hAnsi="Arial"/>
                <w:sz w:val="18"/>
              </w:rPr>
              <w:t>24,0 %</w:t>
            </w:r>
          </w:p>
        </w:tc>
        <w:tc>
          <w:tcPr>
            <w:tcW w:type="dxa" w:w="5102"/>
          </w:tcPr>
          <w:p>
            <w:pPr>
              <w:jc w:val="right"/>
            </w:pPr>
            <w:r/>
            <w:r>
              <w:rPr>
                <w:rFonts w:ascii="Arial" w:hAnsi="Arial"/>
                <w:sz w:val="18"/>
              </w:rPr>
              <w:t>недополучено 3,26 млн ₽ оборота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Arial" w:hAnsi="Arial"/>
                <w:sz w:val="18"/>
              </w:rPr>
              <w:t>Можно высвободить</w:t>
            </w:r>
          </w:p>
        </w:tc>
        <w:tc>
          <w:tcPr>
            <w:tcW w:type="dxa" w:w="1928"/>
          </w:tcPr>
          <w:p>
            <w:pPr>
              <w:jc w:val="right"/>
            </w:pPr>
            <w:r/>
            <w:r>
              <w:rPr>
                <w:rFonts w:ascii="Arial" w:hAnsi="Arial"/>
                <w:sz w:val="18"/>
              </w:rPr>
              <w:t>10,97 млн ₽</w:t>
            </w:r>
          </w:p>
        </w:tc>
        <w:tc>
          <w:tcPr>
            <w:tcW w:type="dxa" w:w="5102"/>
          </w:tcPr>
          <w:p>
            <w:pPr>
              <w:jc w:val="right"/>
            </w:pPr>
            <w:r/>
            <w:r>
              <w:rPr>
                <w:rFonts w:ascii="Arial" w:hAnsi="Arial"/>
                <w:sz w:val="18"/>
              </w:rPr>
              <w:t>плюс 5,50 млн ₽/год экономии на хранении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DECEA"/>
            <w:tcBorders>
              <w:left w:val="single" w:sz="24" w:color="C00000"/>
              <w:top w:val="single" w:sz="4" w:color="D6DCE5"/>
              <w:bottom w:val="single" w:sz="4" w:color="D6DCE5"/>
              <w:right w:val="single" w:sz="4" w:color="D6DCE5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  <w:b/>
                <w:color w:val="C00000"/>
                <w:sz w:val="21"/>
              </w:rPr>
              <w:t>Если не делать ничего, за квартал потеряем 2,54 млн ₽: 2,26 млн на содержании ненужного запаса и 0,28 млн упущенной прибыли на дефиците. При этом 10,33 млн ₽ остаются замороженными.</w:t>
            </w:r>
          </w:p>
        </w:tc>
      </w:tr>
    </w:tbl>
    <w:p>
      <w:pPr>
        <w:spacing w:after="80"/>
      </w:pPr>
    </w:p>
    <w:p>
      <w:pPr>
        <w:spacing w:before="180" w:after="100"/>
      </w:pPr>
      <w:r>
        <w:rPr>
          <w:rFonts w:ascii="Arial" w:hAnsi="Arial"/>
          <w:b/>
          <w:color w:val="1F3864"/>
          <w:sz w:val="24"/>
        </w:rPr>
        <w:t>Выполнение плана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2381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Вид плана</w:t>
            </w:r>
          </w:p>
        </w:tc>
        <w:tc>
          <w:tcPr>
            <w:tcW w:type="dxa" w:w="1701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План, млн ₽</w:t>
            </w:r>
          </w:p>
        </w:tc>
        <w:tc>
          <w:tcPr>
            <w:tcW w:type="dxa" w:w="1701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Факт, млн ₽</w:t>
            </w:r>
          </w:p>
        </w:tc>
        <w:tc>
          <w:tcPr>
            <w:tcW w:type="dxa" w:w="1701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Разница, млн ₽</w:t>
            </w:r>
          </w:p>
        </w:tc>
        <w:tc>
          <w:tcPr>
            <w:tcW w:type="dxa" w:w="158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Выполнение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Arial" w:hAnsi="Arial"/>
                <w:sz w:val="18"/>
              </w:rPr>
              <w:t>ИТАН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8"/>
              </w:rPr>
              <w:t>128,99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8"/>
              </w:rPr>
              <w:t>100,22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8"/>
              </w:rPr>
              <w:t>−28,76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rFonts w:ascii="Arial" w:hAnsi="Arial"/>
                <w:sz w:val="18"/>
              </w:rPr>
              <w:t>77,7 %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Arial" w:hAnsi="Arial"/>
                <w:sz w:val="18"/>
              </w:rPr>
              <w:t>Оперативный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8"/>
              </w:rPr>
              <w:t>142,54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8"/>
              </w:rPr>
              <w:t>100,22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8"/>
              </w:rPr>
              <w:t>−42,32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rFonts w:ascii="Arial" w:hAnsi="Arial"/>
                <w:sz w:val="18"/>
              </w:rPr>
              <w:t>70,3 %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Arial" w:hAnsi="Arial"/>
                <w:sz w:val="18"/>
              </w:rPr>
              <w:t>Дефицит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8"/>
              </w:rPr>
              <w:t>133,10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8"/>
              </w:rPr>
              <w:t>100,22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8"/>
              </w:rPr>
              <w:t>−32,88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rFonts w:ascii="Arial" w:hAnsi="Arial"/>
                <w:sz w:val="18"/>
              </w:rPr>
              <w:t>75,3 %</w:t>
            </w:r>
          </w:p>
        </w:tc>
      </w:tr>
    </w:tbl>
    <w:p>
      <w:pPr>
        <w:spacing w:after="40"/>
      </w:pPr>
    </w:p>
    <w:p>
      <w:pPr>
        <w:spacing w:after="100"/>
        <w:jc w:val="both"/>
      </w:pPr>
      <w:r>
        <w:rPr>
          <w:rFonts w:ascii="Arial" w:hAnsi="Arial"/>
          <w:b w:val="0"/>
          <w:i/>
          <w:sz w:val="17"/>
        </w:rPr>
        <w:t>За 8 завершённых месяцев. Текущий месяц не учитывается — он неполный.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DECEA"/>
            <w:tcBorders>
              <w:left w:val="single" w:sz="24" w:color="C00000"/>
              <w:top w:val="single" w:sz="4" w:color="D6DCE5"/>
              <w:bottom w:val="single" w:sz="4" w:color="D6DCE5"/>
              <w:right w:val="single" w:sz="4" w:color="D6DCE5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  <w:b/>
                <w:color w:val="C00000"/>
                <w:sz w:val="21"/>
              </w:rPr>
              <w:t>План выполнен на 77,7 %. Отставание 28,76 млн ₽ за 8 месяцев — это главный вопрос, на который отвечает вся остальная записка.</w:t>
            </w:r>
          </w:p>
        </w:tc>
      </w:tr>
    </w:tbl>
    <w:p>
      <w:pPr>
        <w:spacing w:after="80"/>
      </w:pPr>
    </w:p>
    <w:p>
      <w:pPr>
        <w:spacing w:before="180" w:after="100"/>
      </w:pPr>
      <w:r>
        <w:rPr>
          <w:rFonts w:ascii="Arial" w:hAnsi="Arial"/>
          <w:b/>
          <w:color w:val="1F3864"/>
          <w:sz w:val="24"/>
        </w:rPr>
        <w:t>Сравнение с прошлым годом</w:t>
      </w:r>
    </w:p>
    <w:p>
      <w:pPr>
        <w:spacing w:after="100"/>
        <w:jc w:val="both"/>
      </w:pPr>
      <w:r>
        <w:rPr>
          <w:rFonts w:ascii="Arial" w:hAnsi="Arial"/>
          <w:b/>
          <w:i w:val="0"/>
          <w:sz w:val="21"/>
        </w:rPr>
        <w:t>За те же 8 месяцев: 104,03 млн ₽ в прошлом году против 100,22 млн ₽ в этом — -3,7 %.</w:t>
      </w:r>
    </w:p>
    <w:p>
      <w:pPr>
        <w:spacing w:after="100"/>
        <w:jc w:val="both"/>
      </w:pPr>
      <w:r>
        <w:rPr>
          <w:rFonts w:ascii="Arial" w:hAnsi="Arial"/>
          <w:b w:val="0"/>
          <w:i/>
          <w:color w:val="6B7280"/>
          <w:sz w:val="18"/>
        </w:rPr>
        <w:t>Сравнение возможно только по периметру целиком: между годами товар переразнесли по направлениям (доля отдельных направлений сдвинулась до 78 п.п.). Сопоставлять направления год к году — сравнивать разные наборы товара. Как именно переразнесли — лист «0e.Сдвиг структуры».</w:t>
      </w:r>
    </w:p>
    <w:p>
      <w:pPr>
        <w:spacing w:before="180" w:after="100"/>
      </w:pPr>
      <w:r>
        <w:rPr>
          <w:rFonts w:ascii="Arial" w:hAnsi="Arial"/>
          <w:b/>
          <w:color w:val="1F3864"/>
          <w:sz w:val="24"/>
        </w:rPr>
        <w:t>Три решения по приоритету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249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Что сделать</w:t>
            </w:r>
          </w:p>
        </w:tc>
        <w:tc>
          <w:tcPr>
            <w:tcW w:type="dxa" w:w="1361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Высвободит, млн ₽</w:t>
            </w:r>
          </w:p>
        </w:tc>
        <w:tc>
          <w:tcPr>
            <w:tcW w:type="dxa" w:w="1361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Даст, млн ₽/год</w:t>
            </w:r>
          </w:p>
        </w:tc>
        <w:tc>
          <w:tcPr>
            <w:tcW w:type="dxa" w:w="1020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Срок</w:t>
            </w:r>
          </w:p>
        </w:tc>
        <w:tc>
          <w:tcPr>
            <w:tcW w:type="dxa" w:w="3402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Почему первым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Arial" w:hAnsi="Arial"/>
                <w:sz w:val="17"/>
              </w:rPr>
              <w:t>Дозаказ ходовых в дефиците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—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3,26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1 месяц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деньги нужны на закупку, но возврат самый быстрый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Arial" w:hAnsi="Arial"/>
                <w:sz w:val="17"/>
              </w:rPr>
              <w:t>Уценка медленного товара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4,94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2,84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3 месяца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нужно согласование скидки и работа менеджеров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Arial" w:hAnsi="Arial"/>
                <w:sz w:val="17"/>
              </w:rPr>
              <w:t>Вывод неликвида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5,39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2,66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1 месяц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часть можно вернуть поставщику, часть списать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EAF5EC"/>
            <w:tcBorders>
              <w:left w:val="single" w:sz="24" w:color="00713C"/>
              <w:top w:val="single" w:sz="4" w:color="D6DCE5"/>
              <w:bottom w:val="single" w:sz="4" w:color="D6DCE5"/>
              <w:right w:val="single" w:sz="4" w:color="D6DCE5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  <w:b/>
                <w:color w:val="00713C"/>
                <w:sz w:val="21"/>
              </w:rPr>
              <w:t>Прошу согласовать первый пункт: он не требует денег и закрывает часть дефицита за счёт уже купленного товара.</w:t>
            </w:r>
          </w:p>
        </w:tc>
      </w:tr>
    </w:tbl>
    <w:p>
      <w:pPr>
        <w:spacing w:after="80"/>
      </w:pPr>
    </w:p>
    <w:p>
      <w:pPr>
        <w:spacing w:before="180" w:after="100"/>
      </w:pPr>
      <w:r>
        <w:rPr>
          <w:rFonts w:ascii="Arial" w:hAnsi="Arial"/>
          <w:b/>
          <w:color w:val="1F3864"/>
          <w:sz w:val="24"/>
        </w:rPr>
        <w:t>Что изменилось с расчёта от 10.09.2026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3061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Показатель</w:t>
            </w:r>
          </w:p>
        </w:tc>
        <w:tc>
          <w:tcPr>
            <w:tcW w:type="dxa" w:w="158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Было</w:t>
            </w:r>
          </w:p>
        </w:tc>
        <w:tc>
          <w:tcPr>
            <w:tcW w:type="dxa" w:w="158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Стало</w:t>
            </w:r>
          </w:p>
        </w:tc>
        <w:tc>
          <w:tcPr>
            <w:tcW w:type="dxa" w:w="158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Изменение</w:t>
            </w:r>
          </w:p>
        </w:tc>
        <w:tc>
          <w:tcPr>
            <w:tcW w:type="dxa" w:w="124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Оценка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Arial" w:hAnsi="Arial"/>
                <w:sz w:val="17"/>
              </w:rPr>
              <w:t>Запас, ₽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43,41 млн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41,75 млн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-1,66 млн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color w:val="00713C"/>
                <w:sz w:val="17"/>
              </w:rPr>
              <w:t>лучше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Arial" w:hAnsi="Arial"/>
                <w:sz w:val="17"/>
              </w:rPr>
              <w:t>Оборот, ₽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105,01 млн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107,36 млн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+2,35 млн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color w:val="00713C"/>
                <w:sz w:val="17"/>
              </w:rPr>
              <w:t>лучше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Arial" w:hAnsi="Arial"/>
                <w:sz w:val="17"/>
              </w:rPr>
              <w:t>Валовая прибыль, ₽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27,07 млн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27,60 млн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+0,54 млн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color w:val="00713C"/>
                <w:sz w:val="17"/>
              </w:rPr>
              <w:t>лучше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Arial" w:hAnsi="Arial"/>
                <w:sz w:val="17"/>
              </w:rPr>
              <w:t>Прибыль за вычетом содержания, ₽/год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17,74 млн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18,36 млн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+0,62 млн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color w:val="00713C"/>
                <w:sz w:val="17"/>
              </w:rPr>
              <w:t>лучше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Arial" w:hAnsi="Arial"/>
                <w:sz w:val="17"/>
              </w:rPr>
              <w:t>Упущенные продажи, ₽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3,19 млн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3,26 млн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+0,08 млн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7"/>
              </w:rPr>
              <w:t>хуже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60" w:after="100"/>
      </w:pPr>
      <w:r>
        <w:rPr>
          <w:rFonts w:ascii="Arial" w:hAnsi="Arial"/>
          <w:b/>
          <w:color w:val="1F3864"/>
          <w:sz w:val="30"/>
        </w:rPr>
        <w:t>1. Где лежат деньги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18245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структура_запаса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8245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/>
          <w:color w:val="6B7280"/>
          <w:sz w:val="16"/>
        </w:rPr>
        <w:t>Структура запаса периметра по состоянию на 11.09.2026</w:t>
      </w:r>
    </w:p>
    <w:p>
      <w:pPr>
        <w:spacing w:after="100"/>
        <w:jc w:val="both"/>
      </w:pPr>
      <w:r>
        <w:rPr>
          <w:rFonts w:ascii="Arial" w:hAnsi="Arial"/>
          <w:b w:val="0"/>
          <w:i w:val="0"/>
          <w:sz w:val="21"/>
        </w:rPr>
        <w:t>Из 41,75 млн ₽ запаса 5,39 млн не продавались ни разу за период. Ещё 9,87 млн — медленный товар, содержание которого дороже приносимой им прибыли.</w:t>
      </w:r>
    </w:p>
    <w:p>
      <w:pPr>
        <w:spacing w:after="100"/>
        <w:jc w:val="both"/>
      </w:pPr>
      <w:r>
        <w:rPr>
          <w:rFonts w:ascii="Arial" w:hAnsi="Arial"/>
          <w:b w:val="0"/>
          <w:i/>
          <w:sz w:val="19"/>
        </w:rPr>
        <w:t>Отдельно выделены новинки: 129 позиций на 1,73 млн ₽ моложе 90 дней. Продаж по ним ещё нет, но это не неликвид — за ними надо наблюдать, а не выводить.</w:t>
      </w:r>
    </w:p>
    <w:p>
      <w:pPr>
        <w:spacing w:before="180" w:after="100"/>
      </w:pPr>
      <w:r>
        <w:rPr>
          <w:rFonts w:ascii="Arial" w:hAnsi="Arial"/>
          <w:b/>
          <w:color w:val="1F3864"/>
          <w:sz w:val="24"/>
        </w:rPr>
        <w:t>Запас растёт быстрее продаж?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25205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запас_оборот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5205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/>
          <w:color w:val="6B7280"/>
          <w:sz w:val="16"/>
        </w:rPr>
        <w:t>Оборот за месяц и запас на конец месяца, млн ₽</w:t>
      </w:r>
    </w:p>
    <w:p>
      <w:pPr>
        <w:spacing w:before="260" w:after="100"/>
      </w:pPr>
      <w:r>
        <w:rPr>
          <w:rFonts w:ascii="Arial" w:hAnsi="Arial"/>
          <w:b/>
          <w:color w:val="1F3864"/>
          <w:sz w:val="30"/>
        </w:rPr>
        <w:t>2. Рентабельность по направлениям</w:t>
      </w:r>
    </w:p>
    <w:p>
      <w:pPr>
        <w:spacing w:after="100"/>
        <w:jc w:val="both"/>
      </w:pPr>
      <w:r>
        <w:rPr>
          <w:rFonts w:ascii="Arial" w:hAnsi="Arial"/>
          <w:b w:val="0"/>
          <w:i w:val="0"/>
          <w:sz w:val="21"/>
        </w:rPr>
        <w:t>Основная метрика — GMROI: валовая прибыль за год на рубль среднего запаса. Порог 0,57 — это стоимость владения запасом (хранение 34,6 % + капитал 22,0 %). Ниже порога направление не окупает собственное хранение, какой бы ни была его маржа.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283899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gmroi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8389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/>
          <w:color w:val="6B7280"/>
          <w:sz w:val="16"/>
        </w:rPr>
        <w:t>Красным — направления, которые не окупают хранение</w:t>
      </w:r>
    </w:p>
    <w:p>
      <w:pPr>
        <w:spacing w:after="100"/>
        <w:jc w:val="both"/>
      </w:pPr>
      <w:r>
        <w:rPr>
          <w:rFonts w:ascii="Arial" w:hAnsi="Arial"/>
          <w:b/>
          <w:i w:val="0"/>
          <w:sz w:val="21"/>
        </w:rPr>
        <w:t>Ниже порога: Промышленное тепловое обор, Водоснабжение, Инструмент и оснастка, Вент Холод. Совокупный запас 4,69 млн ₽, убыток 1,68 млн ₽ в год.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</w:tblGrid>
      <w:tr>
        <w:tc>
          <w:tcPr>
            <w:tcW w:type="dxa" w:w="2268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Наименование</w:t>
            </w:r>
          </w:p>
        </w:tc>
        <w:tc>
          <w:tcPr>
            <w:tcW w:type="dxa" w:w="850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Динамика</w:t>
            </w:r>
          </w:p>
        </w:tc>
        <w:tc>
          <w:tcPr>
            <w:tcW w:type="dxa" w:w="62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SKU</w:t>
            </w:r>
          </w:p>
        </w:tc>
        <w:tc>
          <w:tcPr>
            <w:tcW w:type="dxa" w:w="96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Оборот, млн ₽</w:t>
            </w:r>
          </w:p>
        </w:tc>
        <w:tc>
          <w:tcPr>
            <w:tcW w:type="dxa" w:w="62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Маржа</w:t>
            </w:r>
          </w:p>
        </w:tc>
        <w:tc>
          <w:tcPr>
            <w:tcW w:type="dxa" w:w="96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Запас, млн ₽</w:t>
            </w:r>
          </w:p>
        </w:tc>
        <w:tc>
          <w:tcPr>
            <w:tcW w:type="dxa" w:w="510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Дней</w:t>
            </w:r>
          </w:p>
        </w:tc>
        <w:tc>
          <w:tcPr>
            <w:tcW w:type="dxa" w:w="62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GMROI</w:t>
            </w:r>
          </w:p>
        </w:tc>
        <w:tc>
          <w:tcPr>
            <w:tcW w:type="dxa" w:w="124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Прибыль − содержание, млн ₽/год</w:t>
            </w:r>
          </w:p>
        </w:tc>
        <w:tc>
          <w:tcPr>
            <w:tcW w:type="dxa" w:w="56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OOS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Трубы · Группы Филиалов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▁▂▂█▅▅▆▅▂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768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31,47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25,4 %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9,35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95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1,31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6,51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21 %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Фитинги · Группы Филиалов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▁▃▃▇▇▇█▆▃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3 036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22,93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32,1 %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13,38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200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0,86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3,63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16 %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Канализация и водоотведение · Группы Филиалов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▁▁▂▂▅▇█▇▂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587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20,78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27,3 %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6,38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105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1,31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4,61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11 %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ИСРМ · Группы Комфорт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▁▃▂▅▄▆▄█▄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360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16,28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26,0 %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4,78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81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1,59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3,91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23 %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ИСРМ · Группы Термо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▁▁▅█▁▃▁▁▁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50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4,36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17,4 %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0,47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31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2,47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0,84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24 %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Промышленное тепловое оборуд · Группы Филиалов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▂▇█▃▆▂▅▅▂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267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3,21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17,0 %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2,02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170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0,44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−0,22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43 %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Коллекторы и коллекторные гр · Группы Филиалов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▂▂▁▃▄▃▄█▅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176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3,05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24,3 %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2,37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187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0,62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0,10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31 %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Водоснабжение · Группы Филиалов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▁▄▂▃▅▄█▅▃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420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2,73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13,8 %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1,77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164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0,36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−0,32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31 %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Электрика · Группы Филиалов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▃▁▁▁█▅▆▁▁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23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1,01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11,8 %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0,11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55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0,89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0,06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39 %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Трубы · Группы Комфорт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▁▂▃█▃▄▂▃▅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36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0,82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33,3 %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0,22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152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1,20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0,21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Инструмент и оснастка · Группы Филиалов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▂█▃▁▃▂▇▅▂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210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0,41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-136,2 %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0,61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115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-1,83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−1,06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12 %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Вент Холод · Группы Вент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█▁▁▁▁▁▂▂▁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16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0,15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3,9 %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0,29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283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0,05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−0,09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Фитинги · Группы Термо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▁▁▁▁▃▁█▁▁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0,12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96,6 %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0,00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0,17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Прочее оборудование КОМФОРТ · Группы Комфорт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▁▁▁▁█▁▁▁▁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0,02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-46,4 %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0,00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−0,01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Промышленное тепловое оборуд · Группы Вент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▁▁▁▁█▁▁▁▁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0,01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52,8 %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0,00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0,01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</w:tr>
    </w:tbl>
    <w:p>
      <w:pPr>
        <w:spacing w:after="40"/>
      </w:pPr>
    </w:p>
    <w:p>
      <w:pPr>
        <w:spacing w:before="180" w:after="100"/>
      </w:pPr>
      <w:r>
        <w:rPr>
          <w:rFonts w:ascii="Arial" w:hAnsi="Arial"/>
          <w:b/>
          <w:color w:val="1F3864"/>
          <w:sz w:val="24"/>
        </w:rPr>
        <w:t>Группы, уничтожающие стоимость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</w:tblGrid>
      <w:tr>
        <w:tc>
          <w:tcPr>
            <w:tcW w:type="dxa" w:w="2268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Наименование</w:t>
            </w:r>
          </w:p>
        </w:tc>
        <w:tc>
          <w:tcPr>
            <w:tcW w:type="dxa" w:w="850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Динамика</w:t>
            </w:r>
          </w:p>
        </w:tc>
        <w:tc>
          <w:tcPr>
            <w:tcW w:type="dxa" w:w="62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SKU</w:t>
            </w:r>
          </w:p>
        </w:tc>
        <w:tc>
          <w:tcPr>
            <w:tcW w:type="dxa" w:w="96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Оборот, млн ₽</w:t>
            </w:r>
          </w:p>
        </w:tc>
        <w:tc>
          <w:tcPr>
            <w:tcW w:type="dxa" w:w="62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Маржа</w:t>
            </w:r>
          </w:p>
        </w:tc>
        <w:tc>
          <w:tcPr>
            <w:tcW w:type="dxa" w:w="96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Запас, млн ₽</w:t>
            </w:r>
          </w:p>
        </w:tc>
        <w:tc>
          <w:tcPr>
            <w:tcW w:type="dxa" w:w="510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Дней</w:t>
            </w:r>
          </w:p>
        </w:tc>
        <w:tc>
          <w:tcPr>
            <w:tcW w:type="dxa" w:w="62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GMROI</w:t>
            </w:r>
          </w:p>
        </w:tc>
        <w:tc>
          <w:tcPr>
            <w:tcW w:type="dxa" w:w="124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Прибыль − содержание, млн ₽/год</w:t>
            </w:r>
          </w:p>
        </w:tc>
        <w:tc>
          <w:tcPr>
            <w:tcW w:type="dxa" w:w="56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OOS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Инструмент и оснастка · Специализированный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▁█▃▁▂▁▁▁▁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102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0,17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-284,0 %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0,38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76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-3,55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−0,82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Водоснабжение · Санитарно-технические издели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▁▃▂▄▅▃█▃▂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201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1,40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5,3 %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0,87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181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0,11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−0,43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18 %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Коллекторы и коллекторные гр · Группы коллекторные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▆█▁▁▂▄▂▁▁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41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0,24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-2,4 %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0,61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734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-0,01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−0,40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Фитинги · Фитинги для труб ПНД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▁▂▂▃█▆▄▄▂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581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1,93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39,3 %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2,11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509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0,46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−0,24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14 %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Промышленное тепловое оборуд · Прочее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▂▇█▃▆▂▅▅▂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267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3,21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17,0 %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2,02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170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0,44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−0,22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43 %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Фитинги · Фитинги резьбовые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▁▃▃▇▅▆▇█▅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582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1,98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24,4 %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1,83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273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0,43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−0,22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14 %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Фитинги · Фитинги для металлопластиков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▁▂▃▄▃▂▇█▂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150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0,25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17,8 %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0,36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404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0,20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−0,12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18 %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 xml:space="preserve">Канализация и водоотведение · Трубы и фитинги (бесшумные) 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▁▂▆▄▄█▃▆▁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50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0,78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32,4 %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0,61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386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0,45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−0,09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7 %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Фитинги · Фитинги для нержавеющих труб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▁▆▃▄▅▄▇█▄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127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0,81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22,2 %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0,65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194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0,54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−0,01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16 %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Канализация и водоотведение · Трубы и фитинги для внутренн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▁▂▃▆▃▄█▆▂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249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1,93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31,8 %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1,67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304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0,56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−0,01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6 %</w:t>
            </w:r>
          </w:p>
        </w:tc>
      </w:tr>
    </w:tbl>
    <w:p>
      <w:pPr>
        <w:spacing w:after="40"/>
      </w:pPr>
    </w:p>
    <w:p>
      <w:pPr>
        <w:spacing w:after="100"/>
        <w:jc w:val="both"/>
      </w:pPr>
      <w:r>
        <w:rPr>
          <w:rFonts w:ascii="Arial" w:hAnsi="Arial"/>
          <w:b/>
          <w:i w:val="0"/>
          <w:sz w:val="21"/>
        </w:rPr>
        <w:t>Совокупно 11,11 млн ₽ запаса и 2,56 млн ₽ убытка в год. Первоочередной список для сокращения ассортимента.</w:t>
      </w:r>
    </w:p>
    <w:p>
      <w:r>
        <w:br w:type="page"/>
      </w:r>
    </w:p>
    <w:p>
      <w:pPr>
        <w:spacing w:before="260" w:after="100"/>
      </w:pPr>
      <w:r>
        <w:rPr>
          <w:rFonts w:ascii="Arial" w:hAnsi="Arial"/>
          <w:b/>
          <w:color w:val="1F3864"/>
          <w:sz w:val="30"/>
        </w:rPr>
        <w:t>3. Бренды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</w:tblGrid>
      <w:tr>
        <w:tc>
          <w:tcPr>
            <w:tcW w:type="dxa" w:w="2268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Наименование</w:t>
            </w:r>
          </w:p>
        </w:tc>
        <w:tc>
          <w:tcPr>
            <w:tcW w:type="dxa" w:w="850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Динамика</w:t>
            </w:r>
          </w:p>
        </w:tc>
        <w:tc>
          <w:tcPr>
            <w:tcW w:type="dxa" w:w="62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SKU</w:t>
            </w:r>
          </w:p>
        </w:tc>
        <w:tc>
          <w:tcPr>
            <w:tcW w:type="dxa" w:w="96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Оборот, млн ₽</w:t>
            </w:r>
          </w:p>
        </w:tc>
        <w:tc>
          <w:tcPr>
            <w:tcW w:type="dxa" w:w="62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Маржа</w:t>
            </w:r>
          </w:p>
        </w:tc>
        <w:tc>
          <w:tcPr>
            <w:tcW w:type="dxa" w:w="96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Запас, млн ₽</w:t>
            </w:r>
          </w:p>
        </w:tc>
        <w:tc>
          <w:tcPr>
            <w:tcW w:type="dxa" w:w="510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Дней</w:t>
            </w:r>
          </w:p>
        </w:tc>
        <w:tc>
          <w:tcPr>
            <w:tcW w:type="dxa" w:w="62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GMROI</w:t>
            </w:r>
          </w:p>
        </w:tc>
        <w:tc>
          <w:tcPr>
            <w:tcW w:type="dxa" w:w="124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Прибыль − содержание, млн ₽/год</w:t>
            </w:r>
          </w:p>
        </w:tc>
        <w:tc>
          <w:tcPr>
            <w:tcW w:type="dxa" w:w="56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OOS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Royal Thermo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▁▃▃▄▄▆▅█▄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379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19,19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34,1 %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6,44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103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1,84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6,52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21 %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TEBO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▂▂▄▆▅█▆▆▃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536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18,63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27,3 %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8,46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148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0,92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2,83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10 %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УЗПК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▁▁▁█▄▄▇▃▂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32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7,53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20,8 %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1,74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42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2,29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1,69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39 %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ХЕМКОР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▁▁▁▁▄▇█▄▁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112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5,94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23,0 %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1,78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102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1,07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0,92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21 %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Usystems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▁▁▁▄█▂▆▄▄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173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5,72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41,5 %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2,55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100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2,58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2,66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22 %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VARMEGA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▁▄▃▃▄▃▄█▄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247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4,71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22,5 %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3,12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177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0,60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0,08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17 %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AntiFire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▁▁▁█▁▂▁▁▁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104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4,33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22,9 %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0,01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1,39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Сантехкомплект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▁▁▁▁▆▇█▅▂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214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3,71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23,8 %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0,55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55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2,09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0,92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26 %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РИДАН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▁▁▅█▁▃▁▁▁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26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3,38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13,0 %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0,00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0,62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РГК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▁▁▁▁▂▃▆█▂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24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3,29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36,9 %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0,58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57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3,76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1,49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26 %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Политэк Пайп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▁▂▅▇▅▇▇█▃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319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3,12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35,4 %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2,64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347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0,58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0,03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8 %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БЕЗ МАРКИ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▁▅▃▇█▇▅▃▁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1 065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2,80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14,8 %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2,04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332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0,19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−1,16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11 %</w:t>
            </w:r>
          </w:p>
        </w:tc>
      </w:tr>
    </w:tbl>
    <w:p>
      <w:pPr>
        <w:spacing w:after="40"/>
      </w:pPr>
    </w:p>
    <w:p>
      <w:pPr>
        <w:spacing w:before="180" w:after="100"/>
      </w:pPr>
      <w:r>
        <w:rPr>
          <w:rFonts w:ascii="Arial" w:hAnsi="Arial"/>
          <w:b/>
          <w:color w:val="1F3864"/>
          <w:sz w:val="24"/>
        </w:rPr>
        <w:t>Бренды, уничтожающие стоимость (запас свыше 200 тыс. ₽)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58"/>
        <w:gridCol w:w="1158"/>
        <w:gridCol w:w="1158"/>
        <w:gridCol w:w="1158"/>
        <w:gridCol w:w="1158"/>
        <w:gridCol w:w="1158"/>
        <w:gridCol w:w="1158"/>
        <w:gridCol w:w="1158"/>
        <w:gridCol w:w="1158"/>
      </w:tblGrid>
      <w:tr>
        <w:tc>
          <w:tcPr>
            <w:tcW w:type="dxa" w:w="175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Бренд</w:t>
            </w:r>
          </w:p>
        </w:tc>
        <w:tc>
          <w:tcPr>
            <w:tcW w:type="dxa" w:w="680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SKU</w:t>
            </w:r>
          </w:p>
        </w:tc>
        <w:tc>
          <w:tcPr>
            <w:tcW w:type="dxa" w:w="107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без продаж</w:t>
            </w:r>
          </w:p>
        </w:tc>
        <w:tc>
          <w:tcPr>
            <w:tcW w:type="dxa" w:w="1020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Оборот, млн ₽</w:t>
            </w:r>
          </w:p>
        </w:tc>
        <w:tc>
          <w:tcPr>
            <w:tcW w:type="dxa" w:w="73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Маржа</w:t>
            </w:r>
          </w:p>
        </w:tc>
        <w:tc>
          <w:tcPr>
            <w:tcW w:type="dxa" w:w="1020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Запас, млн ₽</w:t>
            </w:r>
          </w:p>
        </w:tc>
        <w:tc>
          <w:tcPr>
            <w:tcW w:type="dxa" w:w="62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Дней</w:t>
            </w:r>
          </w:p>
        </w:tc>
        <w:tc>
          <w:tcPr>
            <w:tcW w:type="dxa" w:w="73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GMROI</w:t>
            </w:r>
          </w:p>
        </w:tc>
        <w:tc>
          <w:tcPr>
            <w:tcW w:type="dxa" w:w="141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Прибыль − содержание, млн ₽/год</w:t>
            </w:r>
          </w:p>
        </w:tc>
      </w:tr>
      <w:tr>
        <w:tc>
          <w:tcPr>
            <w:tcW w:type="dxa" w:w="1757"/>
          </w:tcPr>
          <w:p>
            <w:r/>
            <w:r>
              <w:rPr>
                <w:rFonts w:ascii="Arial" w:hAnsi="Arial"/>
                <w:sz w:val="16"/>
              </w:rPr>
              <w:t>БЕЗ МАРКИ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1 065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536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2,80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14,8 %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2,04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332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0,19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−1,16</w:t>
            </w:r>
          </w:p>
        </w:tc>
      </w:tr>
      <w:tr>
        <w:tc>
          <w:tcPr>
            <w:tcW w:type="dxa" w:w="1757"/>
          </w:tcPr>
          <w:p>
            <w:r/>
            <w:r>
              <w:rPr>
                <w:rFonts w:ascii="Arial" w:hAnsi="Arial"/>
                <w:sz w:val="16"/>
              </w:rPr>
              <w:t>THERMOLIGHT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189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15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1,75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-10,3 %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0,37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84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-0,41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−0,62</w:t>
            </w:r>
          </w:p>
        </w:tc>
      </w:tr>
      <w:tr>
        <w:tc>
          <w:tcPr>
            <w:tcW w:type="dxa" w:w="1757"/>
          </w:tcPr>
          <w:p>
            <w:r/>
            <w:r>
              <w:rPr>
                <w:rFonts w:ascii="Arial" w:hAnsi="Arial"/>
                <w:sz w:val="16"/>
              </w:rPr>
              <w:t>ROTORICA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0,00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н/д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0,25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24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-15,11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−0,50</w:t>
            </w:r>
          </w:p>
        </w:tc>
      </w:tr>
      <w:tr>
        <w:tc>
          <w:tcPr>
            <w:tcW w:type="dxa" w:w="1757"/>
          </w:tcPr>
          <w:p>
            <w:r/>
            <w:r>
              <w:rPr>
                <w:rFonts w:ascii="Arial" w:hAnsi="Arial"/>
                <w:sz w:val="16"/>
              </w:rPr>
              <w:t>ONE PLUS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109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66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0,26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6,4 %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0,55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672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0,04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−0,35</w:t>
            </w:r>
          </w:p>
        </w:tc>
      </w:tr>
      <w:tr>
        <w:tc>
          <w:tcPr>
            <w:tcW w:type="dxa" w:w="1757"/>
          </w:tcPr>
          <w:p>
            <w:r/>
            <w:r>
              <w:rPr>
                <w:rFonts w:ascii="Arial" w:hAnsi="Arial"/>
                <w:sz w:val="16"/>
              </w:rPr>
              <w:t>ALTSTREAM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185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70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0,48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29,9 %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0,78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558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0,28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−0,21</w:t>
            </w:r>
          </w:p>
        </w:tc>
      </w:tr>
      <w:tr>
        <w:tc>
          <w:tcPr>
            <w:tcW w:type="dxa" w:w="1757"/>
          </w:tcPr>
          <w:p>
            <w:r/>
            <w:r>
              <w:rPr>
                <w:rFonts w:ascii="Arial" w:hAnsi="Arial"/>
                <w:sz w:val="16"/>
              </w:rPr>
              <w:t>ТПК-АКВА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273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79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1,03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43,8 %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1,35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638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0,45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−0,18</w:t>
            </w:r>
          </w:p>
        </w:tc>
      </w:tr>
      <w:tr>
        <w:tc>
          <w:tcPr>
            <w:tcW w:type="dxa" w:w="1757"/>
          </w:tcPr>
          <w:p>
            <w:r/>
            <w:r>
              <w:rPr>
                <w:rFonts w:ascii="Arial" w:hAnsi="Arial"/>
                <w:sz w:val="16"/>
              </w:rPr>
              <w:t>VIEIR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58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36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0,03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2,0 %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0,21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2227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0,00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−0,13</w:t>
            </w:r>
          </w:p>
        </w:tc>
      </w:tr>
      <w:tr>
        <w:tc>
          <w:tcPr>
            <w:tcW w:type="dxa" w:w="1757"/>
          </w:tcPr>
          <w:p>
            <w:r/>
            <w:r>
              <w:rPr>
                <w:rFonts w:ascii="Arial" w:hAnsi="Arial"/>
                <w:sz w:val="16"/>
              </w:rPr>
              <w:t>Mr.Bond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33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6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0,21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22,1 %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0,53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328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0,32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−0,05</w:t>
            </w:r>
          </w:p>
        </w:tc>
      </w:tr>
      <w:tr>
        <w:tc>
          <w:tcPr>
            <w:tcW w:type="dxa" w:w="1757"/>
          </w:tcPr>
          <w:p>
            <w:r/>
            <w:r>
              <w:rPr>
                <w:rFonts w:ascii="Arial" w:hAnsi="Arial"/>
                <w:sz w:val="16"/>
              </w:rPr>
              <w:t>ХОММЕТ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22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0,47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31,4 %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0,45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364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0,46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−0,05</w:t>
            </w:r>
          </w:p>
        </w:tc>
      </w:tr>
      <w:tr>
        <w:tc>
          <w:tcPr>
            <w:tcW w:type="dxa" w:w="1757"/>
          </w:tcPr>
          <w:p>
            <w:r/>
            <w:r>
              <w:rPr>
                <w:rFonts w:ascii="Arial" w:hAnsi="Arial"/>
                <w:sz w:val="16"/>
              </w:rPr>
              <w:t>BETTOSERB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7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0,05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19,4 %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0,34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343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0,26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−0,02</w:t>
            </w:r>
          </w:p>
        </w:tc>
      </w:tr>
    </w:tbl>
    <w:p>
      <w:pPr>
        <w:spacing w:after="40"/>
      </w:pPr>
    </w:p>
    <w:p>
      <w:pPr>
        <w:spacing w:after="100"/>
        <w:jc w:val="both"/>
      </w:pPr>
      <w:r>
        <w:rPr>
          <w:rFonts w:ascii="Arial" w:hAnsi="Arial"/>
          <w:b/>
          <w:i w:val="0"/>
          <w:sz w:val="21"/>
        </w:rPr>
        <w:t>Совокупно: запас 6,86 млн ₽, убыток 3,26 млн ₽ в год.</w:t>
      </w:r>
    </w:p>
    <w:p>
      <w:r>
        <w:br w:type="page"/>
      </w:r>
    </w:p>
    <w:p>
      <w:pPr>
        <w:spacing w:before="260" w:after="100"/>
      </w:pPr>
      <w:r>
        <w:rPr>
          <w:rFonts w:ascii="Arial" w:hAnsi="Arial"/>
          <w:b/>
          <w:color w:val="1F3864"/>
          <w:sz w:val="30"/>
        </w:rPr>
        <w:t>4. Склады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</w:tblGrid>
      <w:tr>
        <w:tc>
          <w:tcPr>
            <w:tcW w:type="dxa" w:w="2268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Наименование</w:t>
            </w:r>
          </w:p>
        </w:tc>
        <w:tc>
          <w:tcPr>
            <w:tcW w:type="dxa" w:w="850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Динамика</w:t>
            </w:r>
          </w:p>
        </w:tc>
        <w:tc>
          <w:tcPr>
            <w:tcW w:type="dxa" w:w="62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SKU</w:t>
            </w:r>
          </w:p>
        </w:tc>
        <w:tc>
          <w:tcPr>
            <w:tcW w:type="dxa" w:w="96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Оборот, млн ₽</w:t>
            </w:r>
          </w:p>
        </w:tc>
        <w:tc>
          <w:tcPr>
            <w:tcW w:type="dxa" w:w="62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Маржа</w:t>
            </w:r>
          </w:p>
        </w:tc>
        <w:tc>
          <w:tcPr>
            <w:tcW w:type="dxa" w:w="96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Запас, млн ₽</w:t>
            </w:r>
          </w:p>
        </w:tc>
        <w:tc>
          <w:tcPr>
            <w:tcW w:type="dxa" w:w="510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Дней</w:t>
            </w:r>
          </w:p>
        </w:tc>
        <w:tc>
          <w:tcPr>
            <w:tcW w:type="dxa" w:w="62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GMROI</w:t>
            </w:r>
          </w:p>
        </w:tc>
        <w:tc>
          <w:tcPr>
            <w:tcW w:type="dxa" w:w="124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Прибыль − содержание, млн ₽/год</w:t>
            </w:r>
          </w:p>
        </w:tc>
        <w:tc>
          <w:tcPr>
            <w:tcW w:type="dxa" w:w="56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OOS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Филиал РТГ Ижевск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▁▂▃▆▆▆█▆▂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4 374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59,59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24,0 %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19,15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103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1,11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10,10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19 %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Филиал РТГ Пермь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▁▃▃▄▅▆▆█▄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4 319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44,77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28,3 %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22,60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152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0,95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7,32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16 %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Прочее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▁▁▁█▁▂▁▁▁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42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3,00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21,9 %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0,00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0,94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</w:tr>
    </w:tbl>
    <w:p>
      <w:pPr>
        <w:spacing w:after="40"/>
      </w:pPr>
    </w:p>
    <w:p>
      <w:pPr>
        <w:spacing w:before="180" w:after="100"/>
      </w:pPr>
      <w:r>
        <w:rPr>
          <w:rFonts w:ascii="Arial" w:hAnsi="Arial"/>
          <w:b/>
          <w:color w:val="1F3864"/>
          <w:sz w:val="24"/>
        </w:rPr>
        <w:t>Типы складов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</w:tblGrid>
      <w:tr>
        <w:tc>
          <w:tcPr>
            <w:tcW w:type="dxa" w:w="2268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Наименование</w:t>
            </w:r>
          </w:p>
        </w:tc>
        <w:tc>
          <w:tcPr>
            <w:tcW w:type="dxa" w:w="850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Динамика</w:t>
            </w:r>
          </w:p>
        </w:tc>
        <w:tc>
          <w:tcPr>
            <w:tcW w:type="dxa" w:w="62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SKU</w:t>
            </w:r>
          </w:p>
        </w:tc>
        <w:tc>
          <w:tcPr>
            <w:tcW w:type="dxa" w:w="96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Оборот, млн ₽</w:t>
            </w:r>
          </w:p>
        </w:tc>
        <w:tc>
          <w:tcPr>
            <w:tcW w:type="dxa" w:w="62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Маржа</w:t>
            </w:r>
          </w:p>
        </w:tc>
        <w:tc>
          <w:tcPr>
            <w:tcW w:type="dxa" w:w="96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Запас, млн ₽</w:t>
            </w:r>
          </w:p>
        </w:tc>
        <w:tc>
          <w:tcPr>
            <w:tcW w:type="dxa" w:w="510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Дней</w:t>
            </w:r>
          </w:p>
        </w:tc>
        <w:tc>
          <w:tcPr>
            <w:tcW w:type="dxa" w:w="62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GMROI</w:t>
            </w:r>
          </w:p>
        </w:tc>
        <w:tc>
          <w:tcPr>
            <w:tcW w:type="dxa" w:w="124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Прибыль − содержание, млн ₽/год</w:t>
            </w:r>
          </w:p>
        </w:tc>
        <w:tc>
          <w:tcPr>
            <w:tcW w:type="dxa" w:w="56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OOS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Основной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▁▃▄▇▆▇▇█▃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5 836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87,83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25,9 %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41,54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144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0,88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11,78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23 %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Cash&amp;Carry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▂▂▂▃▅▇█▇▃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2 513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16,42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25,6 %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0,21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5,92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13 %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Прочее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▁▁▁█▁▂▁▁▁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618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2,74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21,9 %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0,00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52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1,97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0,61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РЦ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▁█▁▁▁▇▂▃▁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6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0,26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22,0 %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0,00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0,08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Витрина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█▂▂▃▂▃▄▅▁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84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0,11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-21,5 %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0,00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−0,03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17 %</w:t>
            </w:r>
          </w:p>
        </w:tc>
      </w:tr>
    </w:tbl>
    <w:p>
      <w:pPr>
        <w:spacing w:after="40"/>
      </w:pPr>
    </w:p>
    <w:p>
      <w:pPr>
        <w:spacing w:before="180" w:after="100"/>
      </w:pPr>
      <w:r>
        <w:rPr>
          <w:rFonts w:ascii="Arial" w:hAnsi="Arial"/>
          <w:b/>
          <w:color w:val="1F3864"/>
          <w:sz w:val="24"/>
        </w:rPr>
        <w:t>Склады поимённо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</w:tblGrid>
      <w:tr>
        <w:tc>
          <w:tcPr>
            <w:tcW w:type="dxa" w:w="2268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Наименование</w:t>
            </w:r>
          </w:p>
        </w:tc>
        <w:tc>
          <w:tcPr>
            <w:tcW w:type="dxa" w:w="850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Динамика</w:t>
            </w:r>
          </w:p>
        </w:tc>
        <w:tc>
          <w:tcPr>
            <w:tcW w:type="dxa" w:w="62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SKU</w:t>
            </w:r>
          </w:p>
        </w:tc>
        <w:tc>
          <w:tcPr>
            <w:tcW w:type="dxa" w:w="96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Оборот, млн ₽</w:t>
            </w:r>
          </w:p>
        </w:tc>
        <w:tc>
          <w:tcPr>
            <w:tcW w:type="dxa" w:w="62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Маржа</w:t>
            </w:r>
          </w:p>
        </w:tc>
        <w:tc>
          <w:tcPr>
            <w:tcW w:type="dxa" w:w="96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Запас, млн ₽</w:t>
            </w:r>
          </w:p>
        </w:tc>
        <w:tc>
          <w:tcPr>
            <w:tcW w:type="dxa" w:w="510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Дней</w:t>
            </w:r>
          </w:p>
        </w:tc>
        <w:tc>
          <w:tcPr>
            <w:tcW w:type="dxa" w:w="62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GMROI</w:t>
            </w:r>
          </w:p>
        </w:tc>
        <w:tc>
          <w:tcPr>
            <w:tcW w:type="dxa" w:w="124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Прибыль − содержание, млн ₽/год</w:t>
            </w:r>
          </w:p>
        </w:tc>
        <w:tc>
          <w:tcPr>
            <w:tcW w:type="dxa" w:w="56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OOS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 xml:space="preserve">Ижевск Воткинское шоссе РТГ 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▁▁▃█▆▇▇▆▃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3 825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41,54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21,0 %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16,34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97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1,00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5,45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16 %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Пермь Бродовский тракт РТГ О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▁▂▃▄▄▄▃█▃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2 875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24,96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30,0 %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11,48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142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1,10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5,24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12 %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Пермь Чайковский РТГ Основно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▁▃▃▄▆█▇▅▂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3 397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11,68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31,0 %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10,99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292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0,56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−0,03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34 %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Ижевск Глазов РТГ Основной с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▁▂▂▃▂▃█▃▁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1 902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8,29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31,0 %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2,73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121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1,35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2,14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48 %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Пермь Чайковский РТГ Cash&amp;Ca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▃▂▂▃▆▆█▆▅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1 111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4,85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17,2 %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0,06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1,15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18 %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 xml:space="preserve">Ижевск Воткинское шоссе РТГ 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▂▂▂▃█▇▇▇▃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1 120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4,32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32,0 %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0,04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1,97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10 %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Ижевск Глазов РТГ Cash&amp;Carry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▁▂▂▃▇▆█▇▂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1 121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4,08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30,9 %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0,04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1,81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Пермь Бродовский тракт РТГ C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▁▂▁▂▁█▇▆▃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968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3,17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22,8 %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0,07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9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0,99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7 %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Адмирал Объекты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▁▁▁█▁▂▁▁▁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34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2,73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21,8 %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0,00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0,86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 xml:space="preserve">Ижевск Воткинское шоссе РТГ 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▆█▁▁▁▁▁▁▁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1 377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0,73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23,0 %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0,00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488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0,22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−0,37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80 %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 xml:space="preserve">Ижевск Воткинское шоссе РТГ 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▄█▁▁▁▁▁▁▁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1 345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0,58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29,1 %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0,00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788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0,19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−0,48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</w:tr>
    </w:tbl>
    <w:p>
      <w:pPr>
        <w:spacing w:after="40"/>
      </w:pPr>
    </w:p>
    <w:p>
      <w:pPr>
        <w:spacing w:after="100"/>
        <w:jc w:val="both"/>
      </w:pPr>
      <w:r>
        <w:rPr>
          <w:rFonts w:ascii="Arial" w:hAnsi="Arial"/>
          <w:b/>
          <w:i w:val="0"/>
          <w:sz w:val="21"/>
        </w:rPr>
        <w:t>Складов не отрабатывают стоимость владения: 6, суммарный убыток 1,30 млн ₽ в год.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3515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Склад</w:t>
            </w:r>
          </w:p>
        </w:tc>
        <w:tc>
          <w:tcPr>
            <w:tcW w:type="dxa" w:w="147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Запас текущий, ₽</w:t>
            </w:r>
          </w:p>
        </w:tc>
        <w:tc>
          <w:tcPr>
            <w:tcW w:type="dxa" w:w="147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Запас средний, ₽</w:t>
            </w:r>
          </w:p>
        </w:tc>
        <w:tc>
          <w:tcPr>
            <w:tcW w:type="dxa" w:w="113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Дней запаса</w:t>
            </w:r>
          </w:p>
        </w:tc>
        <w:tc>
          <w:tcPr>
            <w:tcW w:type="dxa" w:w="79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GMROI</w:t>
            </w:r>
          </w:p>
        </w:tc>
        <w:tc>
          <w:tcPr>
            <w:tcW w:type="dxa" w:w="147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Прибыль − содержание, ₽/год</w:t>
            </w:r>
          </w:p>
        </w:tc>
      </w:tr>
      <w:tr>
        <w:tc>
          <w:tcPr>
            <w:tcW w:type="dxa" w:w="3515"/>
          </w:tcPr>
          <w:p>
            <w:r/>
            <w:r>
              <w:rPr>
                <w:rFonts w:ascii="Arial" w:hAnsi="Arial"/>
                <w:sz w:val="16"/>
              </w:rPr>
              <w:t>Ижевск Воткинское шоссе РТГ Основной склад 2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1 275 290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788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0,19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-479 755</w:t>
            </w:r>
          </w:p>
        </w:tc>
      </w:tr>
      <w:tr>
        <w:tc>
          <w:tcPr>
            <w:tcW w:type="dxa" w:w="3515"/>
          </w:tcPr>
          <w:p>
            <w:r/>
            <w:r>
              <w:rPr>
                <w:rFonts w:ascii="Arial" w:hAnsi="Arial"/>
                <w:sz w:val="16"/>
              </w:rPr>
              <w:t>Ижевск Воткинское шоссе РТГ Основной склад 1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705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1 073 137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488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0,22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-367 269</w:t>
            </w:r>
          </w:p>
        </w:tc>
      </w:tr>
      <w:tr>
        <w:tc>
          <w:tcPr>
            <w:tcW w:type="dxa" w:w="3515"/>
          </w:tcPr>
          <w:p>
            <w:r/>
            <w:r>
              <w:rPr>
                <w:rFonts w:ascii="Arial" w:hAnsi="Arial"/>
                <w:sz w:val="16"/>
              </w:rPr>
              <w:t>Ижевск Воткинское шоссе РТГ Уличное хранение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438 603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&gt; 9999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0,00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-248 061</w:t>
            </w:r>
          </w:p>
        </w:tc>
      </w:tr>
      <w:tr>
        <w:tc>
          <w:tcPr>
            <w:tcW w:type="dxa" w:w="3515"/>
          </w:tcPr>
          <w:p>
            <w:r/>
            <w:r>
              <w:rPr>
                <w:rFonts w:ascii="Arial" w:hAnsi="Arial"/>
                <w:sz w:val="16"/>
              </w:rPr>
              <w:t>Ижевск Воткинское шоссе РТГ Основной склад 3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283 873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2087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0,07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-140 406</w:t>
            </w:r>
          </w:p>
        </w:tc>
      </w:tr>
      <w:tr>
        <w:tc>
          <w:tcPr>
            <w:tcW w:type="dxa" w:w="3515"/>
          </w:tcPr>
          <w:p>
            <w:r/>
            <w:r>
              <w:rPr>
                <w:rFonts w:ascii="Arial" w:hAnsi="Arial"/>
                <w:sz w:val="16"/>
              </w:rPr>
              <w:t>Пермь Чайковский РТГ Основной склад LV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10 991 596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9 259 874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292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0,56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-34 843</w:t>
            </w:r>
          </w:p>
        </w:tc>
      </w:tr>
      <w:tr>
        <w:tc>
          <w:tcPr>
            <w:tcW w:type="dxa" w:w="3515"/>
          </w:tcPr>
          <w:p>
            <w:r/>
            <w:r>
              <w:rPr>
                <w:rFonts w:ascii="Arial" w:hAnsi="Arial"/>
                <w:sz w:val="16"/>
              </w:rPr>
              <w:t>Ижевск Воткинское шоссе РТГ Основной склад 4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48 139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1846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-0,13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-33 284</w:t>
            </w:r>
          </w:p>
        </w:tc>
      </w:tr>
    </w:tbl>
    <w:p>
      <w:pPr>
        <w:spacing w:after="40"/>
      </w:pPr>
    </w:p>
    <w:p>
      <w:pPr>
        <w:spacing w:after="100"/>
        <w:jc w:val="both"/>
      </w:pPr>
      <w:r>
        <w:rPr>
          <w:rFonts w:ascii="Arial" w:hAnsi="Arial"/>
          <w:b w:val="0"/>
          <w:i/>
          <w:sz w:val="18"/>
        </w:rPr>
        <w:t>Площадки с нулевым текущим остатком, но существенным средним запасом — скрытые буферы неликвида: товар пролежал там большую часть периода.</w:t>
      </w:r>
    </w:p>
    <w:p>
      <w:pPr>
        <w:spacing w:before="180" w:after="100"/>
      </w:pPr>
      <w:r>
        <w:rPr>
          <w:rFonts w:ascii="Arial" w:hAnsi="Arial"/>
          <w:b/>
          <w:color w:val="1F3864"/>
          <w:sz w:val="24"/>
        </w:rPr>
        <w:t>Матрица «направление × склад»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249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Направление</w:t>
            </w:r>
          </w:p>
        </w:tc>
        <w:tc>
          <w:tcPr>
            <w:tcW w:type="dxa" w:w="147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Ижевск Воткинско</w:t>
            </w:r>
          </w:p>
        </w:tc>
        <w:tc>
          <w:tcPr>
            <w:tcW w:type="dxa" w:w="147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Пермь Бродовский</w:t>
            </w:r>
          </w:p>
        </w:tc>
        <w:tc>
          <w:tcPr>
            <w:tcW w:type="dxa" w:w="147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Пермь Чайковский</w:t>
            </w:r>
          </w:p>
        </w:tc>
        <w:tc>
          <w:tcPr>
            <w:tcW w:type="dxa" w:w="147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Ижевск Глазов Ос</w:t>
            </w:r>
          </w:p>
        </w:tc>
        <w:tc>
          <w:tcPr>
            <w:tcW w:type="dxa" w:w="147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Пермь Чайковский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Arial" w:hAnsi="Arial"/>
                <w:sz w:val="16"/>
              </w:rPr>
              <w:t>Трубы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1,19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1,34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0,57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2,17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0,00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Arial" w:hAnsi="Arial"/>
                <w:sz w:val="16"/>
              </w:rPr>
              <w:t>Фитинги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0,75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0,95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0,42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1,90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Arial" w:hAnsi="Arial"/>
                <w:sz w:val="16"/>
              </w:rPr>
              <w:t>Канализация и водоотведение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1,46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0,55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0,84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0,95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Arial" w:hAnsi="Arial"/>
                <w:sz w:val="16"/>
              </w:rPr>
              <w:t>ИСРМ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1,63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2,12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0,83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-0,19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Arial" w:hAnsi="Arial"/>
                <w:sz w:val="16"/>
              </w:rPr>
              <w:t>Промышленное тепловое оборудов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0,05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1,06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0,52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0,56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Arial" w:hAnsi="Arial"/>
                <w:sz w:val="16"/>
              </w:rPr>
              <w:t>Коллекторы и коллекторные груп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0,28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1,05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0,12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0,08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Arial" w:hAnsi="Arial"/>
                <w:sz w:val="16"/>
              </w:rPr>
              <w:t>Водоснабжение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-0,07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0,77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0,62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0,75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Arial" w:hAnsi="Arial"/>
                <w:sz w:val="16"/>
              </w:rPr>
              <w:t>Электрика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1,59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0,62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0,68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-0,04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Arial" w:hAnsi="Arial"/>
                <w:sz w:val="16"/>
              </w:rPr>
              <w:t>Инструмент и оснастка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-0,01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-3,10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0,80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0,85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Arial" w:hAnsi="Arial"/>
                <w:sz w:val="16"/>
              </w:rPr>
              <w:t>Вент Холод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0,00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-0,07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Arial" w:hAnsi="Arial"/>
                <w:sz w:val="16"/>
              </w:rPr>
              <w:t>Прочее оборудование КОМФОРТ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</w:tr>
    </w:tbl>
    <w:p>
      <w:pPr>
        <w:spacing w:after="40"/>
      </w:pPr>
    </w:p>
    <w:p>
      <w:pPr>
        <w:spacing w:before="260" w:after="100"/>
      </w:pPr>
      <w:r>
        <w:rPr>
          <w:rFonts w:ascii="Arial" w:hAnsi="Arial"/>
          <w:b/>
          <w:color w:val="1F3864"/>
          <w:sz w:val="30"/>
        </w:rPr>
        <w:t>5. Дефицит (OOS)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208267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oo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0826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/>
          <w:color w:val="6B7280"/>
          <w:sz w:val="16"/>
        </w:rPr>
        <w:t>Доля нормируемых позиций, отсутствовавших на складе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2608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Показатель</w:t>
            </w:r>
          </w:p>
        </w:tc>
        <w:tc>
          <w:tcPr>
            <w:tcW w:type="dxa" w:w="1701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Значение</w:t>
            </w:r>
          </w:p>
        </w:tc>
        <w:tc>
          <w:tcPr>
            <w:tcW w:type="dxa" w:w="5329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Как считается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Arial" w:hAnsi="Arial"/>
                <w:sz w:val="16"/>
              </w:rPr>
              <w:t>OOS_incidence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24,0 %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доля связок SKU × офис × месяц в нуле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Arial" w:hAnsi="Arial"/>
                <w:sz w:val="16"/>
              </w:rPr>
              <w:t>Fill Rate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91,0 %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доля спроса, закрытая с полки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Arial" w:hAnsi="Arial"/>
                <w:sz w:val="16"/>
              </w:rPr>
              <w:t>Cycle Service Level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76,0 %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вероятность отработать месяц без дефицита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Arial" w:hAnsi="Arial"/>
                <w:sz w:val="16"/>
              </w:rPr>
              <w:t>DNS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51 505 ед.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неудовлетворённый спрос в единицах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Arial" w:hAnsi="Arial"/>
                <w:sz w:val="16"/>
              </w:rPr>
              <w:t>Упущенные продажи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3,26 млн ₽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DNS × цена × 0,30 (доля вернувшихся покупателей)</w:t>
            </w:r>
          </w:p>
        </w:tc>
      </w:tr>
    </w:tbl>
    <w:p>
      <w:pPr>
        <w:spacing w:after="40"/>
      </w:pPr>
    </w:p>
    <w:p>
      <w:pPr>
        <w:spacing w:after="100"/>
        <w:jc w:val="both"/>
      </w:pPr>
      <w:r>
        <w:rPr>
          <w:rFonts w:ascii="Arial" w:hAnsi="Arial"/>
          <w:b w:val="0"/>
          <w:i/>
          <w:sz w:val="18"/>
        </w:rPr>
        <w:t>Оценка упущенных продаж зависит от допущения о доле вернувшихся покупателей. При консервативном коэффициенте 0,30 это 3,26 млн ₽; если считать, что покупатель не вернулся вовсе — 10,87 млн ₽. Реальная величина между этими границами.</w:t>
      </w:r>
    </w:p>
    <w:p>
      <w:pPr>
        <w:spacing w:before="180" w:after="100"/>
      </w:pPr>
      <w:r>
        <w:rPr>
          <w:rFonts w:ascii="Arial" w:hAnsi="Arial"/>
          <w:b/>
          <w:color w:val="1F3864"/>
          <w:sz w:val="24"/>
        </w:rPr>
        <w:t>Дефицит по офисам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3175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Офис</w:t>
            </w:r>
          </w:p>
        </w:tc>
        <w:tc>
          <w:tcPr>
            <w:tcW w:type="dxa" w:w="1928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Связок SKU × месяц</w:t>
            </w:r>
          </w:p>
        </w:tc>
        <w:tc>
          <w:tcPr>
            <w:tcW w:type="dxa" w:w="1701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В нуле</w:t>
            </w:r>
          </w:p>
        </w:tc>
        <w:tc>
          <w:tcPr>
            <w:tcW w:type="dxa" w:w="147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OOS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Arial" w:hAnsi="Arial"/>
                <w:sz w:val="16"/>
              </w:rPr>
              <w:t>Ижевск Глазов</w:t>
            </w:r>
          </w:p>
        </w:tc>
        <w:tc>
          <w:tcPr>
            <w:tcW w:type="dxa" w:w="1928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7 981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3 452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43,3 %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Arial" w:hAnsi="Arial"/>
                <w:sz w:val="16"/>
              </w:rPr>
              <w:t>Пермь Чайковский</w:t>
            </w:r>
          </w:p>
        </w:tc>
        <w:tc>
          <w:tcPr>
            <w:tcW w:type="dxa" w:w="1928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6 489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1 809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27,9 %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Arial" w:hAnsi="Arial"/>
                <w:sz w:val="16"/>
              </w:rPr>
              <w:t>Ижевск Воткинское</w:t>
            </w:r>
          </w:p>
        </w:tc>
        <w:tc>
          <w:tcPr>
            <w:tcW w:type="dxa" w:w="1928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9 639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1 456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15,1 %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Arial" w:hAnsi="Arial"/>
                <w:sz w:val="16"/>
              </w:rPr>
              <w:t>Пермь Бродовский</w:t>
            </w:r>
          </w:p>
        </w:tc>
        <w:tc>
          <w:tcPr>
            <w:tcW w:type="dxa" w:w="1928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8 964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1 225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13,7 %</w:t>
            </w:r>
          </w:p>
        </w:tc>
      </w:tr>
    </w:tbl>
    <w:p>
      <w:pPr>
        <w:spacing w:after="40"/>
      </w:pPr>
    </w:p>
    <w:p>
      <w:pPr>
        <w:spacing w:before="180" w:after="100"/>
      </w:pPr>
      <w:r>
        <w:rPr>
          <w:rFonts w:ascii="Arial" w:hAnsi="Arial"/>
          <w:b/>
          <w:color w:val="1F3864"/>
          <w:sz w:val="24"/>
        </w:rPr>
        <w:t>Почему товара не было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249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Причина</w:t>
            </w:r>
          </w:p>
        </w:tc>
        <w:tc>
          <w:tcPr>
            <w:tcW w:type="dxa" w:w="90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SKU</w:t>
            </w:r>
          </w:p>
        </w:tc>
        <w:tc>
          <w:tcPr>
            <w:tcW w:type="dxa" w:w="1361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Месяцев в нуле</w:t>
            </w:r>
          </w:p>
        </w:tc>
        <w:tc>
          <w:tcPr>
            <w:tcW w:type="dxa" w:w="147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Упущено, млн ₽</w:t>
            </w:r>
          </w:p>
        </w:tc>
        <w:tc>
          <w:tcPr>
            <w:tcW w:type="dxa" w:w="113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Доля потерь</w:t>
            </w:r>
          </w:p>
        </w:tc>
        <w:tc>
          <w:tcPr>
            <w:tcW w:type="dxa" w:w="2835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Кому адресовать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Arial" w:hAnsi="Arial"/>
                <w:sz w:val="16"/>
              </w:rPr>
              <w:t>Не закупали в этом году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565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3 982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1,81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55,6 %</w:t>
            </w:r>
          </w:p>
        </w:tc>
        <w:tc>
          <w:tcPr>
            <w:tcW w:type="dxa" w:w="2835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закупки — позиция не заказывалась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Arial" w:hAnsi="Arial"/>
                <w:sz w:val="16"/>
              </w:rPr>
              <w:t>Закупали, но не хватило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596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3 713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1,45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44,4 %</w:t>
            </w:r>
          </w:p>
        </w:tc>
        <w:tc>
          <w:tcPr>
            <w:tcW w:type="dxa" w:w="2835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закупки и нормы — объём партии мал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Arial" w:hAnsi="Arial"/>
                <w:sz w:val="16"/>
              </w:rPr>
              <w:t>Закупали, но не продавалось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33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247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0,00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0,0 %</w:t>
            </w:r>
          </w:p>
        </w:tc>
        <w:tc>
          <w:tcPr>
            <w:tcW w:type="dxa" w:w="2835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категорийный менеджмент — спрос не подтвердился</w:t>
            </w:r>
          </w:p>
        </w:tc>
      </w:tr>
    </w:tbl>
    <w:p>
      <w:pPr>
        <w:spacing w:after="40"/>
      </w:pPr>
    </w:p>
    <w:p>
      <w:pPr>
        <w:spacing w:after="100"/>
        <w:jc w:val="both"/>
      </w:pPr>
      <w:r>
        <w:rPr>
          <w:rFonts w:ascii="Arial" w:hAnsi="Arial"/>
          <w:b w:val="0"/>
          <w:i/>
          <w:sz w:val="18"/>
        </w:rPr>
        <w:t>Разделение по причинам меняет адресата: «не закупали» — вопрос к плану закупок, «закупали, но не хватило» — к нормам и размеру партии.</w:t>
      </w:r>
    </w:p>
    <w:p>
      <w:r>
        <w:br w:type="page"/>
      </w:r>
    </w:p>
    <w:p>
      <w:pPr>
        <w:spacing w:before="260" w:after="100"/>
      </w:pPr>
      <w:r>
        <w:rPr>
          <w:rFonts w:ascii="Arial" w:hAnsi="Arial"/>
          <w:b/>
          <w:color w:val="1F3864"/>
          <w:sz w:val="30"/>
        </w:rPr>
        <w:t>6. Сверка с юнит-экономикой</w:t>
      </w:r>
    </w:p>
    <w:p>
      <w:pPr>
        <w:spacing w:after="100"/>
        <w:jc w:val="both"/>
      </w:pPr>
      <w:r>
        <w:rPr>
          <w:rFonts w:ascii="Arial" w:hAnsi="Arial"/>
          <w:b w:val="0"/>
          <w:i w:val="0"/>
          <w:sz w:val="21"/>
        </w:rPr>
        <w:t>По 1 391 позициям есть готовое решение из модели юнит-экономики дивизиона. Сравниваем его с тем, что предлагает наш расчёт.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2835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Результат сверки</w:t>
            </w:r>
          </w:p>
        </w:tc>
        <w:tc>
          <w:tcPr>
            <w:tcW w:type="dxa" w:w="147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Позиций</w:t>
            </w:r>
          </w:p>
        </w:tc>
        <w:tc>
          <w:tcPr>
            <w:tcW w:type="dxa" w:w="4762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Что делать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Arial" w:hAnsi="Arial"/>
                <w:sz w:val="16"/>
              </w:rPr>
              <w:t>Решения совпадают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602</w:t>
            </w:r>
          </w:p>
        </w:tc>
        <w:tc>
          <w:tcPr>
            <w:tcW w:type="dxa" w:w="4762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действовать, вопросов нет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Arial" w:hAnsi="Arial"/>
                <w:sz w:val="16"/>
              </w:rPr>
              <w:t>Решения расходятся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37</w:t>
            </w:r>
          </w:p>
        </w:tc>
        <w:tc>
          <w:tcPr>
            <w:tcW w:type="dxa" w:w="4762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пересмотреть вручную, запас 0,78 млн ₽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Arial" w:hAnsi="Arial"/>
                <w:sz w:val="16"/>
              </w:rPr>
              <w:t>Нет пары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752</w:t>
            </w:r>
          </w:p>
        </w:tc>
        <w:tc>
          <w:tcPr>
            <w:tcW w:type="dxa" w:w="4762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позиция не попала ни в один наш список</w:t>
            </w:r>
          </w:p>
        </w:tc>
      </w:tr>
    </w:tbl>
    <w:p>
      <w:pPr>
        <w:spacing w:after="40"/>
      </w:pPr>
    </w:p>
    <w:p>
      <w:pPr>
        <w:spacing w:after="100"/>
        <w:jc w:val="both"/>
      </w:pPr>
      <w:r>
        <w:rPr>
          <w:rFonts w:ascii="Arial" w:hAnsi="Arial"/>
          <w:b w:val="0"/>
          <w:i w:val="0"/>
          <w:sz w:val="21"/>
        </w:rPr>
        <w:t>Дополнительно из юнит-экономики (эти цифры уже посчитаны и не требуют нашей оценки):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3969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Показатель</w:t>
            </w:r>
          </w:p>
        </w:tc>
        <w:tc>
          <w:tcPr>
            <w:tcW w:type="dxa" w:w="2268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Arial" w:hAnsi="Arial"/>
                <w:sz w:val="16"/>
              </w:rPr>
              <w:t>Избыточный сток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10,41 млн ₽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Arial" w:hAnsi="Arial"/>
                <w:sz w:val="16"/>
              </w:rPr>
              <w:t>Накоплено долга позициями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2,59 млн ₽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Arial" w:hAnsi="Arial"/>
                <w:sz w:val="16"/>
              </w:rPr>
              <w:t>Затраты за лежание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9,40 млн ₽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Arial" w:hAnsi="Arial"/>
                <w:sz w:val="16"/>
              </w:rPr>
              <w:t>Затраты за продажу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7,33 млн ₽</w:t>
            </w:r>
          </w:p>
        </w:tc>
      </w:tr>
    </w:tbl>
    <w:p>
      <w:pPr>
        <w:spacing w:after="40"/>
      </w:pPr>
    </w:p>
    <w:p>
      <w:pPr>
        <w:spacing w:after="100"/>
        <w:jc w:val="both"/>
      </w:pPr>
      <w:r>
        <w:rPr>
          <w:rFonts w:ascii="Arial" w:hAnsi="Arial"/>
          <w:b/>
          <w:i w:val="0"/>
          <w:sz w:val="21"/>
        </w:rPr>
        <w:t>Расхождения — самое полезное в этом разделе: это либо устаревшее решение, либо ошибка в наших порогах. Поимённый список — лист «29.Расхождения».</w:t>
      </w:r>
    </w:p>
    <w:p>
      <w:r>
        <w:br w:type="page"/>
      </w:r>
    </w:p>
    <w:p>
      <w:r>
        <w:br w:type="page"/>
      </w:r>
    </w:p>
    <w:p>
      <w:pPr>
        <w:spacing w:before="260" w:after="100"/>
      </w:pPr>
      <w:r>
        <w:rPr>
          <w:rFonts w:ascii="Arial" w:hAnsi="Arial"/>
          <w:b/>
          <w:color w:val="1F3864"/>
          <w:sz w:val="30"/>
        </w:rPr>
        <w:t>7. Ассортиментная политика и поставщики</w:t>
      </w:r>
    </w:p>
    <w:p>
      <w:pPr>
        <w:spacing w:before="180" w:after="100"/>
      </w:pPr>
      <w:r>
        <w:rPr>
          <w:rFonts w:ascii="Arial" w:hAnsi="Arial"/>
          <w:b/>
          <w:color w:val="1F3864"/>
          <w:sz w:val="24"/>
        </w:rPr>
        <w:t>Матрица ABC × XYZ: что с чем делать</w:t>
      </w:r>
    </w:p>
    <w:p>
      <w:pPr>
        <w:spacing w:after="100"/>
        <w:jc w:val="both"/>
      </w:pPr>
      <w:r>
        <w:rPr>
          <w:rFonts w:ascii="Arial" w:hAnsi="Arial"/>
          <w:b w:val="0"/>
          <w:i w:val="0"/>
          <w:sz w:val="21"/>
        </w:rPr>
        <w:t>ABC — вклад в оборот, XYZ — предсказуемость спроса. На пересечении получается готовая политика: один и тот же оборот при стабильном и при рваном спросе требует разных норм.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</w:tblGrid>
      <w:tr>
        <w:tc>
          <w:tcPr>
            <w:tcW w:type="dxa" w:w="147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ABC</w:t>
            </w:r>
          </w:p>
        </w:tc>
        <w:tc>
          <w:tcPr>
            <w:tcW w:type="dxa" w:w="56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XYZ</w:t>
            </w:r>
          </w:p>
        </w:tc>
        <w:tc>
          <w:tcPr>
            <w:tcW w:type="dxa" w:w="79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SKU</w:t>
            </w:r>
          </w:p>
        </w:tc>
        <w:tc>
          <w:tcPr>
            <w:tcW w:type="dxa" w:w="113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Оборот, млн ₽</w:t>
            </w:r>
          </w:p>
        </w:tc>
        <w:tc>
          <w:tcPr>
            <w:tcW w:type="dxa" w:w="1020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Доля оборота</w:t>
            </w:r>
          </w:p>
        </w:tc>
        <w:tc>
          <w:tcPr>
            <w:tcW w:type="dxa" w:w="113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Запас, млн ₽</w:t>
            </w:r>
          </w:p>
        </w:tc>
        <w:tc>
          <w:tcPr>
            <w:tcW w:type="dxa" w:w="3515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Что делать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Arial" w:hAnsi="Arial"/>
                <w:sz w:val="16"/>
              </w:rPr>
              <w:t>A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X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12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2,38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2,2 %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0,54</w:t>
            </w:r>
          </w:p>
        </w:tc>
        <w:tc>
          <w:tcPr>
            <w:tcW w:type="dxa" w:w="3515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Держать всегда. Автозаказ, страховой запас минимальный — с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Arial" w:hAnsi="Arial"/>
                <w:sz w:val="16"/>
              </w:rPr>
              <w:t>A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Y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126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32,50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30,3 %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7,63</w:t>
            </w:r>
          </w:p>
        </w:tc>
        <w:tc>
          <w:tcPr>
            <w:tcW w:type="dxa" w:w="3515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Держать с сезонным запасом. Нормы пересматривать перед сез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Arial" w:hAnsi="Arial"/>
                <w:sz w:val="16"/>
              </w:rPr>
              <w:t>A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Z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305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50,99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47,5 %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10,21</w:t>
            </w:r>
          </w:p>
        </w:tc>
        <w:tc>
          <w:tcPr>
            <w:tcW w:type="dxa" w:w="3515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Держать, но страховой запас выше. Спрос рваный — следить в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Arial" w:hAnsi="Arial"/>
                <w:sz w:val="16"/>
              </w:rPr>
              <w:t>B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X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9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0,26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0,2 %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0,08</w:t>
            </w:r>
          </w:p>
        </w:tc>
        <w:tc>
          <w:tcPr>
            <w:tcW w:type="dxa" w:w="3515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Автозаказ по норме. Внимания почти не требует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Arial" w:hAnsi="Arial"/>
                <w:sz w:val="16"/>
              </w:rPr>
              <w:t>B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Y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144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3,20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3,0 %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1,63</w:t>
            </w:r>
          </w:p>
        </w:tc>
        <w:tc>
          <w:tcPr>
            <w:tcW w:type="dxa" w:w="3515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Автозаказ с сезонной поправкой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Arial" w:hAnsi="Arial"/>
                <w:sz w:val="16"/>
              </w:rPr>
              <w:t>B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Z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674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12,65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11,8 %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6,23</w:t>
            </w:r>
          </w:p>
        </w:tc>
        <w:tc>
          <w:tcPr>
            <w:tcW w:type="dxa" w:w="3515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Снизить норму, часть перевести в заказные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Arial" w:hAnsi="Arial"/>
                <w:sz w:val="16"/>
              </w:rPr>
              <w:t>C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X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0,00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0,0 %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0,02</w:t>
            </w:r>
          </w:p>
        </w:tc>
        <w:tc>
          <w:tcPr>
            <w:tcW w:type="dxa" w:w="3515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Минимальная норма, автозаказ редкими партиями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Arial" w:hAnsi="Arial"/>
                <w:sz w:val="16"/>
              </w:rPr>
              <w:t>C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Y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78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0,34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0,3 %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0,53</w:t>
            </w:r>
          </w:p>
        </w:tc>
        <w:tc>
          <w:tcPr>
            <w:tcW w:type="dxa" w:w="3515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Под заказ или минимальный запас в одном месте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Arial" w:hAnsi="Arial"/>
                <w:sz w:val="16"/>
              </w:rPr>
              <w:t>C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Z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2 747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5,04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4,7 %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7,75</w:t>
            </w:r>
          </w:p>
        </w:tc>
        <w:tc>
          <w:tcPr>
            <w:tcW w:type="dxa" w:w="3515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Только под заказ. Складской запас не оправдан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Arial" w:hAnsi="Arial"/>
                <w:sz w:val="16"/>
              </w:rPr>
              <w:t>D (нет продаж)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1 859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-0,01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-0,0 %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7,12</w:t>
            </w:r>
          </w:p>
        </w:tc>
        <w:tc>
          <w:tcPr>
            <w:tcW w:type="dxa" w:w="3515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</w:r>
          </w:p>
        </w:tc>
      </w:tr>
    </w:tbl>
    <w:p>
      <w:pPr>
        <w:spacing w:after="40"/>
      </w:pPr>
    </w:p>
    <w:p>
      <w:pPr>
        <w:spacing w:before="180" w:after="100"/>
      </w:pPr>
      <w:r>
        <w:rPr>
          <w:rFonts w:ascii="Arial" w:hAnsi="Arial"/>
          <w:b/>
          <w:color w:val="1F3864"/>
          <w:sz w:val="24"/>
        </w:rPr>
        <w:t>Поставщики</w:t>
      </w:r>
    </w:p>
    <w:p>
      <w:pPr>
        <w:spacing w:after="100"/>
        <w:jc w:val="both"/>
      </w:pPr>
      <w:r>
        <w:rPr>
          <w:rFonts w:ascii="Arial" w:hAnsi="Arial"/>
          <w:b w:val="0"/>
          <w:i w:val="0"/>
          <w:sz w:val="21"/>
        </w:rPr>
        <w:t>Решения о возврате, отсрочке и размере партии принимаются по поставщику, а не по позиции. Всего поставщиков в периметре: 36.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03"/>
        <w:gridCol w:w="1303"/>
        <w:gridCol w:w="1303"/>
        <w:gridCol w:w="1303"/>
        <w:gridCol w:w="1303"/>
        <w:gridCol w:w="1303"/>
        <w:gridCol w:w="1303"/>
        <w:gridCol w:w="1303"/>
      </w:tblGrid>
      <w:tr>
        <w:tc>
          <w:tcPr>
            <w:tcW w:type="dxa" w:w="2041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Поставщик</w:t>
            </w:r>
          </w:p>
        </w:tc>
        <w:tc>
          <w:tcPr>
            <w:tcW w:type="dxa" w:w="680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SKU</w:t>
            </w:r>
          </w:p>
        </w:tc>
        <w:tc>
          <w:tcPr>
            <w:tcW w:type="dxa" w:w="107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без продаж</w:t>
            </w:r>
          </w:p>
        </w:tc>
        <w:tc>
          <w:tcPr>
            <w:tcW w:type="dxa" w:w="113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Оборот, млн ₽</w:t>
            </w:r>
          </w:p>
        </w:tc>
        <w:tc>
          <w:tcPr>
            <w:tcW w:type="dxa" w:w="73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Маржа</w:t>
            </w:r>
          </w:p>
        </w:tc>
        <w:tc>
          <w:tcPr>
            <w:tcW w:type="dxa" w:w="113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Запас, млн ₽</w:t>
            </w:r>
          </w:p>
        </w:tc>
        <w:tc>
          <w:tcPr>
            <w:tcW w:type="dxa" w:w="680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GMROI</w:t>
            </w:r>
          </w:p>
        </w:tc>
        <w:tc>
          <w:tcPr>
            <w:tcW w:type="dxa" w:w="141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Прибыль − содержание, млн ₽/год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Arial" w:hAnsi="Arial"/>
                <w:sz w:val="16"/>
              </w:rPr>
              <w:t>ТВВД, АО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510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40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18,53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27,8 %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9,04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0,88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2,61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Arial" w:hAnsi="Arial"/>
                <w:sz w:val="16"/>
              </w:rPr>
              <w:t>БЕ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220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17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15,71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26,8 %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4,51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1,62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3,92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Arial" w:hAnsi="Arial"/>
                <w:sz w:val="16"/>
              </w:rPr>
              <w:t>ПОЛИТЭК ПАЙП, ООО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399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62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3,96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37,2 %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3,58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0,57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0,02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Arial" w:hAnsi="Arial"/>
                <w:sz w:val="16"/>
              </w:rPr>
              <w:t>ЮНАЙТЕД ТЕРМО РУС, ООО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150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18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3,75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22,7 %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1,65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0,74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0,29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Arial" w:hAnsi="Arial"/>
                <w:sz w:val="16"/>
              </w:rPr>
              <w:t>ХЕМКОР, АО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37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5,00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22,7 %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1,22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1,23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0,88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Arial" w:hAnsi="Arial"/>
                <w:sz w:val="16"/>
              </w:rPr>
              <w:t>Юсистем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108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22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4,46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42,0 %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2,30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2,18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1,99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Arial" w:hAnsi="Arial"/>
                <w:sz w:val="16"/>
              </w:rPr>
              <w:t>УЗПК, ООО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24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6,15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20,7 %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1,74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1,62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1,19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Arial" w:hAnsi="Arial"/>
                <w:sz w:val="16"/>
              </w:rPr>
              <w:t>РОКНИ, ООО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130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10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3,07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48,9 %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1,27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1,99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1,54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Arial" w:hAnsi="Arial"/>
                <w:sz w:val="16"/>
              </w:rPr>
              <w:t>ТД Импульс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67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2,42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27,5 %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1,26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1,33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0,55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Arial" w:hAnsi="Arial"/>
                <w:sz w:val="16"/>
              </w:rPr>
              <w:t>БАШПОЛИМЕР ООО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21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2,25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25,7 %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0,50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1,79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0,57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Arial" w:hAnsi="Arial"/>
                <w:sz w:val="16"/>
              </w:rPr>
              <w:t>ПК ХОММЕТ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16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0,46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30,9 %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0,44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0,45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−0,05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Arial" w:hAnsi="Arial"/>
                <w:sz w:val="16"/>
              </w:rPr>
              <w:t>Сармат, ООО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1,32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20,1 %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0,72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0,84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0,12</w:t>
            </w:r>
          </w:p>
        </w:tc>
      </w:tr>
    </w:tbl>
    <w:p>
      <w:pPr>
        <w:spacing w:after="40"/>
      </w:pPr>
    </w:p>
    <w:p>
      <w:pPr>
        <w:spacing w:after="100"/>
        <w:jc w:val="both"/>
      </w:pPr>
      <w:r>
        <w:rPr>
          <w:rFonts w:ascii="Arial" w:hAnsi="Arial"/>
          <w:b/>
          <w:i w:val="0"/>
          <w:sz w:val="21"/>
        </w:rPr>
        <w:t>Не отрабатывают стоимость владения 3 поставщиков: запас 1,11 млн ₽, убыток 0,11 млн ₽ в год. С ними есть предмет для разговора об условиях — отсрочка, размер партии, право возврата.</w:t>
      </w:r>
    </w:p>
    <w:p>
      <w:pPr>
        <w:spacing w:before="180" w:after="100"/>
      </w:pPr>
      <w:r>
        <w:rPr>
          <w:rFonts w:ascii="Arial" w:hAnsi="Arial"/>
          <w:b/>
          <w:color w:val="1F3864"/>
          <w:sz w:val="24"/>
        </w:rPr>
        <w:t>Готовая диагностика из рабочей матрицы</w:t>
      </w:r>
    </w:p>
    <w:p>
      <w:pPr>
        <w:spacing w:after="100"/>
        <w:jc w:val="both"/>
      </w:pPr>
      <w:r>
        <w:rPr>
          <w:rFonts w:ascii="Arial" w:hAnsi="Arial"/>
          <w:b w:val="0"/>
          <w:i w:val="0"/>
          <w:sz w:val="21"/>
        </w:rPr>
        <w:t>Эти проблемы уже размечены в матрице пополнения. Они не требуют анализа — только действий.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79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Код</w:t>
            </w:r>
          </w:p>
        </w:tc>
        <w:tc>
          <w:tcPr>
            <w:tcW w:type="dxa" w:w="4309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Что означает</w:t>
            </w:r>
          </w:p>
        </w:tc>
        <w:tc>
          <w:tcPr>
            <w:tcW w:type="dxa" w:w="90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SKU</w:t>
            </w:r>
          </w:p>
        </w:tc>
        <w:tc>
          <w:tcPr>
            <w:tcW w:type="dxa" w:w="124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Запас, млн ₽</w:t>
            </w:r>
          </w:p>
        </w:tc>
        <w:tc>
          <w:tcPr>
            <w:tcW w:type="dxa" w:w="158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Содержание, млн ₽/год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Arial" w:hAnsi="Arial"/>
                <w:sz w:val="16"/>
              </w:rPr>
              <w:t>п1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Норма упаковки больше нормы запаса — заказать меньше физически нел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560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5,43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2,70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Arial" w:hAnsi="Arial"/>
                <w:sz w:val="16"/>
              </w:rPr>
              <w:t>п2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Запасы лежат на складах с нулевой нормой — товар не должен там быт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1 098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13,94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7,21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Arial" w:hAnsi="Arial"/>
                <w:sz w:val="16"/>
              </w:rPr>
              <w:t>п3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Требуется расчёт перераспределения между складами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75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1,04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0,98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Arial" w:hAnsi="Arial"/>
                <w:sz w:val="16"/>
              </w:rPr>
              <w:t>п4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Требуется перемещение с основного склада на недостающие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1 914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30,16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14,19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DF3E7"/>
            <w:tcBorders>
              <w:left w:val="single" w:sz="24" w:color="C05600"/>
              <w:top w:val="single" w:sz="4" w:color="D6DCE5"/>
              <w:bottom w:val="single" w:sz="4" w:color="D6DCE5"/>
              <w:right w:val="single" w:sz="4" w:color="D6DCE5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  <w:b/>
                <w:color w:val="C05600"/>
                <w:sz w:val="21"/>
              </w:rPr>
              <w:t>Особое внимание к коду п1: 560 позиций на 5,43 млн ₽, где норма упаковки больше нормы запаса. Это механическая причина затоваривания — уценкой не лечится, нужен разговор с поставщиком о размере партии.</w:t>
            </w:r>
          </w:p>
        </w:tc>
      </w:tr>
    </w:tbl>
    <w:p>
      <w:pPr>
        <w:spacing w:after="80"/>
      </w:pPr>
    </w:p>
    <w:p>
      <w:pPr>
        <w:spacing w:before="180" w:after="100"/>
      </w:pPr>
      <w:r>
        <w:rPr>
          <w:rFonts w:ascii="Arial" w:hAnsi="Arial"/>
          <w:b/>
          <w:color w:val="1F3864"/>
          <w:sz w:val="24"/>
        </w:rPr>
        <w:t>Бенчмарк офисов</w:t>
      </w:r>
    </w:p>
    <w:p>
      <w:pPr>
        <w:spacing w:after="100"/>
        <w:jc w:val="both"/>
      </w:pPr>
      <w:r>
        <w:rPr>
          <w:rFonts w:ascii="Arial" w:hAnsi="Arial"/>
          <w:b w:val="0"/>
          <w:i w:val="0"/>
          <w:sz w:val="21"/>
        </w:rPr>
        <w:t>Эталон — «Ижевск Глазов» с GMROI 2,02. Медиана по дивизиону — 1,08.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</w:tblGrid>
      <w:tr>
        <w:tc>
          <w:tcPr>
            <w:tcW w:type="dxa" w:w="2268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Офис</w:t>
            </w:r>
          </w:p>
        </w:tc>
        <w:tc>
          <w:tcPr>
            <w:tcW w:type="dxa" w:w="124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Запас, млн ₽</w:t>
            </w:r>
          </w:p>
        </w:tc>
        <w:tc>
          <w:tcPr>
            <w:tcW w:type="dxa" w:w="113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Дней запаса</w:t>
            </w:r>
          </w:p>
        </w:tc>
        <w:tc>
          <w:tcPr>
            <w:tcW w:type="dxa" w:w="79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GMROI</w:t>
            </w:r>
          </w:p>
        </w:tc>
        <w:tc>
          <w:tcPr>
            <w:tcW w:type="dxa" w:w="147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Цель, млн ₽/год</w:t>
            </w:r>
          </w:p>
        </w:tc>
        <w:tc>
          <w:tcPr>
            <w:tcW w:type="dxa" w:w="158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Потолок, млн ₽/год</w:t>
            </w:r>
          </w:p>
        </w:tc>
        <w:tc>
          <w:tcPr>
            <w:tcW w:type="dxa" w:w="158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Излишек запаса, млн ₽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Пермь Чайковский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11,05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197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0,69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3,65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12,43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7,19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Ижевск Воткинское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16,38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109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0,96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1,88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16,64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4,64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Пермь Бродовский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11,55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125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1,20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0,00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8,08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5,15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Ижевск Глазов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2,77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81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2,02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0,00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0,00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0,04</w:t>
            </w:r>
          </w:p>
        </w:tc>
      </w:tr>
    </w:tbl>
    <w:p>
      <w:pPr>
        <w:spacing w:after="40"/>
      </w:pPr>
    </w:p>
    <w:p>
      <w:pPr>
        <w:spacing w:after="100"/>
        <w:jc w:val="both"/>
      </w:pPr>
      <w:r>
        <w:rPr>
          <w:rFonts w:ascii="Arial" w:hAnsi="Arial"/>
          <w:b w:val="0"/>
          <w:i w:val="0"/>
          <w:sz w:val="21"/>
        </w:rPr>
        <w:t>«Цель» — если отстающие подтянутся до медианы: +5,53 млн ₽ валовой прибыли в год. «Потолок» — если все сработают как лучший офис: +37,15 млн ₽; это теоретический максимум, а не план — у офисов разный ассортимент и разная клиентская база.</w:t>
      </w:r>
    </w:p>
    <w:p>
      <w:pPr>
        <w:spacing w:before="180" w:after="100"/>
      </w:pPr>
      <w:r>
        <w:rPr>
          <w:rFonts w:ascii="Arial" w:hAnsi="Arial"/>
          <w:b/>
          <w:color w:val="1F3864"/>
          <w:sz w:val="24"/>
        </w:rPr>
        <w:t>Куда идёт запас</w:t>
      </w:r>
    </w:p>
    <w:p>
      <w:pPr>
        <w:spacing w:after="100"/>
        <w:jc w:val="both"/>
      </w:pPr>
      <w:r>
        <w:rPr>
          <w:rFonts w:ascii="Arial" w:hAnsi="Arial"/>
          <w:b/>
          <w:i w:val="0"/>
          <w:sz w:val="21"/>
        </w:rPr>
        <w:t>При сохранении текущего темпа запас растёт на 1,08 млн ₽ в месяц. Через полгода это 48,4 млн ₽ против 42,5 млн ₽ сейчас (+14 %).</w:t>
      </w:r>
    </w:p>
    <w:p>
      <w:pPr>
        <w:spacing w:after="100"/>
        <w:jc w:val="both"/>
      </w:pPr>
      <w:r>
        <w:rPr>
          <w:rFonts w:ascii="Arial" w:hAnsi="Arial"/>
          <w:b w:val="0"/>
          <w:i/>
          <w:color w:val="6B7280"/>
          <w:sz w:val="18"/>
        </w:rPr>
        <w:t>Это экстраполяция текущего тренда, а не прогноз спроса: она показывает, что будет, если ничего не менять.</w:t>
      </w:r>
    </w:p>
    <w:p>
      <w:r>
        <w:br w:type="page"/>
      </w:r>
    </w:p>
    <w:p>
      <w:pPr>
        <w:spacing w:before="260" w:after="100"/>
      </w:pPr>
      <w:r>
        <w:rPr>
          <w:rFonts w:ascii="Arial" w:hAnsi="Arial"/>
          <w:b/>
          <w:color w:val="1F3864"/>
          <w:sz w:val="30"/>
        </w:rPr>
        <w:t>8. План действий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76498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приоритеты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649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/>
          <w:color w:val="6B7280"/>
          <w:sz w:val="16"/>
        </w:rPr>
        <w:t>Чем выше и левее — тем раньше делать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1020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Приоритет</w:t>
            </w:r>
          </w:p>
        </w:tc>
        <w:tc>
          <w:tcPr>
            <w:tcW w:type="dxa" w:w="2835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Что сделать</w:t>
            </w:r>
          </w:p>
        </w:tc>
        <w:tc>
          <w:tcPr>
            <w:tcW w:type="dxa" w:w="1361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Высвободит, млн ₽</w:t>
            </w:r>
          </w:p>
        </w:tc>
        <w:tc>
          <w:tcPr>
            <w:tcW w:type="dxa" w:w="1361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Эффект, млн ₽/год</w:t>
            </w:r>
          </w:p>
        </w:tc>
        <w:tc>
          <w:tcPr>
            <w:tcW w:type="dxa" w:w="1020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Срок</w:t>
            </w:r>
          </w:p>
        </w:tc>
        <w:tc>
          <w:tcPr>
            <w:tcW w:type="dxa" w:w="2041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Ответственный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Arial" w:hAnsi="Arial"/>
                <w:sz w:val="17"/>
              </w:rPr>
              <w:t>1</w:t>
            </w:r>
          </w:p>
        </w:tc>
        <w:tc>
          <w:tcPr>
            <w:tcW w:type="dxa" w:w="2835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Дозаказ ходовых в дефиците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—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3,26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1 месяц</w:t>
            </w:r>
          </w:p>
        </w:tc>
        <w:tc>
          <w:tcPr>
            <w:tcW w:type="dxa" w:w="2041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Закупки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Arial" w:hAnsi="Arial"/>
                <w:sz w:val="17"/>
              </w:rPr>
              <w:t>2</w:t>
            </w:r>
          </w:p>
        </w:tc>
        <w:tc>
          <w:tcPr>
            <w:tcW w:type="dxa" w:w="2835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Уценка медленного товара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4,94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2,84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3 месяца</w:t>
            </w:r>
          </w:p>
        </w:tc>
        <w:tc>
          <w:tcPr>
            <w:tcW w:type="dxa" w:w="2041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Категорийный менеджер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Arial" w:hAnsi="Arial"/>
                <w:sz w:val="17"/>
              </w:rPr>
              <w:t>3</w:t>
            </w:r>
          </w:p>
        </w:tc>
        <w:tc>
          <w:tcPr>
            <w:tcW w:type="dxa" w:w="2835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Вывод неликвида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5,39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2,66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1 месяц</w:t>
            </w:r>
          </w:p>
        </w:tc>
        <w:tc>
          <w:tcPr>
            <w:tcW w:type="dxa" w:w="2041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Категорийный менеджер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Arial" w:hAnsi="Arial"/>
                <w:sz w:val="17"/>
              </w:rPr>
              <w:t>4</w:t>
            </w:r>
          </w:p>
        </w:tc>
        <w:tc>
          <w:tcPr>
            <w:tcW w:type="dxa" w:w="2835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Перемещение вместо закупки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0,65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0,22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2 недели</w:t>
            </w:r>
          </w:p>
        </w:tc>
        <w:tc>
          <w:tcPr>
            <w:tcW w:type="dxa" w:w="2041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Логистика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Arial" w:hAnsi="Arial"/>
                <w:sz w:val="17"/>
              </w:rPr>
              <w:t>5</w:t>
            </w:r>
          </w:p>
        </w:tc>
        <w:tc>
          <w:tcPr>
            <w:tcW w:type="dxa" w:w="2835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Пересмотр размера закупки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2,34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0,42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1 месяц</w:t>
            </w:r>
          </w:p>
        </w:tc>
        <w:tc>
          <w:tcPr>
            <w:tcW w:type="dxa" w:w="2041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Категорийный менеджер</w:t>
            </w:r>
          </w:p>
        </w:tc>
      </w:tr>
    </w:tbl>
    <w:p>
      <w:pPr>
        <w:spacing w:after="40"/>
      </w:pPr>
    </w:p>
    <w:p>
      <w:pPr>
        <w:spacing w:after="100"/>
        <w:jc w:val="both"/>
      </w:pPr>
      <w:r>
        <w:rPr>
          <w:rFonts w:ascii="Arial" w:hAnsi="Arial"/>
          <w:b/>
          <w:i w:val="0"/>
          <w:sz w:val="21"/>
        </w:rPr>
        <w:t>Поимённый план — лист «0.Задачи» в приложении: 314 строк, годовой эффект 11,72 млн ₽. По каждой позиции указано, что делать, где, сколько и в какой срок. Столбцы «Статус выполнения» и «Комментарий исполнителя» оставлены пустыми для заполнения в работе, а «Внимание» показывает, что нужно решить до исполнения.</w:t>
      </w:r>
    </w:p>
    <w:p>
      <w:pPr>
        <w:spacing w:after="100"/>
        <w:jc w:val="both"/>
      </w:pPr>
      <w:r>
        <w:rPr>
          <w:rFonts w:ascii="Arial" w:hAnsi="Arial"/>
          <w:b w:val="0"/>
          <w:i/>
          <w:sz w:val="18"/>
        </w:rPr>
        <w:t>«Сумма действия» — сколько денег двигает само действие: запас под уценку, стоимость перевозки, объём закупки. «Эффект за год» — сколько это приносит или экономит за год. Порядок — по годовой выгоде с поправкой на скорость отдачи: действие, не требующее согласований, при равной выгоде идёт раньше. Приоритет 1 — начинать отсюда. Позиции дешевле порога и всё, что не поместилось в план, свёрнуты в строки с приоритетом 5.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2381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Действие</w:t>
            </w:r>
          </w:p>
        </w:tc>
        <w:tc>
          <w:tcPr>
            <w:tcW w:type="dxa" w:w="113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Позиций</w:t>
            </w:r>
          </w:p>
        </w:tc>
        <w:tc>
          <w:tcPr>
            <w:tcW w:type="dxa" w:w="1701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Сумма действия, млн ₽</w:t>
            </w:r>
          </w:p>
        </w:tc>
        <w:tc>
          <w:tcPr>
            <w:tcW w:type="dxa" w:w="1701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Эффект, млн ₽/год</w:t>
            </w:r>
          </w:p>
        </w:tc>
        <w:tc>
          <w:tcPr>
            <w:tcW w:type="dxa" w:w="1361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Срок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Arial" w:hAnsi="Arial"/>
                <w:sz w:val="16"/>
              </w:rPr>
              <w:t>Уценить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155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5,40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3,28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2026-09-25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Arial" w:hAnsi="Arial"/>
                <w:sz w:val="16"/>
              </w:rPr>
              <w:t>Уценить — остальное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3,80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2,06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2026-10-23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Arial" w:hAnsi="Arial"/>
                <w:sz w:val="16"/>
              </w:rPr>
              <w:t>Вывести — остальное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3,88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1,91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2026-11-08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Arial" w:hAnsi="Arial"/>
                <w:sz w:val="16"/>
              </w:rPr>
              <w:t>Разобраться с ценой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64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1,04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1,22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2026-09-14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Arial" w:hAnsi="Arial"/>
                <w:sz w:val="16"/>
              </w:rPr>
              <w:t>Вывести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22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1,28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0,63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2026-10-11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Arial" w:hAnsi="Arial"/>
                <w:sz w:val="16"/>
              </w:rPr>
              <w:t>Переместить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31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0,50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0,53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2026-09-18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Arial" w:hAnsi="Arial"/>
                <w:sz w:val="16"/>
              </w:rPr>
              <w:t>Разобраться с ценой — мелочь пакетом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0,99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0,45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2026-10-12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Arial" w:hAnsi="Arial"/>
                <w:sz w:val="16"/>
              </w:rPr>
              <w:t>Уценить — мелочь пакетом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0,47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0,35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2026-10-23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Arial" w:hAnsi="Arial"/>
                <w:sz w:val="16"/>
              </w:rPr>
              <w:t>Дозаказать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21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2,18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0,26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2026-09-16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Arial" w:hAnsi="Arial"/>
                <w:sz w:val="16"/>
              </w:rPr>
              <w:t>Разобраться с ценой — остальное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0,37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0,24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2026-10-12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Arial" w:hAnsi="Arial"/>
                <w:sz w:val="16"/>
              </w:rPr>
              <w:t>Пересмотреть закупку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6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0,67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0,14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2026-09-16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Arial" w:hAnsi="Arial"/>
                <w:sz w:val="16"/>
              </w:rPr>
              <w:t>Вывести — мелочь пакетом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0,17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0,12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2026-11-08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Arial" w:hAnsi="Arial"/>
                <w:sz w:val="16"/>
              </w:rPr>
              <w:t>Пересмотреть закупку — мелочь пакетом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0,49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0,11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2026-10-14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Arial" w:hAnsi="Arial"/>
                <w:sz w:val="16"/>
              </w:rPr>
              <w:t>Переместить — мелочь пакетом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0,09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0,10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2026-10-16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Arial" w:hAnsi="Arial"/>
                <w:sz w:val="16"/>
              </w:rPr>
              <w:t>Дозаказать — мелочь пакетом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0,53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0,08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2026-10-14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Arial" w:hAnsi="Arial"/>
                <w:sz w:val="16"/>
              </w:rPr>
              <w:t>Пересмотреть закупку — остальное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0,75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0,08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2026-10-14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Arial" w:hAnsi="Arial"/>
                <w:sz w:val="16"/>
              </w:rPr>
              <w:t>Рассмотреть ввод в матрицу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0,28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0,07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2026-10-11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Arial" w:hAnsi="Arial"/>
                <w:sz w:val="16"/>
              </w:rPr>
              <w:t>Переместить — остальное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0,05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0,05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2026-10-16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Arial" w:hAnsi="Arial"/>
                <w:sz w:val="16"/>
              </w:rPr>
              <w:t>Дозаказать — остальное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0,09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0,02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2026-10-14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Arial" w:hAnsi="Arial"/>
                <w:sz w:val="16"/>
              </w:rPr>
              <w:t>Рассмотреть ввод в матрицу — мелочь пакетом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0,12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0,02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2026-11-08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Arial" w:hAnsi="Arial"/>
                <w:sz w:val="16"/>
              </w:rPr>
              <w:t>Рассмотреть ввод в матрицу — остальное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0,00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0,01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2026-11-08</w:t>
            </w:r>
          </w:p>
        </w:tc>
      </w:tr>
    </w:tbl>
    <w:p>
      <w:pPr>
        <w:spacing w:after="40"/>
      </w:pPr>
    </w:p>
    <w:p>
      <w:pPr>
        <w:spacing w:before="180" w:after="100"/>
      </w:pPr>
      <w:r>
        <w:rPr>
          <w:rFonts w:ascii="Arial" w:hAnsi="Arial"/>
          <w:b/>
          <w:color w:val="1F3864"/>
          <w:sz w:val="24"/>
        </w:rPr>
        <w:t>Цена бездействия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4535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Если не делать ничего — за квартал</w:t>
            </w:r>
          </w:p>
        </w:tc>
        <w:tc>
          <w:tcPr>
            <w:tcW w:type="dxa" w:w="2268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Сумма, млн ₽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Arial" w:hAnsi="Arial"/>
                <w:sz w:val="16"/>
              </w:rPr>
              <w:t>Содержание неликвида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0,84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Arial" w:hAnsi="Arial"/>
                <w:sz w:val="16"/>
              </w:rPr>
              <w:t>Содержание медленного товара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1,42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Arial" w:hAnsi="Arial"/>
                <w:sz w:val="16"/>
              </w:rPr>
              <w:t>Упущенная прибыль на дефиците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0,28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Arial" w:hAnsi="Arial"/>
                <w:sz w:val="16"/>
              </w:rPr>
              <w:t>ИТОГО потерь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2,54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Arial" w:hAnsi="Arial"/>
                <w:sz w:val="16"/>
              </w:rPr>
              <w:t>Останется замороженным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10,33</w:t>
            </w:r>
          </w:p>
        </w:tc>
      </w:tr>
    </w:tbl>
    <w:p>
      <w:pPr>
        <w:spacing w:after="40"/>
      </w:pPr>
    </w:p>
    <w:p>
      <w:pPr>
        <w:spacing w:before="260" w:after="100"/>
      </w:pPr>
      <w:r>
        <w:rPr>
          <w:rFonts w:ascii="Arial" w:hAnsi="Arial"/>
          <w:b/>
          <w:color w:val="1F3864"/>
          <w:sz w:val="30"/>
        </w:rPr>
        <w:t>9. Качество данных и оговорки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4195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Проблема</w:t>
            </w:r>
          </w:p>
        </w:tc>
        <w:tc>
          <w:tcPr>
            <w:tcW w:type="dxa" w:w="1361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Объём</w:t>
            </w:r>
          </w:p>
        </w:tc>
        <w:tc>
          <w:tcPr>
            <w:tcW w:type="dxa" w:w="3515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Последствие</w:t>
            </w:r>
          </w:p>
        </w:tc>
      </w:tr>
      <w:tr>
        <w:tc>
          <w:tcPr>
            <w:tcW w:type="dxa" w:w="4195"/>
          </w:tcPr>
          <w:p>
            <w:r/>
            <w:r>
              <w:rPr>
                <w:rFonts w:ascii="Arial" w:hAnsi="Arial"/>
                <w:sz w:val="16"/>
              </w:rPr>
              <w:t>Продажи по символической цене (оборот ниже 20% себестоимости)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229 строк</w:t>
            </w:r>
          </w:p>
        </w:tc>
        <w:tc>
          <w:tcPr>
            <w:tcW w:type="dxa" w:w="3515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Искажают маржу и GMROI по SKU и брендам</w:t>
            </w:r>
          </w:p>
        </w:tc>
      </w:tr>
      <w:tr>
        <w:tc>
          <w:tcPr>
            <w:tcW w:type="dxa" w:w="4195"/>
          </w:tcPr>
          <w:p>
            <w:r/>
            <w:r>
              <w:rPr>
                <w:rFonts w:ascii="Arial" w:hAnsi="Arial"/>
                <w:sz w:val="16"/>
              </w:rPr>
              <w:t>Расхождение статуса SKU: рабочая матрица против сквозной аналитики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642 SKU</w:t>
            </w:r>
          </w:p>
        </w:tc>
        <w:tc>
          <w:tcPr>
            <w:tcW w:type="dxa" w:w="3515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Статус в сквозной устарел; в расчёте взят актуальный из рабочей матрицы</w:t>
            </w:r>
          </w:p>
        </w:tc>
      </w:tr>
      <w:tr>
        <w:tc>
          <w:tcPr>
            <w:tcW w:type="dxa" w:w="4195"/>
          </w:tcPr>
          <w:p>
            <w:r/>
            <w:r>
              <w:rPr>
                <w:rFonts w:ascii="Arial" w:hAnsi="Arial"/>
                <w:sz w:val="16"/>
              </w:rPr>
              <w:t>SKU рабочей матрицы отсутствуют в каталоге сквозной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154 SKU</w:t>
            </w:r>
          </w:p>
        </w:tc>
        <w:tc>
          <w:tcPr>
            <w:tcW w:type="dxa" w:w="3515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Позиции выпадают из всех сводных</w:t>
            </w:r>
          </w:p>
        </w:tc>
      </w:tr>
      <w:tr>
        <w:tc>
          <w:tcPr>
            <w:tcW w:type="dxa" w:w="4195"/>
          </w:tcPr>
          <w:p>
            <w:r/>
            <w:r>
              <w:rPr>
                <w:rFonts w:ascii="Arial" w:hAnsi="Arial"/>
                <w:sz w:val="16"/>
              </w:rPr>
              <w:t>Складские SKU без норм в матрице пополнения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215 SKU</w:t>
            </w:r>
          </w:p>
        </w:tc>
        <w:tc>
          <w:tcPr>
            <w:tcW w:type="dxa" w:w="3515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Не попадают в расчёт пополнения и OOS</w:t>
            </w:r>
          </w:p>
        </w:tc>
      </w:tr>
      <w:tr>
        <w:tc>
          <w:tcPr>
            <w:tcW w:type="dxa" w:w="4195"/>
          </w:tcPr>
          <w:p>
            <w:r/>
            <w:r>
              <w:rPr>
                <w:rFonts w:ascii="Arial" w:hAnsi="Arial"/>
                <w:sz w:val="16"/>
              </w:rPr>
              <w:t>Цена за ед. изм. в сквозной равна нулю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14871 SKU</w:t>
            </w:r>
          </w:p>
        </w:tc>
        <w:tc>
          <w:tcPr>
            <w:tcW w:type="dxa" w:w="3515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Цены берутся из файла динамики стоков</w:t>
            </w:r>
          </w:p>
        </w:tc>
      </w:tr>
      <w:tr>
        <w:tc>
          <w:tcPr>
            <w:tcW w:type="dxa" w:w="4195"/>
          </w:tcPr>
          <w:p>
            <w:r/>
            <w:r>
              <w:rPr>
                <w:rFonts w:ascii="Arial" w:hAnsi="Arial"/>
                <w:sz w:val="16"/>
              </w:rPr>
              <w:t>Нет дневной истории остатков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3515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OOS считается помесячно; дневная точность появится за 2–3 недели накопления</w:t>
            </w:r>
          </w:p>
        </w:tc>
      </w:tr>
    </w:tbl>
    <w:p>
      <w:pPr>
        <w:spacing w:after="40"/>
      </w:pPr>
    </w:p>
    <w:p>
      <w:pPr>
        <w:spacing w:before="180" w:after="100"/>
      </w:pPr>
      <w:r>
        <w:rPr>
          <w:rFonts w:ascii="Arial" w:hAnsi="Arial"/>
          <w:b/>
          <w:color w:val="1F3864"/>
          <w:sz w:val="24"/>
        </w:rPr>
        <w:t>Что посчитано точно, а что оценочно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4535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Показатель</w:t>
            </w:r>
          </w:p>
        </w:tc>
        <w:tc>
          <w:tcPr>
            <w:tcW w:type="dxa" w:w="3969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Надёжность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Arial" w:hAnsi="Arial"/>
                <w:sz w:val="16"/>
              </w:rPr>
              <w:t>Запас, оборот, валовая прибыль, GMROI</w:t>
            </w:r>
          </w:p>
        </w:tc>
        <w:tc>
          <w:tcPr>
            <w:tcW w:type="dxa" w:w="3969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точно — из учётных данных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Arial" w:hAnsi="Arial"/>
                <w:sz w:val="16"/>
              </w:rPr>
              <w:t>Дефицит OOS, Fill Rate</w:t>
            </w:r>
          </w:p>
        </w:tc>
        <w:tc>
          <w:tcPr>
            <w:tcW w:type="dxa" w:w="3969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точно в пределах помесячной гранулярности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Arial" w:hAnsi="Arial"/>
                <w:sz w:val="16"/>
              </w:rPr>
              <w:t>Упущенные продажи</w:t>
            </w:r>
          </w:p>
        </w:tc>
        <w:tc>
          <w:tcPr>
            <w:tcW w:type="dxa" w:w="3969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оценка: зависит от коэффициента возврата покупателя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Arial" w:hAnsi="Arial"/>
                <w:sz w:val="16"/>
              </w:rPr>
              <w:t>Эффект от вывода и уценки</w:t>
            </w:r>
          </w:p>
        </w:tc>
        <w:tc>
          <w:tcPr>
            <w:tcW w:type="dxa" w:w="3969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оценка: предполагает реализацию по себестоимости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Arial" w:hAnsi="Arial"/>
                <w:sz w:val="16"/>
              </w:rPr>
              <w:t>Цена бездействия</w:t>
            </w:r>
          </w:p>
        </w:tc>
        <w:tc>
          <w:tcPr>
            <w:tcW w:type="dxa" w:w="3969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оценка: линейная экстраполяция текущего состояния</w:t>
            </w:r>
          </w:p>
        </w:tc>
      </w:tr>
    </w:tbl>
    <w:p>
      <w:pPr>
        <w:spacing w:after="40"/>
      </w:pPr>
    </w:p>
    <w:p>
      <w:pPr>
        <w:spacing w:before="280"/>
      </w:pPr>
      <w:r>
        <w:rPr>
          <w:rFonts w:ascii="Arial" w:hAnsi="Arial"/>
          <w:i/>
          <w:sz w:val="16"/>
        </w:rPr>
        <w:t>Методика: период 01.01–11.09.2026 (254 дней), годовое приведение ×1.437. GMROI = валовая прибыль за год / средний запас по себестоимости. Стоимость владения 56,6 % годовых. Дефицит считается только с месяца появления позиции в ассортименте. Из списка на вывод исключены позиции моложе 90 дней. Возраст запаса — средневзвешенный по деньгам: позиция обычно состоит из нескольких партий разного возраста, и одна свежая коробка не должна омолаживать весь остаток. Относительные метрики не рассчитываются при запасе менее 10 000 ₽. Детальные расчёты — в файле Excel, лист «_Оглавление» объясняет остальные.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50" w:right="794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B7280"/>
        <w:sz w:val="16"/>
      </w:rPr>
      <w:t xml:space="preserve">стр. </w:t>
    </w:r>
    <w:r>
      <w:fldChar w:fldCharType="begin"/>
      <w:instrText xml:space="preserve">PAGE</w:instrText>
      <w:fldChar w:fldCharType="separate"/>
      <w:t>…</w:t>
      <w:fldChar w:fldCharType="end"/>
    </w:r>
    <w:r>
      <w:rPr>
        <w:rFonts w:ascii="Arial" w:hAnsi="Arial"/>
        <w:color w:val="6B7280"/>
        <w:sz w:val="16"/>
      </w:rPr>
      <w:t xml:space="preserve"> из </w:t>
    </w:r>
    <w:r>
      <w:fldChar w:fldCharType="begin"/>
      <w:instrText xml:space="preserve">NUMPAGES</w:instrText>
      <w:fldChar w:fldCharType="separate"/>
      <w:t>…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B7280"/>
        <w:sz w:val="16"/>
      </w:rPr>
      <w:t>Категорийная аналитика РТГ · данные на 11.09.2026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