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14.09.2026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1,05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10,03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3,72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2,22 млн ₽: 1,94 млн на содержании ненужного запаса и 0,28 млн упущенной прибыли на дефиците. При этом 9,39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1,51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Эконом. прибыль,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18,36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5,39 млн не продавались ни разу за период. Ещё 8,00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129 позиций на 1,73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1,68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2,56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1,30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-34 843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513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0,70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 xml:space="preserve">Сантехкомплект 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4 поставщиков: запас 1,82 млн ₽, убыток 0,07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5,97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2,02. Медиана по дивизиону — 1,08.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8,36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7,09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+5,53 млн ₽ валовой прибыли в год. «Потолок» — если все сработают как лучший офис: +37,15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1,51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311 строк на 17,53 млн ₽, с действием, сроком и ответственным по каждой позиции. Столбцы «Статус» и «Комментарий» оставлены пустыми для заполнения в работе.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Список отсортирован по деньгам с поправкой на скорость отдачи: действие, не требующее согласований, при равных суммах идёт раньше. Приоритет 1 — начинать отсюда. Позиции дешевле порога и всё, что не поместилось в план, свёрнуты в итоговые строки с приоритетом 5 — их оформляют одним решением, а не поштучно.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9,39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