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14.09.2026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5 955 SKU, 41,75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1,05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41,75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7,12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3,26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9,33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3,26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2,03 млн ₽: 1,75 млн на содержании ненужного запаса и 0,28 млн упущенной прибыли на дефиците. При этом 8,65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−28,76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−42,32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70,3 %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−32,88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75,3 %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77,7 %. Отставание 28,76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100,22 млн ₽ в этом — -3,7 %.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78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1,86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1,05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уже потрачены, но повторную закупку можно не делать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41,75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-1,66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107,36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27,60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+0,54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Эконом. прибыль,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18,36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Упущенные продажи,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+0,08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41,75 млн ₽ запаса 5,20 млн не продавались ни разу за период. Ещё 6,89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150 позиций на 1,92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1,68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▁▂▃█▃▄▂▃▅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▁▁▁▁▃▁█▁▁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2,56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44,66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3,26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▁▂▃▆▆▆█▆▂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▁▃▄▇▆▇▇█▃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▂▂▂▃▅▇█▇▃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2 513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▁▁▃█▆▇▇▆▃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3 397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▃▂▂▃▆▆█▆▅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▂▂▂▃█▇▇▇▃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69,50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3965,90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1,30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-479 755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-367 269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10 991 596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-34 843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-3,10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51 505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3,26 млн ₽; если считать, что покупатель не вернулся вовсе — 10,87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3 982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55,6 %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44,4 %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473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45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0,97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873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50,99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12,65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2 747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15,71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 xml:space="preserve">Сантехкомплект 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4 поставщиков: запас 1,82 млн ₽, убыток 0,07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5,97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11,94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2,02. Медиана по дивизиону — 1,08.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8,36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7,09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+5,53 млн ₽ валовой прибыли в год. «Потолок» — если все сработают как лучший офис: +37,15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1,08 млн ₽ в месяц. Через полгода это 48,4 млн ₽ против 42,5 млн ₽ сейчас (+14 %).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4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1,86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1,05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5,20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1,40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309 строк на 17,40 млн ₽, с действием, сроком и ответственным по каждой позиции. Столбцы «Статус» и «Комментарий» оставлены пустыми для заполнения в работе.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Список отсортирован по деньгам с поправкой на скорость отдачи: действие, не требующее согласований, при равных суммах идёт раньше. Приоритет 1 — начинать отсюда. Позиции дешевле порога и всё, что не поместилось в план, свёрнуты в итоговые строки с приоритетом 5 — их оформляют одним решением, а не поштучно.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2,03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8,65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14871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