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01.01 - 10.09.2026 (253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на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10.09.2026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5 948 SKU, 43,41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1,04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43,41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7,36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3,19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11,35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3,83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2,32 млн ₽: 2,04 млн на содержании ненужного запаса и 0,27 млн упущенной прибыли на дефиците. При этом 10,37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не требует ничьего согласования, только логистика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10.09.2026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43,41 млн ₽ запаса 5,30 млн не продавались ни разу за период. Ещё 10,13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176 позиций на 2,05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4,72 млн ₽, убыток 1,71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-137,1 %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11,15 млн ₽ запаса и 2,63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2218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7,25 млн ₽, убыток 3,00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43,14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2 492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-20,6 %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2 855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1 107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9,72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1,32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-478 798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-366 320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2078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-140 326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10 913 003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-48 280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1839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-33 308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50 695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3,19 млн ₽; если считать, что покупатель не вернулся вовсе — 10,62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529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0,81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824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2 176 строк на 17,86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2026-09-17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2026-09-24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10,37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157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14865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01.01–10.09.2026 (253 дней), годовое приведение ×1.443.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10.09.2026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