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14.09.2026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1,05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10,03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3,72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2,22 млн ₽: 1,94 млн на содержании ненужного запаса и 0,28 млн упущенной прибыли на дефиците. При этом 9,39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1,51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Эконом. прибыль,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18,36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5,39 млн не продавались ни разу за период. Ещё 8,00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129 позиций на 1,73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1,68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2,56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1,30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-34 843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513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0,70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0,05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5,97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2,02. Медиана по дивизиону — 1,08.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+5,53 млн ₽ валовой прибыли в год. «Потолок» — если все сработают как лучший офис: +37,15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1,51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311 строк на 17,53 млн ₽, с действием, сроком и ответственным по каждой позиции. Столбцы «Статус» и «Комментарий» оставлены пустыми для заполнения в работе.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Список отсортирован по деньгам с поправкой на скорость отдачи: действие, не требующее согласований, при равных суммах идёт раньше. Приоритет 1 — начинать отсюда. Позиции дешевле порога и всё, что не поместилось в план, свёрнуты в итоговые строки с приоритетом 5 — их оформляют одним решением, а не поштучно.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9,39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