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4E76" w14:textId="77777777" w:rsidR="004C2999" w:rsidRDefault="00000000">
      <w:pPr>
        <w:spacing w:before="1600" w:after="200"/>
        <w:jc w:val="center"/>
      </w:pPr>
      <w:r>
        <w:rPr>
          <w:sz w:val="24"/>
          <w:szCs w:val="24"/>
        </w:rPr>
        <w:t>Politechnika Wrocławska — Wydział Informatyki i Telekomunikacji</w:t>
      </w:r>
    </w:p>
    <w:p w14:paraId="271EDA5D" w14:textId="77777777" w:rsidR="004C2999" w:rsidRDefault="00000000">
      <w:pPr>
        <w:spacing w:after="560"/>
        <w:jc w:val="center"/>
      </w:pPr>
      <w:r>
        <w:rPr>
          <w:color w:val="666666"/>
        </w:rPr>
        <w:t>Modelowanie i Analiza Systemów Informatycznych (MIASI)</w:t>
      </w:r>
    </w:p>
    <w:p w14:paraId="65ABDEED" w14:textId="77777777" w:rsidR="004C2999" w:rsidRDefault="00000000">
      <w:pPr>
        <w:spacing w:after="160"/>
        <w:jc w:val="center"/>
      </w:pPr>
      <w:r>
        <w:rPr>
          <w:b/>
          <w:bCs/>
          <w:sz w:val="36"/>
          <w:szCs w:val="36"/>
        </w:rPr>
        <w:t>ZADANIE 2 — MODELOWANIE TAKTYCZNE</w:t>
      </w:r>
    </w:p>
    <w:p w14:paraId="0D940C55" w14:textId="77777777" w:rsidR="004C2999" w:rsidRDefault="00000000">
      <w:pPr>
        <w:spacing w:after="480"/>
        <w:jc w:val="center"/>
      </w:pPr>
      <w:r>
        <w:rPr>
          <w:color w:val="444444"/>
          <w:sz w:val="28"/>
          <w:szCs w:val="28"/>
        </w:rPr>
        <w:t>Taktyczne projektowanie systemu zgodnie z DDD</w:t>
      </w:r>
    </w:p>
    <w:p w14:paraId="03A9D161" w14:textId="77777777" w:rsidR="004C2999" w:rsidRDefault="00000000">
      <w:pPr>
        <w:spacing w:after="960"/>
        <w:jc w:val="center"/>
      </w:pPr>
      <w:r>
        <w:rPr>
          <w:i/>
          <w:iCs/>
          <w:sz w:val="26"/>
          <w:szCs w:val="26"/>
        </w:rPr>
        <w:t>DeskFlow — System udostępniania zasobów biurowych</w:t>
      </w:r>
    </w:p>
    <w:p w14:paraId="2D57E600" w14:textId="77777777" w:rsidR="004C2999" w:rsidRDefault="00000000">
      <w:pPr>
        <w:spacing w:after="800"/>
        <w:jc w:val="center"/>
      </w:pPr>
      <w:r>
        <w:rPr>
          <w:color w:val="666666"/>
          <w:sz w:val="20"/>
          <w:szCs w:val="20"/>
        </w:rPr>
        <w:t>Architektura heksagonalna (Ports &amp; Adapters) · modularny monolit Spring Boot · Java 21</w:t>
      </w:r>
    </w:p>
    <w:p w14:paraId="201F4EF7" w14:textId="77777777" w:rsidR="004C2999" w:rsidRDefault="00000000">
      <w:pPr>
        <w:jc w:val="center"/>
      </w:pPr>
      <w:r>
        <w:t>Wrocław, 2026</w:t>
      </w:r>
    </w:p>
    <w:p w14:paraId="6C251FB6" w14:textId="77777777" w:rsidR="004C2999" w:rsidRDefault="00000000">
      <w:r>
        <w:br w:type="page"/>
      </w:r>
    </w:p>
    <w:p w14:paraId="673E7BFB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1. Zakres dokumentu</w:t>
      </w:r>
    </w:p>
    <w:p w14:paraId="6327378E" w14:textId="77777777" w:rsidR="004C2999" w:rsidRDefault="00000000">
      <w:pPr>
        <w:spacing w:after="120" w:line="300" w:lineRule="auto"/>
        <w:jc w:val="both"/>
      </w:pPr>
      <w:r>
        <w:t>Dokument prezentuje model taktyczny systemu DeskFlow — aplikacji webowej do udostępniania zasobów biurowych (biurka, sale konferencyjne, sprzęt). Stanowi rozwinięcie modelu strategicznego (zadanie 1), w którym wyodrębniono cztery konteksty ograniczone (domena główna, dwie pomocnicze, trzy generyczne) oraz 15 przypadków użycia. Niniejsze opracowanie precyzuje strukturę wnętrza kontekstów: agregaty, encje, obiekty wartości, usługi dziedziny, zdarzenia, repozytoria, mapowania warstw oraz wdrożenie.</w:t>
      </w:r>
    </w:p>
    <w:p w14:paraId="728B2796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1.1. Stos technologiczny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4C2999" w14:paraId="365E7FD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7AA000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58F93C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Java 21, Spring Boot 3.x, Spring Data JPA, Spring Security</w:t>
            </w:r>
          </w:p>
        </w:tc>
      </w:tr>
      <w:tr w:rsidR="004C2999" w14:paraId="2CD70D46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A228E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EC932E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Next.js (SPA, klient HTTP/JSON)</w:t>
            </w:r>
          </w:p>
        </w:tc>
      </w:tr>
      <w:tr w:rsidR="004C2999" w14:paraId="2E589DA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250DCC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Baza danych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8F1D02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PostgreSQL</w:t>
            </w:r>
          </w:p>
        </w:tc>
      </w:tr>
      <w:tr w:rsidR="004C2999" w14:paraId="735610F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A51E42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Powiadomienia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8696DB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JavaMailSender → firmowy MTA (SMTP)</w:t>
            </w:r>
          </w:p>
        </w:tc>
      </w:tr>
      <w:tr w:rsidR="004C2999" w14:paraId="1B17987E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D5E9E3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Zdarzenia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7A839A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Spring ApplicationEventPublisher (in-process, ta sama JVM)</w:t>
            </w:r>
          </w:p>
        </w:tc>
      </w:tr>
      <w:tr w:rsidR="004C2999" w14:paraId="7E7140DA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341E2AD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Harmonogramy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A1FCEF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Spring @Scheduled</w:t>
            </w:r>
          </w:p>
        </w:tc>
      </w:tr>
      <w:tr w:rsidR="004C2999" w14:paraId="07C0B88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D1D7D7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Wdrożenie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23B7B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Docker Compose, pojedynczy host</w:t>
            </w:r>
          </w:p>
        </w:tc>
      </w:tr>
    </w:tbl>
    <w:p w14:paraId="0772BFAD" w14:textId="77777777" w:rsidR="004C2999" w:rsidRDefault="004C2999">
      <w:pPr>
        <w:spacing w:after="120"/>
      </w:pPr>
    </w:p>
    <w:p w14:paraId="582FF3AA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1.2. Spis przypadków użycia</w:t>
      </w:r>
    </w:p>
    <w:p w14:paraId="42A393DA" w14:textId="77777777" w:rsidR="004C2999" w:rsidRDefault="00000000">
      <w:pPr>
        <w:spacing w:after="120" w:line="300" w:lineRule="auto"/>
        <w:jc w:val="both"/>
      </w:pPr>
      <w:r>
        <w:t>Diagram na Rysunku 1. mapuje wszystkie 15 przypadków użycia na aktorów oraz na konteksty ograniczone. Wytłuszczone na diagramie strzałki „po zatwierdzeniu" i „po wydaniu" pokazują naturalną kolejność operacji w cyklu życia wniosku.</w:t>
      </w:r>
    </w:p>
    <w:p w14:paraId="186BFCE5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2108D8A" wp14:editId="4012AD0B">
            <wp:extent cx="4962525" cy="723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A9D9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1. Diagram przypadków użycia — 15 UC w 4 kontekstach ograniczonych</w:t>
      </w:r>
    </w:p>
    <w:p w14:paraId="636D9656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2. Architektura heksagonalna</w:t>
      </w:r>
    </w:p>
    <w:p w14:paraId="7E2D5D66" w14:textId="77777777" w:rsidR="004C2999" w:rsidRDefault="00000000">
      <w:pPr>
        <w:spacing w:after="120" w:line="300" w:lineRule="auto"/>
        <w:jc w:val="both"/>
      </w:pPr>
      <w:r>
        <w:t>Backend zaprojektowano w stylu Ports &amp; Adapters. Rdzeń (warstwy aplikacji i dziedziny) nie ma żadnych zależności od JPA, Springa MVC, SMTP czy innych technologii — komunikuje się z otoczeniem wyłącznie przez interfejsy (porty), które są implementowane przez adaptery w warstwie infrastruktury. Dzięki temu rdzeń jest w pełni testowalny bez bazy danych i można podmienić dowolny element infrastruktury bez modyfikacji logiki biznesowej.</w:t>
      </w:r>
    </w:p>
    <w:p w14:paraId="2D650213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lastRenderedPageBreak/>
        <w:t>2.1. Porty wejściowe</w:t>
      </w:r>
    </w:p>
    <w:p w14:paraId="170D5BA9" w14:textId="77777777" w:rsidR="004C2999" w:rsidRDefault="00000000">
      <w:pPr>
        <w:spacing w:after="120" w:line="300" w:lineRule="auto"/>
        <w:jc w:val="both"/>
      </w:pPr>
      <w:r>
        <w:t>Trzy interfejsy implementowane przez usługi aplikacji, wywoływane przez adaptery wejściowe (kontrolery REST oraz scheduler):</w:t>
      </w:r>
    </w:p>
    <w:p w14:paraId="7682242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WnioskiUsługaAplikacji — operacje Pracownika (UC-01, UC-02, UC-03, UC-14: oferta, złożenie, anulowanie, historia własna).</w:t>
      </w:r>
    </w:p>
    <w:p w14:paraId="79B2E4FB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AdministracjaUsługaAplikacji — operacje Kierownika udostępnień (UC-04…UC-09, UC-15: analiza, zatwierdzenie, odrzucenie, wydanie, zwrot, scheduler przeterminowań, monitorowanie).</w:t>
      </w:r>
    </w:p>
    <w:p w14:paraId="5F075D27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ZasobyUsługaAplikacji — operacje Kierownika zasobów biurowych (UC-10, UC-11: oznaczanie niedostępności, zarządzanie katalogiem).</w:t>
      </w:r>
    </w:p>
    <w:p w14:paraId="388D97A1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2.2. Porty wyjściowe</w:t>
      </w:r>
    </w:p>
    <w:p w14:paraId="2AFEDBFF" w14:textId="77777777" w:rsidR="004C2999" w:rsidRDefault="00000000">
      <w:pPr>
        <w:spacing w:after="120" w:line="300" w:lineRule="auto"/>
        <w:jc w:val="both"/>
      </w:pPr>
      <w:r>
        <w:t>Cztery interfejsy zdefiniowane w warstwie aplikacji, implementowane przez adaptery infrastrukturalne:</w:t>
      </w:r>
    </w:p>
    <w:p w14:paraId="0E4A9DA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WniosekRepozytorium — utrwalanie i wyszukiwanie agregatu WnioskOUdostępnienie.</w:t>
      </w:r>
    </w:p>
    <w:p w14:paraId="5F8FE018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ZasóbBiurowyRepozytorium — utrwalanie i wyszukiwanie agregatu ZasóbBiurowy.</w:t>
      </w:r>
    </w:p>
    <w:p w14:paraId="2D94E84A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PracownikRepozytorium — odczyt danych pracownika (limit, e-mail) z modułu Zarządzanie systemem.</w:t>
      </w:r>
    </w:p>
    <w:p w14:paraId="44A0241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PowiadomieniaPort — wysyłanie e-maili (adapter SMTP).</w:t>
      </w:r>
    </w:p>
    <w:p w14:paraId="4E966671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2.3. Diagram architektury heksagonalnej</w:t>
      </w:r>
    </w:p>
    <w:p w14:paraId="7AE4EB31" w14:textId="77777777" w:rsidR="004C2999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7854488" wp14:editId="3EA2DE76">
            <wp:extent cx="5524500" cy="3381375"/>
            <wp:effectExtent l="0" t="0" r="0" b="0"/>
            <wp:docPr id="1989566302" name="Picture 1989566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B774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2. Architektura heksagonalna backendu — porty (jasnopomarańczowe) i ich adaptery (niebieskie)</w:t>
      </w:r>
    </w:p>
    <w:p w14:paraId="4ACDB255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3. Mapa kontekstów</w:t>
      </w:r>
    </w:p>
    <w:p w14:paraId="503F54DF" w14:textId="77777777" w:rsidR="004C2999" w:rsidRDefault="00000000">
      <w:pPr>
        <w:spacing w:after="120" w:line="300" w:lineRule="auto"/>
        <w:jc w:val="both"/>
      </w:pPr>
      <w:r>
        <w:t>System dzieli się na cztery konteksty ograniczone żyjące w jednej JVM (modularny monolit). Komunikacja między modułami przebiega przez wywołania portów (synchronicznie) lub przez zdarzenia dziedziny publikowane in-process (asynchroniczna integracja z modułem Powiadomienia).</w:t>
      </w:r>
    </w:p>
    <w:p w14:paraId="28A7E1BB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lastRenderedPageBreak/>
        <w:t>3.1. Charakterystyka kontekstów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4C2999" w14:paraId="41047B2D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8B79EE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Udostępnianie zasobów biurowych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D185BD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DOMENA GŁÓWNA — proces złożenia wniosku, agregat WnioskOUdostępnienie, usługi dziedziny SprawdzanieDostępności + WeryfikacjaLimitu. Aktor: Pracownik.</w:t>
            </w:r>
          </w:p>
        </w:tc>
      </w:tr>
      <w:tr w:rsidR="004C2999" w14:paraId="2791F8D1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F64D2E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Zarządzanie zasobami i biurem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FBC3C3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Domena pomocnicza — katalog zasobów, agregat ZasóbBiurowy, usługa WeryfikacjaMożliwościModyfikacjiZasobu. Aktor: Kierownik zasobów biurowych.</w:t>
            </w:r>
          </w:p>
        </w:tc>
      </w:tr>
      <w:tr w:rsidR="004C2999" w14:paraId="657E6ED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032FD6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Administracja wnioskami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4EEA46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Domena pomocnicza — analiza, zatwierdzenie, odrzucenie, wydanie, odbiór, monitorowanie. Aktor: Kierownik udostępnień.</w:t>
            </w:r>
          </w:p>
        </w:tc>
      </w:tr>
      <w:tr w:rsidR="004C2999" w14:paraId="0D1C1C5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6F587E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Powiadomienia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A2B58F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Domena generyczna — subskrybent zdarzeń dziedziny, wysyła e-maile.</w:t>
            </w:r>
          </w:p>
        </w:tc>
      </w:tr>
      <w:tr w:rsidR="004C2999" w14:paraId="11E2FC7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783D4E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Uwierzytelnianie i autoryzacja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D48AF0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Domena generyczna — logowanie, sesja, role (Spring Security).</w:t>
            </w:r>
          </w:p>
        </w:tc>
      </w:tr>
      <w:tr w:rsidR="004C2999" w14:paraId="3FCDEC4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FC54EB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Zarządzanie systemem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52A698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Domena generyczna — encje Pracownik i Firma, konfiguracja limitów. Aktor: Informatyk.</w:t>
            </w:r>
          </w:p>
        </w:tc>
      </w:tr>
    </w:tbl>
    <w:p w14:paraId="59EE88E8" w14:textId="77777777" w:rsidR="004C2999" w:rsidRDefault="004C2999">
      <w:pPr>
        <w:spacing w:after="120"/>
      </w:pPr>
    </w:p>
    <w:p w14:paraId="2F0704B3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3.2. Relacje między kontekstami</w:t>
      </w:r>
    </w:p>
    <w:p w14:paraId="3B4C0764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Klient/Dostawca + ACL — Udostępnianie ↔ Zarządzanie zasobami (rdzeń czyta katalog zasobów przez cienką warstwę adaptacyjną).</w:t>
      </w:r>
    </w:p>
    <w:p w14:paraId="6EC4624A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Klient/Dostawca — Udostępnianie ↔ Administracja wniosków (rdzeń przekazuje wnioski do procedowania).</w:t>
      </w:r>
    </w:p>
    <w:p w14:paraId="7EFB9E59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Wydawca/Subskrybent — Udostępnianie ↔ Powiadomienia oraz Administracja ↔ Powiadomienia (zdarzenia dziedziny).</w:t>
      </w:r>
    </w:p>
    <w:p w14:paraId="15F6CB13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Konformista — wszystkie konteksty domenowe ↔ Uwierzytelnianie i Zarządzanie systemem (rdzeń dostosowuje się do modelu generycznych modułów).</w:t>
      </w:r>
    </w:p>
    <w:p w14:paraId="37D94C6E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93D3288" wp14:editId="0BC840D5">
            <wp:extent cx="5524500" cy="5715000"/>
            <wp:effectExtent l="0" t="0" r="0" b="0"/>
            <wp:docPr id="580663350" name="Picture 58066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D81A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3. Mapa kontekstów ograniczonych z opisem relacji</w:t>
      </w:r>
    </w:p>
    <w:p w14:paraId="46502381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4. Warstwa dziedziny</w:t>
      </w:r>
    </w:p>
    <w:p w14:paraId="0B6EDF56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4.1. Agregat WnioskOUdostępnienie</w:t>
      </w:r>
    </w:p>
    <w:p w14:paraId="377AA70E" w14:textId="77777777" w:rsidR="004C2999" w:rsidRDefault="00000000">
      <w:pPr>
        <w:spacing w:after="120" w:line="300" w:lineRule="auto"/>
        <w:jc w:val="both"/>
      </w:pPr>
      <w:r>
        <w:t>Centralny agregat domeny głównej. Jest jedynym punktem wejścia do modyfikacji procesu udostępnienia — wymusza wszystkie niezmienniki cyklu życia wniosku.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4C2999" w14:paraId="5161C05C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67A27E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Korzeń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D1B6E1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WnioskOUdostępnienie (encja)</w:t>
            </w:r>
          </w:p>
        </w:tc>
      </w:tr>
      <w:tr w:rsidR="004C2999" w14:paraId="480376E9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1D7578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Identyfikator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305396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WnioskId (Value Object, opakowanie UUID)</w:t>
            </w:r>
          </w:p>
        </w:tc>
      </w:tr>
      <w:tr w:rsidR="004C2999" w14:paraId="5711904C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F5A52E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Atrybuty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CEBC10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pracownikId, zasóbId, termin (VO), status (VO/enum), dataZłożenia, uzasadnienie</w:t>
            </w:r>
          </w:p>
        </w:tc>
      </w:tr>
      <w:tr w:rsidR="004C2999" w14:paraId="79BFDA6E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D98F52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Operacje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5C2337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złóż, zatwierdź, odrzuć(powód), anuluj, wydajZasób, zwróćZasób, przeterminuj</w:t>
            </w:r>
          </w:p>
        </w:tc>
      </w:tr>
      <w:tr w:rsidR="004C2999" w14:paraId="5ECDC50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2BABEA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Fabryka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6F16E3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WniosekFabryka.utwórz(pracownikId, zasóbId, termin, uzasadnienie) → WnioskOUdostępnienie</w:t>
            </w:r>
          </w:p>
        </w:tc>
      </w:tr>
      <w:tr w:rsidR="004C2999" w14:paraId="3EE40A1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0B763B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Repozytorium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C3781F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WniosekRepozytorium (port): zapisz, znajdź, znajdźAktywneDlaZasobu, znajdźPrzeterminowane</w:t>
            </w:r>
          </w:p>
        </w:tc>
      </w:tr>
    </w:tbl>
    <w:p w14:paraId="4D62E89F" w14:textId="77777777" w:rsidR="004C2999" w:rsidRDefault="00000000">
      <w:pPr>
        <w:pStyle w:val="Heading3"/>
        <w:spacing w:before="180" w:after="100"/>
      </w:pPr>
      <w:r>
        <w:rPr>
          <w:b/>
          <w:bCs/>
          <w:color w:val="444444"/>
          <w:sz w:val="22"/>
          <w:szCs w:val="22"/>
        </w:rPr>
        <w:t>Niezmienniki agregatu</w:t>
      </w:r>
    </w:p>
    <w:p w14:paraId="6682E94F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lastRenderedPageBreak/>
        <w:t>termin.dataOd musi być wcześniejsza niż termin.dataDo (walidacja w VO Termin).</w:t>
      </w:r>
    </w:p>
    <w:p w14:paraId="473D7BD4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Status zmienia się tylko zgodnie z dozwolonymi przejściami (Rysunek 8.).</w:t>
      </w:r>
    </w:p>
    <w:p w14:paraId="1CC43EB9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pracownikId i zasóbId są niezmienne po utworzeniu.</w:t>
      </w:r>
    </w:p>
    <w:p w14:paraId="2FA6F65B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Decyzja Kierownika (zatwierdzenie, odrzucenie) wykonalna tylko gdy status = ZŁOŻONY. Kolejne wywołanie → wyjątek (idempotentność).</w:t>
      </w:r>
    </w:p>
    <w:p w14:paraId="3345CEE9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Wydanie zasobu wykonalne tylko gdy status = ZATWIERDZONY; zwrot — gdy AKTYWNY lub PRZETERMINOWANY.</w:t>
      </w:r>
    </w:p>
    <w:p w14:paraId="181F8FEC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4.2. Agregat ZasóbBiurowy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098"/>
      </w:tblGrid>
      <w:tr w:rsidR="004C2999" w14:paraId="52A7F36E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E10AF5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Korzeń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6E11A7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ZasóbBiurowy (encja)</w:t>
            </w:r>
          </w:p>
        </w:tc>
      </w:tr>
      <w:tr w:rsidR="004C2999" w14:paraId="7C6C089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32B2E8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Identyfikator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062FFF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ZasóbId (VO, UUID)</w:t>
            </w:r>
          </w:p>
        </w:tc>
      </w:tr>
      <w:tr w:rsidR="004C2999" w14:paraId="158DA41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91DF6B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Atrybuty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34FAFE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typ (TypZasobu: BIURKO/SALA_KONFERENCYJNA/LAPTOP/MONITOR/PROJEKTOR/POJAZD/AKCESORIA), nazwa, lokalizacja (VO), aktywny</w:t>
            </w:r>
          </w:p>
        </w:tc>
      </w:tr>
      <w:tr w:rsidR="004C2999" w14:paraId="421EFF1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5DBBFB8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Operacje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56E1BE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dezaktywuj, edytuj(dane), oznaczJakoNiedostępny</w:t>
            </w:r>
          </w:p>
        </w:tc>
      </w:tr>
      <w:tr w:rsidR="004C2999" w14:paraId="718E057F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2C7FED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Fabryka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3482E2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ZasóbBiurowyFabryka.utwórz(typ, nazwa, lokalizacja)</w:t>
            </w:r>
          </w:p>
        </w:tc>
      </w:tr>
      <w:tr w:rsidR="004C2999" w14:paraId="056AE22E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75BA77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Repozytorium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7F65A2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ZasóbBiurowyRepozytorium (port): zapisz, znajdź, znajdźPoKryteriach(filtry)</w:t>
            </w:r>
          </w:p>
        </w:tc>
      </w:tr>
    </w:tbl>
    <w:p w14:paraId="7073A898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4.3. Obiekty wartości (Value Objects)</w:t>
      </w:r>
    </w:p>
    <w:p w14:paraId="2017BDAA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Termin { dataOd: LocalDate, dataDo: LocalDate } — z metodami nakładaSię(inny) i długośćDni().</w:t>
      </w:r>
    </w:p>
    <w:p w14:paraId="49D3F28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StatusWniosku — enum: ZŁOŻONY, ZATWIERDZONY, ODRZUCONY, AKTYWNY, ZAKOŃCZONY, ANULOWANY, PRZETERMINOWANY.</w:t>
      </w:r>
    </w:p>
    <w:p w14:paraId="630D1C95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TypZasobu — enum: BIURKO, SALA_KONFERENCYJNA, LAPTOP, MONITOR, PROJEKTOR, POJAZD, AKCESORIA.</w:t>
      </w:r>
    </w:p>
    <w:p w14:paraId="090E68A8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Lokalizacja { budynek, piętro, numer }.</w:t>
      </w:r>
    </w:p>
    <w:p w14:paraId="08D1B76C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WnioskId, ZasóbId, PracownikId — silnie typowane opakowania UUID. PracownikId żyje w domenie głównej jako VO; pełna encja Pracownik (z e-mailem i limitem) znajduje się w module Zarządzanie systemem.</w:t>
      </w:r>
    </w:p>
    <w:p w14:paraId="70765B29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4.4. Zdarzenia dziedziny</w:t>
      </w:r>
    </w:p>
    <w:p w14:paraId="07942531" w14:textId="77777777" w:rsidR="004C2999" w:rsidRDefault="00000000">
      <w:pPr>
        <w:spacing w:after="120" w:line="300" w:lineRule="auto"/>
        <w:jc w:val="both"/>
      </w:pPr>
      <w:r>
        <w:t>Agregat publikuje 7 typów zdarzeń (Rysunek 4.):</w:t>
      </w:r>
    </w:p>
    <w:p w14:paraId="59636E7D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WniosekZłożony — po metodzie złóż(); zawiera wniosekId, pracownikId, zasóbId, termin.</w:t>
      </w:r>
    </w:p>
    <w:p w14:paraId="56929942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WniosekZatwierdzony — po zatwierdź(); wniosekId, pracownikId.</w:t>
      </w:r>
    </w:p>
    <w:p w14:paraId="510E6FBD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WniosekOdrzucony — po odrzuć(powód); wniosekId, pracownikId, powód.</w:t>
      </w:r>
    </w:p>
    <w:p w14:paraId="31E17BA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WniosekAnulowany — po anuluj().</w:t>
      </w:r>
    </w:p>
    <w:p w14:paraId="325289C5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ZasóbWydany — po wydajZasób(); wniosekId, pracownikId, zasóbId, chwila.</w:t>
      </w:r>
    </w:p>
    <w:p w14:paraId="237C0FF4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ZasóbZwrócony — po zwróćZasób(); wniosekId, zasóbId, chwila.</w:t>
      </w:r>
    </w:p>
    <w:p w14:paraId="697CBEC2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UdostępnieniePrzeterminowane — po przeterminuj(); wykrywane przez scheduler (UC-09).</w:t>
      </w:r>
    </w:p>
    <w:p w14:paraId="71AEFE60" w14:textId="77777777" w:rsidR="004C2999" w:rsidRDefault="00000000">
      <w:pPr>
        <w:spacing w:after="120" w:line="300" w:lineRule="auto"/>
        <w:jc w:val="both"/>
      </w:pPr>
      <w:r>
        <w:t>Zdarzenia są wystawiane przez Spring ApplicationEventPublisher po pomyślnym zapisie agregatu w transakcji. Moduł Powiadomienia jest ich subskrybentem przez @EventListener — wysyła e-mail asynchronicznie po commicie transakcji (@TransactionalEventListener).</w:t>
      </w:r>
    </w:p>
    <w:p w14:paraId="6161AA46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4.5. Diagram modelu dziedziny</w:t>
      </w:r>
    </w:p>
    <w:p w14:paraId="7ACE33F1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C6BF26A" wp14:editId="743F8779">
            <wp:extent cx="3152775" cy="7239000"/>
            <wp:effectExtent l="0" t="0" r="0" b="0"/>
            <wp:docPr id="417017428" name="Picture 417017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8FB3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4. Model dziedziny — agregaty, obiekty wartości, fabryki, repozytoria, zdarzenia</w:t>
      </w:r>
    </w:p>
    <w:p w14:paraId="77B4961F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5. Usługi dziedziny i usługi aplikacji</w:t>
      </w:r>
    </w:p>
    <w:p w14:paraId="65F02A21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5.1. Usługi dziedziny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8"/>
        <w:gridCol w:w="5428"/>
      </w:tblGrid>
      <w:tr w:rsidR="004C2999" w14:paraId="642FC6F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8D3264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SprawdzanieDostępnościZasobuBiurowego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D31094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Wejście: ZasóbId, Termin. Wyjście: boolean. Reguły: niedostępny, jeśli istnieje wniosek o statusie ZATWIERDZONY/AKTYWNY/PRZETERMINOWANY w nakładającym </w:t>
            </w:r>
            <w:r>
              <w:rPr>
                <w:sz w:val="20"/>
                <w:szCs w:val="20"/>
              </w:rPr>
              <w:lastRenderedPageBreak/>
              <w:t>się terminie, lub zasób został oznaczony jako niedostępny / zdezaktywowany.</w:t>
            </w:r>
          </w:p>
        </w:tc>
      </w:tr>
      <w:tr w:rsidR="004C2999" w14:paraId="4820FC9D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F103B2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WeryfikacjaLimituPracownika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2770D9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Wejście: PracownikId, TypZasobu. Wyjście: boolean. Limit pochodzi z modułu Zarządzanie systemem. Do limitu liczą się statusy ZŁOŻONY, ZATWIERDZONY, AKTYWNY.</w:t>
            </w:r>
          </w:p>
        </w:tc>
      </w:tr>
      <w:tr w:rsidR="004C2999" w14:paraId="1F35641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87ED53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WeryfikacjaMożliwościModyfikacjiZasobu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A85E45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Wejście: ZasóbId, TypModyfikacji. Wyjście: boolean. Niemożliwa, jeśli zasób ma wnioski o statusach ZATWIERDZONY/AKTYWNY/PRZETERMINOWANY.</w:t>
            </w:r>
          </w:p>
        </w:tc>
      </w:tr>
    </w:tbl>
    <w:p w14:paraId="5E4DBD31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5.2. Usługi aplikacji</w:t>
      </w:r>
    </w:p>
    <w:p w14:paraId="675FDDC9" w14:textId="77777777" w:rsidR="004C2999" w:rsidRDefault="00000000">
      <w:pPr>
        <w:spacing w:after="120" w:line="300" w:lineRule="auto"/>
        <w:jc w:val="both"/>
      </w:pPr>
      <w:r>
        <w:t>Cztery komponenty Springowe (@Service) implementujące porty wejściowe. Każda metoda publiczna oznaczona @Transactional — jedna metoda = jedna transakcja = jedna zmiana stanu jednego agregatu.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6312"/>
      </w:tblGrid>
      <w:tr w:rsidR="004C2999" w14:paraId="2D8DC952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CC51D1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WnioskiApplicationService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6BAB0C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UC-01 przeglądajOfertę(query), UC-02 złóżWniosek(cmd), UC-03 anulujWniosek(cmd), UC-14 przeglądajHistorię(query)</w:t>
            </w:r>
          </w:p>
        </w:tc>
      </w:tr>
      <w:tr w:rsidR="004C2999" w14:paraId="1E7028C0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712016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AdministracjaApplicationService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E8C8E8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UC-04 analizujWnioski(query), UC-05 zatwierdźWniosek(cmd), UC-06 odrzućWniosek(cmd), UC-07 wydajZasób(cmd), UC-08 zwróćZasób(cmd), UC-15 monitorujUdostępnienia(query)</w:t>
            </w:r>
          </w:p>
        </w:tc>
      </w:tr>
      <w:tr w:rsidR="004C2999" w14:paraId="57D902B8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D817A1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ZasobyApplicationService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0F5913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UC-10 oznaczNiedostępność(cmd), UC-11 dodajZasób / edytujZasób / dezaktywujZasób(cmd)</w:t>
            </w:r>
          </w:p>
        </w:tc>
      </w:tr>
      <w:tr w:rsidR="004C2999" w14:paraId="0817D4BB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4A3E5C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PrzeterminowaniaScheduler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473061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UC-09 wykryjPrzeterminowane() — Spring @Scheduled, uruchamiany cyklicznie (np. co godzinę)</w:t>
            </w:r>
          </w:p>
        </w:tc>
      </w:tr>
    </w:tbl>
    <w:p w14:paraId="1548B518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43D2B49" wp14:editId="79B272CC">
            <wp:extent cx="5524500" cy="6305550"/>
            <wp:effectExtent l="0" t="0" r="0" b="0"/>
            <wp:docPr id="1921149335" name="Picture 192114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252C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5. Usługi dziedziny i usługi aplikacji z mapowaniem na UC</w:t>
      </w:r>
    </w:p>
    <w:p w14:paraId="4D96DF73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6. Przypadki użycia — diagramy sekwencji</w:t>
      </w:r>
    </w:p>
    <w:p w14:paraId="30073025" w14:textId="77777777" w:rsidR="004C2999" w:rsidRDefault="00000000">
      <w:pPr>
        <w:spacing w:after="120" w:line="300" w:lineRule="auto"/>
        <w:jc w:val="both"/>
      </w:pPr>
      <w:r>
        <w:t>Dla sześciu kluczowych przypadków użycia przygotowano diagramy sekwencji pokazujące przepływ sterowania przez wszystkie warstwy architektury heksagonalnej, włącznie z publikacją zdarzeń dziedziny i wysłaniem powiadomień.</w:t>
      </w:r>
    </w:p>
    <w:p w14:paraId="1ECECE77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6.1. UC-02: Złożenie wniosku o udostępnienie</w:t>
      </w:r>
    </w:p>
    <w:p w14:paraId="7ED36898" w14:textId="77777777" w:rsidR="004C2999" w:rsidRDefault="00000000">
      <w:pPr>
        <w:spacing w:after="120" w:line="300" w:lineRule="auto"/>
        <w:jc w:val="both"/>
      </w:pPr>
      <w:r>
        <w:t>Główny scenariusz dla Pracownika. Walidacja limitu i dostępności poprzedza utworzenie agregatu.</w:t>
      </w:r>
    </w:p>
    <w:p w14:paraId="0F60865C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DEAEFCC" wp14:editId="48FE5055">
            <wp:extent cx="5524500" cy="2076450"/>
            <wp:effectExtent l="0" t="0" r="0" b="0"/>
            <wp:docPr id="1693627156" name="Picture 1693627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238F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6. Sekwencja UC-02 — złożenie wniosku</w:t>
      </w:r>
    </w:p>
    <w:p w14:paraId="30D3D7E7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6.2. UC-03: Anulowanie wniosku</w:t>
      </w:r>
    </w:p>
    <w:p w14:paraId="4A0E802D" w14:textId="77777777" w:rsidR="004C2999" w:rsidRDefault="00000000">
      <w:pPr>
        <w:spacing w:after="120" w:line="300" w:lineRule="auto"/>
        <w:jc w:val="both"/>
      </w:pPr>
      <w:r>
        <w:t>Pracownik może anulować swój wniosek, dopóki nie został wydany (status ZŁOŻONY lub ZATWIERDZONY).</w:t>
      </w:r>
    </w:p>
    <w:p w14:paraId="29580E39" w14:textId="77777777" w:rsidR="004C2999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F5CA3F2" wp14:editId="000A574E">
            <wp:extent cx="5524500" cy="2371725"/>
            <wp:effectExtent l="0" t="0" r="0" b="0"/>
            <wp:docPr id="711972840" name="Picture 711972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6C50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7. Sekwencja UC-03 — anulowanie wniosku</w:t>
      </w:r>
    </w:p>
    <w:p w14:paraId="0715F71B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6.3. UC-04 / UC-05 / UC-06: Analiza, zatwierdzenie i odrzucenie</w:t>
      </w:r>
    </w:p>
    <w:p w14:paraId="70B58991" w14:textId="77777777" w:rsidR="004C2999" w:rsidRDefault="00000000">
      <w:pPr>
        <w:spacing w:after="120" w:line="300" w:lineRule="auto"/>
        <w:jc w:val="both"/>
      </w:pPr>
      <w:r>
        <w:t>Trzy powiązane przypadki użycia po stronie Kierownika udostępnień. Decyzja zatwierdzenia lub odrzucenia jest możliwa tylko z poziomu statusu ZŁOŻONY — niezmiennik agregatu chroni przed wielokrotnym decydowaniem.</w:t>
      </w:r>
    </w:p>
    <w:p w14:paraId="7F6B79CE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7C3FD64" wp14:editId="24DCA5B2">
            <wp:extent cx="5524500" cy="4619625"/>
            <wp:effectExtent l="0" t="0" r="0" b="0"/>
            <wp:docPr id="1582281881" name="Picture 158228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D6E2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8. Sekwencja UC-04 / UC-05 / UC-06</w:t>
      </w:r>
    </w:p>
    <w:p w14:paraId="283C9078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6.4. UC-07: Wydanie zasobu</w:t>
      </w:r>
    </w:p>
    <w:p w14:paraId="367F0271" w14:textId="77777777" w:rsidR="004C2999" w:rsidRDefault="00000000">
      <w:pPr>
        <w:spacing w:after="120" w:line="300" w:lineRule="auto"/>
        <w:jc w:val="both"/>
      </w:pPr>
      <w:r>
        <w:t>Fizyczne przekazanie zasobu Pracownikowi. Status: ZATWIERDZONY → AKTYWNY.</w:t>
      </w:r>
    </w:p>
    <w:p w14:paraId="418D8164" w14:textId="77777777" w:rsidR="004C2999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FCD5FE7" wp14:editId="44E4EA46">
            <wp:extent cx="5524500" cy="2524125"/>
            <wp:effectExtent l="0" t="0" r="0" b="0"/>
            <wp:docPr id="2139419519" name="Picture 2139419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B916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9. Sekwencja UC-07 — wydanie zasobu</w:t>
      </w:r>
    </w:p>
    <w:p w14:paraId="462E6013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6.5. UC-08: Zwrot zasobu</w:t>
      </w:r>
    </w:p>
    <w:p w14:paraId="7C28A612" w14:textId="77777777" w:rsidR="004C2999" w:rsidRDefault="00000000">
      <w:pPr>
        <w:spacing w:after="120" w:line="300" w:lineRule="auto"/>
        <w:jc w:val="both"/>
      </w:pPr>
      <w:r>
        <w:t>Zakończenie procesu udostępnienia. Status: AKTYWNY lub PRZETERMINOWANY → ZAKOŃCZONY.</w:t>
      </w:r>
    </w:p>
    <w:p w14:paraId="3E77F354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CFC529A" wp14:editId="16F9A940">
            <wp:extent cx="5524500" cy="2324100"/>
            <wp:effectExtent l="0" t="0" r="0" b="0"/>
            <wp:docPr id="631138271" name="Picture 631138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C1D9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10. Sekwencja UC-08 — zwrot zasobu</w:t>
      </w:r>
    </w:p>
    <w:p w14:paraId="231F5DA0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6.6. UC-09: Wykrycie przeterminowanych udostępnień</w:t>
      </w:r>
    </w:p>
    <w:p w14:paraId="05579B05" w14:textId="77777777" w:rsidR="004C2999" w:rsidRDefault="00000000">
      <w:pPr>
        <w:spacing w:after="120" w:line="300" w:lineRule="auto"/>
        <w:jc w:val="both"/>
      </w:pPr>
      <w:r>
        <w:t>Cyklicznie uruchamiany scheduler (aktor systemowy „Czas") wyszukuje wnioski o statusie AKTYWNY, dla których dataDo minęła, i przechodzi je do statusu PRZETERMINOWANE. Zdarzenie UdostępnieniePrzeterminowane wyzwala powiadomienie do Pracownika i Kierownika udostępnień.</w:t>
      </w:r>
    </w:p>
    <w:p w14:paraId="0CE2C4C5" w14:textId="77777777" w:rsidR="004C2999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2DEC4C9" wp14:editId="372FFFE7">
            <wp:extent cx="5524500" cy="2762250"/>
            <wp:effectExtent l="0" t="0" r="0" b="0"/>
            <wp:docPr id="1753955733" name="Picture 175395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64A6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11. Sekwencja UC-09 — wykrywanie przeterminowań przez scheduler</w:t>
      </w:r>
    </w:p>
    <w:p w14:paraId="01591F28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7. Kanwa agregatu — przejścia stanów</w:t>
      </w:r>
    </w:p>
    <w:p w14:paraId="530CF5C1" w14:textId="77777777" w:rsidR="004C2999" w:rsidRDefault="00000000">
      <w:pPr>
        <w:spacing w:after="120" w:line="300" w:lineRule="auto"/>
        <w:jc w:val="both"/>
      </w:pPr>
      <w:r>
        <w:t>Diagram stanów (Rysunek 12.) jest sercem agregatu WnioskOUdostępnienie. Każda krawędź odpowiada jednej operacji domenowej i jednemu zdarzeniu dziedziny. Każdy stan ma jasno określone, dozwolone wyjścia — próba wywołania niedozwolonego przejścia kończy się wyjątkiem (chroniony niezmiennik).</w:t>
      </w:r>
    </w:p>
    <w:p w14:paraId="333CDE1B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7791331" wp14:editId="0AE21A38">
            <wp:extent cx="5524500" cy="1333500"/>
            <wp:effectExtent l="0" t="0" r="0" b="0"/>
            <wp:docPr id="1071599217" name="Picture 1071599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93D1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12. Maszyna stanowa agregatu WnioskOUdostępnienie</w:t>
      </w:r>
    </w:p>
    <w:p w14:paraId="403082E1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7.1. Granica transakcyjna</w:t>
      </w:r>
    </w:p>
    <w:p w14:paraId="2019D64B" w14:textId="77777777" w:rsidR="004C2999" w:rsidRDefault="00000000">
      <w:pPr>
        <w:spacing w:after="120" w:line="300" w:lineRule="auto"/>
        <w:jc w:val="both"/>
      </w:pPr>
      <w:r>
        <w:t>Cały agregat modyfikowany jest w jednej transakcji bazodanowej. Pracownik i ZasóbBiurowy referowane są wyłącznie przez identyfikatory (VO) — modyfikacja kilku agregatów w jednej operacji aplikacyjnej jest niedozwolona. Spójność między agregatami jest osiągana eventually, za pośrednictwem zdarzeń dziedziny.</w:t>
      </w:r>
    </w:p>
    <w:p w14:paraId="1A3ECBF2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8. Mapowanie między warstwami</w:t>
      </w:r>
    </w:p>
    <w:p w14:paraId="7622CE70" w14:textId="77777777" w:rsidR="004C2999" w:rsidRDefault="00000000">
      <w:pPr>
        <w:spacing w:after="120" w:line="300" w:lineRule="auto"/>
        <w:jc w:val="both"/>
      </w:pPr>
      <w:r>
        <w:t>Architektura heksagonalna wymaga jawnej transformacji danych przy każdym przekroczeniu granicy warstwy. Rysunek 13. pokazuje to mapowanie na przykładzie UC-02:</w:t>
      </w:r>
    </w:p>
    <w:p w14:paraId="3056A27D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Prezentacja: WniosekRequestDTO / WniosekResponseDTO (JSON).</w:t>
      </w:r>
    </w:p>
    <w:p w14:paraId="06A45C5F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Aplikacja: WniosekMapper przekształca DTO ↔ Command/Domain; ZlozWniosekCommand niesie silnie typowane wartości (UUID, Termin).</w:t>
      </w:r>
    </w:p>
    <w:p w14:paraId="6A785C82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Dziedzina: WnioskOUdostępnienie + Termin — bez adnotacji JPA i Spring; konstrukcja przez WniosekFabryka.</w:t>
      </w:r>
    </w:p>
    <w:p w14:paraId="2681E9A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Infrastruktura: WniosekEntityMapper przekształca Domain ↔ WniosekEntity (JPA); JpaWniosekRepozytorium implementuje port WniosekRepozytorium delegując do Spring Data JPA.</w:t>
      </w:r>
    </w:p>
    <w:p w14:paraId="60EE74C0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F147A89" wp14:editId="6FADA957">
            <wp:extent cx="4362450" cy="7239000"/>
            <wp:effectExtent l="0" t="0" r="0" b="0"/>
            <wp:docPr id="1023263929" name="Picture 102326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E0F6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13. Mapowanie warstw na przykładzie UC-02</w:t>
      </w:r>
    </w:p>
    <w:p w14:paraId="5E2016D4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9. Komponenty i wdrożenie</w:t>
      </w:r>
    </w:p>
    <w:p w14:paraId="1018BE93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9.1. Struktura backendu — modularny monolit</w:t>
      </w:r>
    </w:p>
    <w:p w14:paraId="2053D509" w14:textId="77777777" w:rsidR="004C2999" w:rsidRDefault="00000000">
      <w:pPr>
        <w:spacing w:after="120" w:line="300" w:lineRule="auto"/>
        <w:jc w:val="both"/>
      </w:pPr>
      <w:r>
        <w:t xml:space="preserve">System został zaimplementowany jako modularny monolit Spring Boot — wszystkie konteksty żyją w jednej JVM. Komunikacja między modułami przechodzi przez wywołania portów lub przez Spring ApplicationEventPublisher (in-process, ta sama JVM, brak brokera komunikatów). To znacznie upraszcza </w:t>
      </w:r>
      <w:r>
        <w:lastRenderedPageBreak/>
        <w:t>wdrożenie i debugowanie w porównaniu z mikroserwisami, jednocześnie zachowując czystą architekturę i możliwość łatwego wyodrębnienia modułów w przyszłości, gdyby skala tego wymagała.</w:t>
      </w:r>
    </w:p>
    <w:p w14:paraId="4B20869F" w14:textId="77777777" w:rsidR="004C2999" w:rsidRDefault="00000000">
      <w:pPr>
        <w:spacing w:after="120" w:line="300" w:lineRule="auto"/>
        <w:jc w:val="both"/>
      </w:pPr>
      <w:r>
        <w:t>Backend dzieli się na sześć modułów odpowiadających kontekstom z mapy:</w:t>
      </w:r>
    </w:p>
    <w:p w14:paraId="39D95F20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Moduł procesowy: Udostępnianie zasobów biurowych (Core) — WnioskiController, WnioskiApplicationService, usługi dziedziny, agregat WnioskOUdostępnienie.</w:t>
      </w:r>
    </w:p>
    <w:p w14:paraId="63230E89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Moduł procesowy: Administracja wnioskami (Supporting) — AdministracjaController, AdministracjaApplicationService, PrzeterminowaniaScheduler.</w:t>
      </w:r>
    </w:p>
    <w:p w14:paraId="52F19BA6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Moduł procesowy: Zarządzanie zasobami i biurem (Supporting) — ZasobyController, ZasobyApplicationService, WeryfikacjaMożliwościModyfikacjiZasobu, agregat ZasóbBiurowy.</w:t>
      </w:r>
    </w:p>
    <w:p w14:paraId="19ED0F24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Moduł wspomagający: Zarządzanie systemem (Generic) — KonfiguracjaController, KonfiguracjaApplicationService (limity, pracownicy, dane firmy).</w:t>
      </w:r>
    </w:p>
    <w:p w14:paraId="366A97C5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Moduł wspomagający: Uwierzytelnianie i autoryzacja (Generic) — SecurityFilter + Spring Security, UżytkownikApplicationService.</w:t>
      </w:r>
    </w:p>
    <w:p w14:paraId="324D232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Moduł wspomagający: Powiadomienia (Generic) — PowiadomieniaEventListener (@EventListener), SmtpAdapter (JavaMailSender).</w:t>
      </w:r>
    </w:p>
    <w:p w14:paraId="544B618B" w14:textId="77777777" w:rsidR="004C2999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4466B0F" wp14:editId="4C861369">
            <wp:extent cx="5524500" cy="2352675"/>
            <wp:effectExtent l="0" t="0" r="0" b="0"/>
            <wp:docPr id="955920829" name="Picture 955920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F66C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14. Diagram komponentów — modularny monolit Spring Boot</w:t>
      </w:r>
    </w:p>
    <w:p w14:paraId="2C9F80C6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9.2. Diagram wdrożenia</w:t>
      </w:r>
    </w:p>
    <w:p w14:paraId="7E1C0936" w14:textId="77777777" w:rsidR="004C2999" w:rsidRDefault="00000000">
      <w:pPr>
        <w:spacing w:after="120" w:line="300" w:lineRule="auto"/>
        <w:jc w:val="both"/>
      </w:pPr>
      <w:r>
        <w:t>Wdrożenie produkcyjne korzysta z Docker Compose na pojedynczym hoście. Dwa kontenery (backend Spring Boot + PostgreSQL) komunikują się przez sieć dockerową, a firmowy serwer SMTP traktowany jest jako usługa zewnętrzna. Frontend Next.js działa po stronie przeglądarki klienta i łączy się z backendem przez HTTPS na porcie 443.</w:t>
      </w:r>
    </w:p>
    <w:p w14:paraId="149A624B" w14:textId="77777777" w:rsidR="004C2999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EA391D0" wp14:editId="741DBD43">
            <wp:extent cx="5524500" cy="5772150"/>
            <wp:effectExtent l="0" t="0" r="0" b="0"/>
            <wp:docPr id="624314118" name="Picture 624314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8C86" w14:textId="77777777" w:rsidR="004C2999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Rysunek 15. Diagram wdrożenia — Docker Compose, monolit Spring Boot</w:t>
      </w:r>
    </w:p>
    <w:p w14:paraId="4650A9C6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10. Zasady SOLID i wzorce</w:t>
      </w:r>
    </w:p>
    <w:p w14:paraId="1F8DFA82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10.1. Zasady SOLID w projekcie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6769"/>
      </w:tblGrid>
      <w:tr w:rsidR="004C2999" w14:paraId="02C68077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D01516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SRP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C5A7E2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Każdy moduł, agregat, usługa i adapter ma jedną odpowiedzialność (Wnioski, Administracja, Zasoby — osobne usługi aplikacji).</w:t>
            </w:r>
          </w:p>
        </w:tc>
      </w:tr>
      <w:tr w:rsidR="004C2999" w14:paraId="4D6FF933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3B1645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OCP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D22205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Nowe typy zasobów (TypZasobu) i nowe kanały powiadomień (kolejny adapter implementujący PowiadomieniaPort) bez zmiany istniejącego kodu.</w:t>
            </w:r>
          </w:p>
        </w:tc>
      </w:tr>
      <w:tr w:rsidR="004C2999" w14:paraId="773F6CE2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B7FC22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LSP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507FB1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Adaptery repozytoriów wymienne (InMemory… w testach ↔ Jpa… w produkcji).</w:t>
            </w:r>
          </w:p>
        </w:tc>
      </w:tr>
      <w:tr w:rsidR="004C2999" w14:paraId="3C04BEF4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411429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ISP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AF3EAF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Porty podzielone wg odpowiedzialności (osobne repozytoria, PowiadomieniaPort) zamiast jednego „God-interface".</w:t>
            </w:r>
          </w:p>
        </w:tc>
      </w:tr>
      <w:tr w:rsidR="004C2999" w14:paraId="78D60041" w14:textId="77777777">
        <w:tblPrEx>
          <w:tblCellMar>
            <w:top w:w="0" w:type="dxa"/>
            <w:bottom w:w="0" w:type="dxa"/>
          </w:tblCellMar>
        </w:tblPrEx>
        <w:tc>
          <w:tcPr>
            <w:tcW w:w="22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1E6864" w14:textId="77777777" w:rsidR="004C299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DIP</w:t>
            </w:r>
          </w:p>
        </w:tc>
        <w:tc>
          <w:tcPr>
            <w:tcW w:w="6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977E53" w14:textId="77777777" w:rsidR="004C2999" w:rsidRDefault="00000000">
            <w:pPr>
              <w:spacing w:after="40"/>
            </w:pPr>
            <w:r>
              <w:rPr>
                <w:sz w:val="20"/>
                <w:szCs w:val="20"/>
              </w:rPr>
              <w:t>Warstwa aplikacji zależy od portów (interfejsów), nie od adapterów. Wstrzykiwanie zależności realizowane przez Spring IoC w warstwie kompozycji.</w:t>
            </w:r>
          </w:p>
        </w:tc>
      </w:tr>
    </w:tbl>
    <w:p w14:paraId="44D4B01B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10.2. Wykorzystane wzorce projektowe</w:t>
      </w:r>
    </w:p>
    <w:p w14:paraId="2E74C444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Hexagonal / Ports &amp; Adapters — fundamentalny wzorzec architektoniczny rdzenia.</w:t>
      </w:r>
    </w:p>
    <w:p w14:paraId="509A30FB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lastRenderedPageBreak/>
        <w:t>Aggregate Root — WnioskOUdostępnienie i ZasóbBiurowy jako jedyne punkty wejścia do swoich agregatów.</w:t>
      </w:r>
    </w:p>
    <w:p w14:paraId="4655E393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Factory — WniosekFabryka, ZasóbBiurowyFabryka zapewniają niezmienniki od momentu powstania obiektu.</w:t>
      </w:r>
    </w:p>
    <w:p w14:paraId="680868CC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Repository — WniosekRepozytorium, ZasóbBiurowyRepozytorium, PracownikRepozytorium jako porty wyjściowe.</w:t>
      </w:r>
    </w:p>
    <w:p w14:paraId="25A9579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Domain Event + Observer — Spring @EventListener / @TransactionalEventListener dla luźnego sprzężenia z modułem Powiadomień.</w:t>
      </w:r>
    </w:p>
    <w:p w14:paraId="6C930563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CQRS (lekki wariant) — Command (np. ZlozWnioskCommand) i Query (np. przeglądajOfertę) rozdzielone w warstwie aplikacji.</w:t>
      </w:r>
    </w:p>
    <w:p w14:paraId="5F42A19F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Anti-Corruption Layer — cienka warstwa adaptacyjna między rdzeniem a modułem Zarządzanie zasobami.</w:t>
      </w:r>
    </w:p>
    <w:p w14:paraId="1A3F37F1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Mapper — WniosekMapper (DTO ↔ Domain) oraz WniosekEntityMapper (Domain ↔ JPA).</w:t>
      </w:r>
    </w:p>
    <w:p w14:paraId="0651D09A" w14:textId="77777777" w:rsidR="004C2999" w:rsidRDefault="00000000">
      <w:pPr>
        <w:pStyle w:val="Heading1"/>
        <w:spacing w:before="320" w:after="160"/>
      </w:pPr>
      <w:r>
        <w:rPr>
          <w:b/>
          <w:bCs/>
          <w:color w:val="1F3864"/>
        </w:rPr>
        <w:t>11. Podsumowanie</w:t>
      </w:r>
    </w:p>
    <w:p w14:paraId="0BBC5254" w14:textId="77777777" w:rsidR="004C2999" w:rsidRDefault="00000000">
      <w:pPr>
        <w:spacing w:after="120" w:line="300" w:lineRule="auto"/>
        <w:jc w:val="both"/>
      </w:pPr>
      <w:r>
        <w:t>Model taktyczny dostarcza kompletny szkielet implementacyjny: strukturę pakietów (domain, application, infrastructure w obrębie każdego z sześciu modułów), nazwy klas, sygnatury metod, mapowania warstw, granice transakcyjne i niezmienniki agregatów. Kierownik implementacji otrzymuje wszystkie elementy potrzebne do napisania kodu w Java/Spring Boot. Kierownik testowania może formułować przypadki testowe na podstawie diagramów sekwencji (testy systemowe), reguł usług dziedziny (testy jednostkowe usług) i niezmienników agregatu (testy jednostkowe agregatu).</w:t>
      </w:r>
    </w:p>
    <w:p w14:paraId="52AF24B3" w14:textId="77777777" w:rsidR="004C2999" w:rsidRDefault="00000000">
      <w:pPr>
        <w:spacing w:after="120" w:line="300" w:lineRule="auto"/>
        <w:jc w:val="both"/>
      </w:pPr>
      <w:r>
        <w:t>Decyzje projektowe są spójne z metodologią MIASI: czysta architektura heksagonalna (rozdz. 2), DDD na poziomie strategicznym (mapa kontekstów — rozdz. 3) i taktycznym (agregaty, encje, VO, usługi dziedziny, zdarzenia — rozdz. 4–5), MDD (model napędza implementację — rozdz. 8), EDA (zdarzenia dziedziny — rozdz. 4.4 i 6) oraz TDD (rdzeń w pełni testowalny bez infrastruktury dzięki portom).</w:t>
      </w:r>
    </w:p>
    <w:p w14:paraId="241FCC1C" w14:textId="77777777" w:rsidR="004C2999" w:rsidRDefault="00000000">
      <w:pPr>
        <w:pStyle w:val="Heading2"/>
        <w:spacing w:before="240" w:after="120"/>
      </w:pPr>
      <w:r>
        <w:rPr>
          <w:b/>
          <w:bCs/>
          <w:color w:val="2E5395"/>
        </w:rPr>
        <w:t>Spis rysunków</w:t>
      </w:r>
    </w:p>
    <w:p w14:paraId="72E602EB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1. Diagram przypadków użycia — 15 UC w 4 kontekstach ograniczonych</w:t>
      </w:r>
    </w:p>
    <w:p w14:paraId="7D0AECC6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2. Architektura heksagonalna backendu</w:t>
      </w:r>
    </w:p>
    <w:p w14:paraId="272A6E6E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3. Mapa kontekstów ograniczonych</w:t>
      </w:r>
    </w:p>
    <w:p w14:paraId="21DB273D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4. Model dziedziny — agregaty, obiekty wartości, fabryki, repozytoria, zdarzenia</w:t>
      </w:r>
    </w:p>
    <w:p w14:paraId="6F7D0841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5. Usługi dziedziny i usługi aplikacji z mapowaniem na UC</w:t>
      </w:r>
    </w:p>
    <w:p w14:paraId="2AB28F30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6. Sekwencja UC-02 — złożenie wniosku</w:t>
      </w:r>
    </w:p>
    <w:p w14:paraId="1F2BFBBB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7. Sekwencja UC-03 — anulowanie wniosku</w:t>
      </w:r>
    </w:p>
    <w:p w14:paraId="7564FFDC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8. Sekwencja UC-04 / UC-05 / UC-06</w:t>
      </w:r>
    </w:p>
    <w:p w14:paraId="3EB88D56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9. Sekwencja UC-07 — wydanie zasobu</w:t>
      </w:r>
    </w:p>
    <w:p w14:paraId="4913042B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10. Sekwencja UC-08 — zwrot zasobu</w:t>
      </w:r>
    </w:p>
    <w:p w14:paraId="7993BCFC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11. Sekwencja UC-09 — wykrywanie przeterminowań</w:t>
      </w:r>
    </w:p>
    <w:p w14:paraId="33C607CF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12. Maszyna stanowa agregatu WnioskOUdostępnienie</w:t>
      </w:r>
    </w:p>
    <w:p w14:paraId="4F265834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13. Mapowanie warstw na przykładzie UC-02</w:t>
      </w:r>
    </w:p>
    <w:p w14:paraId="0D12B216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t>Rysunek 14. Diagram komponentów — modularny monolit Spring Boot</w:t>
      </w:r>
    </w:p>
    <w:p w14:paraId="2146BEC0" w14:textId="77777777" w:rsidR="004C2999" w:rsidRDefault="00000000">
      <w:pPr>
        <w:pStyle w:val="ListParagraph"/>
        <w:numPr>
          <w:ilvl w:val="0"/>
          <w:numId w:val="2"/>
        </w:numPr>
        <w:spacing w:after="40" w:line="280" w:lineRule="auto"/>
      </w:pPr>
      <w:r>
        <w:lastRenderedPageBreak/>
        <w:t>Rysunek 15. Diagram wdrożenia — Docker Compose</w:t>
      </w:r>
    </w:p>
    <w:sectPr w:rsidR="004C2999">
      <w:headerReference w:type="default" r:id="rId22"/>
      <w:footerReference w:type="default" r:id="rId23"/>
      <w:pgSz w:w="11906" w:h="16838"/>
      <w:pgMar w:top="1300" w:right="1200" w:bottom="13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AF1C2" w14:textId="77777777" w:rsidR="00B42CBD" w:rsidRDefault="00B42CBD">
      <w:r>
        <w:separator/>
      </w:r>
    </w:p>
  </w:endnote>
  <w:endnote w:type="continuationSeparator" w:id="0">
    <w:p w14:paraId="3766D883" w14:textId="77777777" w:rsidR="00B42CBD" w:rsidRDefault="00B42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A486" w14:textId="77777777" w:rsidR="004C2999" w:rsidRDefault="00000000"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318D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318D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079E" w14:textId="77777777" w:rsidR="00B42CBD" w:rsidRDefault="00B42CBD">
      <w:r>
        <w:separator/>
      </w:r>
    </w:p>
  </w:footnote>
  <w:footnote w:type="continuationSeparator" w:id="0">
    <w:p w14:paraId="3E7046C2" w14:textId="77777777" w:rsidR="00B42CBD" w:rsidRDefault="00B42C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51597" w14:textId="77777777" w:rsidR="004C2999" w:rsidRDefault="00000000">
    <w:pPr>
      <w:jc w:val="right"/>
    </w:pPr>
    <w:r>
      <w:rPr>
        <w:color w:val="888888"/>
        <w:sz w:val="18"/>
        <w:szCs w:val="18"/>
      </w:rPr>
      <w:t>MIASI — Modelowanie taktyczne DDD — DeskFlow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E18"/>
    <w:multiLevelType w:val="hybridMultilevel"/>
    <w:tmpl w:val="4D9E3F68"/>
    <w:lvl w:ilvl="0" w:tplc="080AC496">
      <w:start w:val="1"/>
      <w:numFmt w:val="bullet"/>
      <w:lvlText w:val="•"/>
      <w:lvlJc w:val="left"/>
      <w:pPr>
        <w:ind w:left="720" w:hanging="360"/>
      </w:pPr>
    </w:lvl>
    <w:lvl w:ilvl="1" w:tplc="48BA761A">
      <w:numFmt w:val="decimal"/>
      <w:lvlText w:val=""/>
      <w:lvlJc w:val="left"/>
    </w:lvl>
    <w:lvl w:ilvl="2" w:tplc="2A5EE680">
      <w:numFmt w:val="decimal"/>
      <w:lvlText w:val=""/>
      <w:lvlJc w:val="left"/>
    </w:lvl>
    <w:lvl w:ilvl="3" w:tplc="3FEC8C58">
      <w:numFmt w:val="decimal"/>
      <w:lvlText w:val=""/>
      <w:lvlJc w:val="left"/>
    </w:lvl>
    <w:lvl w:ilvl="4" w:tplc="819EE840">
      <w:numFmt w:val="decimal"/>
      <w:lvlText w:val=""/>
      <w:lvlJc w:val="left"/>
    </w:lvl>
    <w:lvl w:ilvl="5" w:tplc="69901DC6">
      <w:numFmt w:val="decimal"/>
      <w:lvlText w:val=""/>
      <w:lvlJc w:val="left"/>
    </w:lvl>
    <w:lvl w:ilvl="6" w:tplc="8CE4A044">
      <w:numFmt w:val="decimal"/>
      <w:lvlText w:val=""/>
      <w:lvlJc w:val="left"/>
    </w:lvl>
    <w:lvl w:ilvl="7" w:tplc="D68C3EA2">
      <w:numFmt w:val="decimal"/>
      <w:lvlText w:val=""/>
      <w:lvlJc w:val="left"/>
    </w:lvl>
    <w:lvl w:ilvl="8" w:tplc="265889BC">
      <w:numFmt w:val="decimal"/>
      <w:lvlText w:val=""/>
      <w:lvlJc w:val="left"/>
    </w:lvl>
  </w:abstractNum>
  <w:abstractNum w:abstractNumId="1" w15:restartNumberingAfterBreak="0">
    <w:nsid w:val="1CE367B9"/>
    <w:multiLevelType w:val="hybridMultilevel"/>
    <w:tmpl w:val="062AD790"/>
    <w:lvl w:ilvl="0" w:tplc="6BCCE032">
      <w:start w:val="1"/>
      <w:numFmt w:val="bullet"/>
      <w:lvlText w:val="●"/>
      <w:lvlJc w:val="left"/>
      <w:pPr>
        <w:ind w:left="720" w:hanging="360"/>
      </w:pPr>
    </w:lvl>
    <w:lvl w:ilvl="1" w:tplc="A04AE420">
      <w:start w:val="1"/>
      <w:numFmt w:val="bullet"/>
      <w:lvlText w:val="○"/>
      <w:lvlJc w:val="left"/>
      <w:pPr>
        <w:ind w:left="1440" w:hanging="360"/>
      </w:pPr>
    </w:lvl>
    <w:lvl w:ilvl="2" w:tplc="25CA1D10">
      <w:start w:val="1"/>
      <w:numFmt w:val="bullet"/>
      <w:lvlText w:val="■"/>
      <w:lvlJc w:val="left"/>
      <w:pPr>
        <w:ind w:left="2160" w:hanging="360"/>
      </w:pPr>
    </w:lvl>
    <w:lvl w:ilvl="3" w:tplc="4338268C">
      <w:start w:val="1"/>
      <w:numFmt w:val="bullet"/>
      <w:lvlText w:val="●"/>
      <w:lvlJc w:val="left"/>
      <w:pPr>
        <w:ind w:left="2880" w:hanging="360"/>
      </w:pPr>
    </w:lvl>
    <w:lvl w:ilvl="4" w:tplc="449227B8">
      <w:start w:val="1"/>
      <w:numFmt w:val="bullet"/>
      <w:lvlText w:val="○"/>
      <w:lvlJc w:val="left"/>
      <w:pPr>
        <w:ind w:left="3600" w:hanging="360"/>
      </w:pPr>
    </w:lvl>
    <w:lvl w:ilvl="5" w:tplc="09F6846E">
      <w:start w:val="1"/>
      <w:numFmt w:val="bullet"/>
      <w:lvlText w:val="■"/>
      <w:lvlJc w:val="left"/>
      <w:pPr>
        <w:ind w:left="4320" w:hanging="360"/>
      </w:pPr>
    </w:lvl>
    <w:lvl w:ilvl="6" w:tplc="EAA67030">
      <w:start w:val="1"/>
      <w:numFmt w:val="bullet"/>
      <w:lvlText w:val="●"/>
      <w:lvlJc w:val="left"/>
      <w:pPr>
        <w:ind w:left="5040" w:hanging="360"/>
      </w:pPr>
    </w:lvl>
    <w:lvl w:ilvl="7" w:tplc="644635D6">
      <w:start w:val="1"/>
      <w:numFmt w:val="bullet"/>
      <w:lvlText w:val="●"/>
      <w:lvlJc w:val="left"/>
      <w:pPr>
        <w:ind w:left="5760" w:hanging="360"/>
      </w:pPr>
    </w:lvl>
    <w:lvl w:ilvl="8" w:tplc="A352107E">
      <w:start w:val="1"/>
      <w:numFmt w:val="bullet"/>
      <w:lvlText w:val="●"/>
      <w:lvlJc w:val="left"/>
      <w:pPr>
        <w:ind w:left="6480" w:hanging="360"/>
      </w:pPr>
    </w:lvl>
  </w:abstractNum>
  <w:num w:numId="1" w16cid:durableId="1322000193">
    <w:abstractNumId w:val="1"/>
    <w:lvlOverride w:ilvl="0">
      <w:startOverride w:val="1"/>
    </w:lvlOverride>
  </w:num>
  <w:num w:numId="2" w16cid:durableId="1977835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999"/>
    <w:rsid w:val="004C2999"/>
    <w:rsid w:val="00884E99"/>
    <w:rsid w:val="00B318D0"/>
    <w:rsid w:val="00B4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2254FE"/>
  <w15:docId w15:val="{AB95FA76-B0C6-4148-ADBA-3D3AC3A4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2654</Words>
  <Characters>15128</Characters>
  <Application>Microsoft Office Word</Application>
  <DocSecurity>0</DocSecurity>
  <Lines>126</Lines>
  <Paragraphs>35</Paragraphs>
  <ScaleCrop>false</ScaleCrop>
  <Company/>
  <LinksUpToDate>false</LinksUpToDate>
  <CharactersWithSpaces>17747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Modelowanie taktyczne DDD — DeskFlow</dc:title>
  <dc:creator>Kierownik taktyki — MIASI</dc:creator>
  <dc:description>System udostępniania zasobów biurowych</dc:description>
  <cp:lastModifiedBy>Jakub Czajkowski (272709)</cp:lastModifiedBy>
  <cp:revision>2</cp:revision>
  <dcterms:created xsi:type="dcterms:W3CDTF">2026-05-29T18:54:00Z</dcterms:created>
  <dcterms:modified xsi:type="dcterms:W3CDTF">2026-05-29T20:30:00Z</dcterms:modified>
</cp:coreProperties>
</file>