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1"/>
      <w:r>
        <w:t xml:space="preserve">Contents</w:t>
      </w:r>
      <w:bookmarkEnd w:id="1"/>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author_s_preface">
        <w:r>
          <w:rPr>
            <w:rStyle w:val="Hyperlink"/>
          </w:rPr>
          <w:t xml:space="preserve">AUTHOR'S PREFACE</w:t>
        </w:r>
      </w:hyperlink>
    </w:p>
    <w:p>
      <w:pPr>
        <w:pStyle w:val="TocEntry"/>
      </w:pPr>
      <w:hyperlink w:history="1" w:anchor="heading_part_i_wherein_are_explained">
        <w:r>
          <w:rPr>
            <w:rStyle w:val="Hyperlink"/>
          </w:rPr>
          <w:t xml:space="preserve">Part I. Wherein Are Explained Various Terms and Things Belonging to the Subject of the Ensuing Discourse</w:t>
        </w:r>
      </w:hyperlink>
    </w:p>
    <w:p>
      <w:pPr>
        <w:pStyle w:val="TocEntry"/>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p>
    <w:p>
      <w:pPr>
        <w:pStyle w:val="TocEntry"/>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p>
    <w:p>
      <w:pPr>
        <w:pStyle w:val="TocEntry"/>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p>
    <w:p>
      <w:pPr>
        <w:pStyle w:val="TocEntry"/>
      </w:pPr>
      <w:hyperlink w:history="1" w:anchor="heading_the_conclusion">
        <w:r>
          <w:rPr>
            <w:rStyle w:val="Hyperlink"/>
          </w:rPr>
          <w:t xml:space="preserve">THE CONCLUSION</w:t>
        </w:r>
      </w:hyperlink>
    </w:p>
    <w:p>
      <w:pPr>
        <w:pStyle w:val="TocEntry"/>
      </w:pPr>
      <w:hyperlink w:history="1" w:anchor="heading_related_correspondence">
        <w:r>
          <w:rPr>
            <w:rStyle w:val="Hyperlink"/>
          </w:rPr>
          <w:t xml:space="preserve">RELATED CORRESPONDENCE</w:t>
        </w:r>
      </w:hyperlink>
    </w:p>
    <w:p>
      <w:pPr>
        <w:pStyle w:val="TocEntry"/>
      </w:pPr>
      <w:hyperlink w:history="1" w:anchor="heading_proposal_for_printing">
        <w:r>
          <w:rPr>
            <w:rStyle w:val="Hyperlink"/>
          </w:rPr>
          <w:t xml:space="preserve">Proposal for Printing</w:t>
        </w:r>
      </w:hyperlink>
    </w:p>
    <w:p>
      <w:r>
        <w:br w:type="page"/>
      </w:r>
    </w:p>
    <w:p>
      <w:pPr>
        <w:pStyle w:val="Heading1"/>
        <w:pStyle w:val="Heading1"/>
        <w:pageBreakBefore/>
      </w:pPr>
      <w:bookmarkStart w:name="heading_front_matter" w:id="1"/>
      <w:r>
        <w:t xml:space="preserve">Front Matter</w:t>
      </w:r>
      <w:bookmarkEnd w:id="1"/>
    </w:p>
    <w:p>
      <w:pPr>
        <w:pStyle w:val="Heading2"/>
        <w:pStyle w:val="Heading2"/>
      </w:pPr>
      <w:bookmarkStart w:name="heading_copyright" w:id="1"/>
      <w:r>
        <w:t xml:space="preserve">Copyright</w:t>
      </w:r>
      <w:bookmarkEnd w:id="1"/>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Style w:val="Heading2"/>
      </w:pPr>
      <w:bookmarkStart w:name="heading_general_editor_s_note" w:id="1"/>
      <w:r>
        <w:t xml:space="preserve">GENERAL EDITOR'S NOTE</w:t>
      </w:r>
      <w:bookmarkEnd w:id="1"/>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Style w:val="Heading2"/>
      </w:pPr>
      <w:bookmarkStart w:name="heading_contents" w:id="1"/>
      <w:r>
        <w:t xml:space="preserve">CONTENTS</w:t>
      </w:r>
      <w:bookmarkEnd w:id="1"/>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Style w:val="Heading1"/>
        <w:pageBreakBefore/>
      </w:pPr>
      <w:bookmarkStart w:name="heading_editor_s_introduction" w:id="1"/>
      <w:r>
        <w:t xml:space="preserve">EDITOR'S INTRODUCTION</w:t>
      </w:r>
      <w:bookmarkEnd w:id="1"/>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Style w:val="Heading2"/>
      </w:pPr>
      <w:bookmarkStart w:name="heading_1_edwards_life_while_writing" w:id="1"/>
      <w:r>
        <w:t xml:space="preserve">1. Edwards' Life while Writing the Inquiry</w:t>
      </w:r>
      <w:bookmarkEnd w:id="1"/>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Style w:val="Heading2"/>
      </w:pPr>
      <w:bookmarkStart w:name="heading_2_the_theological_issue" w:id="1"/>
      <w:r>
        <w:t xml:space="preserve">2. The Theological Issue</w:t>
      </w:r>
      <w:bookmarkEnd w:id="1"/>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Style w:val="Heading2"/>
      </w:pPr>
      <w:bookmarkStart w:name="heading_3_the_philosophical_argument" w:id="1"/>
      <w:r>
        <w:t xml:space="preserve">3. The Philosophical Argument</w:t>
      </w:r>
      <w:bookmarkEnd w:id="1"/>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Style w:val="Heading3"/>
      </w:pPr>
      <w:bookmarkStart w:name="heading_definition_of_liberty" w:id="1"/>
      <w:r>
        <w:t xml:space="preserve">DEFINITION OF LIBERTY</w:t>
      </w:r>
      <w:bookmarkEnd w:id="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Style w:val="Heading3"/>
      </w:pPr>
      <w:bookmarkStart w:name="heading_the_act_of_volition" w:id="1"/>
      <w:r>
        <w:t xml:space="preserve">THE ACT OF VOLITION</w:t>
      </w:r>
      <w:bookmarkEnd w:id="1"/>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Style w:val="Heading3"/>
      </w:pPr>
      <w:bookmarkStart w:name="heading_praiseworthiness_and_blamewo" w:id="1"/>
      <w:r>
        <w:t xml:space="preserve">PRAISEWORTHINESS AND BLAMEWORTHINESS</w:t>
      </w:r>
      <w:bookmarkEnd w:id="1"/>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Style w:val="Heading3"/>
      </w:pPr>
      <w:bookmarkStart w:name="heading_is_the_will_independent_and_" w:id="1"/>
      <w:r>
        <w:t xml:space="preserve">IS THE WILL INDEPENDENT AND SELF-MOVED?</w:t>
      </w:r>
      <w:bookmarkEnd w:id="1"/>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Style w:val="Heading3"/>
      </w:pPr>
      <w:bookmarkStart w:name="heading_the_origin_of_arminian_notio" w:id="1"/>
      <w:r>
        <w:t xml:space="preserve">THE ORIGIN OF ARMINIAN NOTIONS OF LIBERTY AND NECESSITY, AND THE SHAPE OF EDWARDS' REPLY</w:t>
      </w:r>
      <w:bookmarkEnd w:id="1"/>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Style w:val="Heading3"/>
      </w:pPr>
      <w:bookmarkStart w:name="heading_moral_and_natural_necessity" w:id="1"/>
      <w:r>
        <w:t xml:space="preserve">MORAL AND NATURAL NECESSITY</w:t>
      </w:r>
      <w:bookmarkEnd w:id="1"/>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Style w:val="Heading2"/>
      </w:pPr>
      <w:bookmarkStart w:name="heading_4_edwards_and_john_locke" w:id="1"/>
      <w:r>
        <w:t xml:space="preserve">4. Edwards and John Locke</w:t>
      </w:r>
      <w:bookmarkEnd w:id="1"/>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Style w:val="Heading2"/>
      </w:pPr>
      <w:bookmarkStart w:name="heading_5_edwards_and_his_antagonist" w:id="1"/>
      <w:r>
        <w:t xml:space="preserve">5. Edwards and His Antagonists</w:t>
      </w:r>
      <w:bookmarkEnd w:id="1"/>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Style w:val="Heading3"/>
      </w:pPr>
      <w:bookmarkStart w:name="heading_thomas_chubb" w:id="1"/>
      <w:r>
        <w:t xml:space="preserve">THOMAS CHUBB</w:t>
      </w:r>
      <w:bookmarkEnd w:id="1"/>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Style w:val="Heading3"/>
      </w:pPr>
      <w:bookmarkStart w:name="heading_daniel_whitby" w:id="1"/>
      <w:r>
        <w:t xml:space="preserve">DANIEL WHITBY</w:t>
      </w:r>
      <w:bookmarkEnd w:id="1"/>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Style w:val="Heading3"/>
      </w:pPr>
      <w:bookmarkStart w:name="heading_isaac_watts" w:id="1"/>
      <w:r>
        <w:t xml:space="preserve">ISAAC WATTS</w:t>
      </w:r>
      <w:bookmarkEnd w:id="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Style w:val="Heading2"/>
      </w:pPr>
      <w:bookmarkStart w:name="heading_6_note_on_the_text" w:id="1"/>
      <w:r>
        <w:t xml:space="preserve">6. Note on the Text</w:t>
      </w:r>
      <w:bookmarkEnd w:id="1"/>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Style w:val="Heading2"/>
      </w:pPr>
      <w:bookmarkStart w:name="heading_original_edition_1754" w:id="1"/>
      <w:r>
        <w:t xml:space="preserve">Original edition, 1754</w:t>
      </w:r>
      <w:bookmarkEnd w:id="1"/>
    </w:p>
    <w:p>
      <w:pPr>
        <w:pStyle w:val="Heading2"/>
        <w:pStyle w:val="Heading2"/>
      </w:pPr>
      <w:bookmarkStart w:name="heading_worcester_edition_1808" w:id="1"/>
      <w:r>
        <w:t xml:space="preserve">Worcester edition, 1808</w:t>
      </w:r>
      <w:bookmarkEnd w:id="1"/>
    </w:p>
    <w:p>
      <w:pPr>
        <w:pStyle w:val="SourcePage"/>
      </w:pPr>
      <w:r>
        <w:t xml:space="preserve">[p. 124]</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for the Strength of the Will, let it be never so great, don't at all enable it to act one Way</w:t>
            </w:r>
          </w:p>
        </w:tc>
        <w:tc>
          <w:tcPr>
            <w:tcW w:type="dxa" w:w="4680"/>
            <w:vAlign w:val="center"/>
          </w:tcPr>
          <w:p>
            <w:pPr>
              <w:pStyle w:val="TableText"/>
            </w:pPr>
            <w:r>
              <w:rPr>
                <w:b w:val="false"/>
                <w:bCs w:val="false"/>
              </w:rPr>
              <w:t xml:space="preserve">for the strength of the Will, let it be ever so great, does not enable it to act one way</w:t>
            </w:r>
          </w:p>
        </w:tc>
      </w:tr>
      <w:tr>
        <w:trPr>
          <w:cantSplit/>
          <w:tblHeader w:val="false"/>
        </w:trPr>
        <w:tc>
          <w:tcPr>
            <w:tcW w:type="dxa" w:w="4680"/>
            <w:vAlign w:val="center"/>
          </w:tcPr>
          <w:p>
            <w:pPr>
              <w:pStyle w:val="TableText"/>
            </w:pPr>
            <w:r>
              <w:rPr>
                <w:b w:val="false"/>
                <w:bCs w:val="false"/>
              </w:rPr>
              <w:t xml:space="preserve">So that the Will acts not at all, does not so much begin to act in the Time of such Liberty.</w:t>
            </w:r>
          </w:p>
        </w:tc>
        <w:tc>
          <w:tcPr>
            <w:tcW w:type="dxa" w:w="4680"/>
            <w:vAlign w:val="center"/>
          </w:tcPr>
          <w:p>
            <w:pPr>
              <w:pStyle w:val="TableText"/>
            </w:pPr>
            <w:r>
              <w:rPr>
                <w:b w:val="false"/>
                <w:bCs w:val="false"/>
              </w:rPr>
              <w:t xml:space="preserve">So that the Will does not so much begin to act in the time of such liberty.</w:t>
            </w:r>
          </w:p>
        </w:tc>
      </w:tr>
      <w:tr>
        <w:trPr>
          <w:cantSplit/>
          <w:tblHeader w:val="false"/>
        </w:trPr>
        <w:tc>
          <w:tcPr>
            <w:tcW w:type="dxa" w:w="4680"/>
            <w:vAlign w:val="center"/>
          </w:tcPr>
          <w:p>
            <w:pPr>
              <w:pStyle w:val="TableText"/>
            </w:pPr>
            <w:r>
              <w:rPr>
                <w:b w:val="false"/>
                <w:bCs w:val="false"/>
              </w:rPr>
              <w:t xml:space="preserve">they are not worthy to be rewarded or praised; or at all esteemed, honoured or loved on that Account.</w:t>
            </w:r>
          </w:p>
        </w:tc>
        <w:tc>
          <w:tcPr>
            <w:tcW w:type="dxa" w:w="4680"/>
            <w:vAlign w:val="center"/>
          </w:tcPr>
          <w:p>
            <w:pPr>
              <w:pStyle w:val="TableText"/>
            </w:pPr>
            <w:r>
              <w:rPr>
                <w:b w:val="false"/>
                <w:bCs w:val="false"/>
              </w:rPr>
              <w:t xml:space="preserve">they are not worthy to be rewarded or praised, esteemed or loved on that account.</w:t>
            </w:r>
          </w:p>
        </w:tc>
      </w:tr>
      <w:tr>
        <w:trPr>
          <w:cantSplit/>
          <w:tblHeader w:val="false"/>
        </w:trPr>
        <w:tc>
          <w:tcPr>
            <w:tcW w:type="dxa" w:w="468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468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blHeader w:val="false"/>
        </w:trPr>
        <w:tc>
          <w:tcPr>
            <w:tcW w:type="dxa" w:w="4680"/>
            <w:vAlign w:val="center"/>
          </w:tcPr>
          <w:p>
            <w:pPr>
              <w:pStyle w:val="TableText"/>
            </w:pPr>
            <w:r>
              <w:rPr>
                <w:b w:val="false"/>
                <w:bCs w:val="false"/>
              </w:rPr>
              <w:t xml:space="preserve">a Choice preceeding all Volitions, which are thus caused, even the very first of them</w:t>
            </w:r>
          </w:p>
        </w:tc>
        <w:tc>
          <w:tcPr>
            <w:tcW w:type="dxa" w:w="4680"/>
            <w:vAlign w:val="center"/>
          </w:tcPr>
          <w:p>
            <w:pPr>
              <w:pStyle w:val="TableText"/>
            </w:pPr>
            <w:r>
              <w:rPr>
                <w:b w:val="false"/>
                <w:bCs w:val="false"/>
              </w:rPr>
              <w:t xml:space="preserve">a choice preceding all Volitions which are thus caused, even the first of them</w:t>
            </w:r>
          </w:p>
        </w:tc>
      </w:tr>
      <w:tr>
        <w:trPr>
          <w:cantSplit/>
          <w:tblHeader w:val="false"/>
        </w:trPr>
        <w:tc>
          <w:tcPr>
            <w:tcW w:type="dxa" w:w="4680"/>
            <w:vAlign w:val="center"/>
          </w:tcPr>
          <w:p>
            <w:pPr>
              <w:pStyle w:val="TableText"/>
            </w:pPr>
            <w:r>
              <w:rPr>
                <w:b w:val="false"/>
                <w:bCs w:val="false"/>
              </w:rPr>
              <w:t xml:space="preserve">If this be their Meaning, then all this mighty Controversy about Freedom</w:t>
            </w:r>
          </w:p>
        </w:tc>
        <w:tc>
          <w:tcPr>
            <w:tcW w:type="dxa" w:w="4680"/>
            <w:vAlign w:val="center"/>
          </w:tcPr>
          <w:p>
            <w:pPr>
              <w:pStyle w:val="TableText"/>
            </w:pPr>
            <w:r>
              <w:rPr>
                <w:b w:val="false"/>
                <w:bCs w:val="false"/>
              </w:rPr>
              <w:t xml:space="preserve">If this be their meaning, then this mighty controversy about freedom</w:t>
            </w:r>
          </w:p>
        </w:tc>
      </w:tr>
      <w:tr>
        <w:trPr>
          <w:cantSplit/>
          <w:tblHeader w:val="false"/>
        </w:trPr>
        <w:tc>
          <w:tcPr>
            <w:tcW w:type="dxa" w:w="4680"/>
            <w:vAlign w:val="center"/>
          </w:tcPr>
          <w:p>
            <w:pPr>
              <w:pStyle w:val="TableText"/>
            </w:pPr>
            <w:r>
              <w:rPr>
                <w:b w:val="false"/>
                <w:bCs w:val="false"/>
              </w:rPr>
              <w:t xml:space="preserve">free from actual Possession, and vacant of Predetermination, so far, that</w:t>
            </w:r>
          </w:p>
        </w:tc>
        <w:tc>
          <w:tcPr>
            <w:tcW w:type="dxa" w:w="4680"/>
            <w:vAlign w:val="center"/>
          </w:tcPr>
          <w:p>
            <w:pPr>
              <w:pStyle w:val="TableText"/>
            </w:pPr>
            <w:r>
              <w:rPr>
                <w:b w:val="false"/>
                <w:bCs w:val="false"/>
              </w:rPr>
              <w:t xml:space="preserve">free from, and vacant of predetermination, so far, that</w:t>
            </w:r>
          </w:p>
        </w:tc>
      </w:tr>
      <w:tr>
        <w:trPr>
          <w:cantSplit/>
          <w:tblHeader w:val="false"/>
        </w:trPr>
        <w:tc>
          <w:tcPr>
            <w:tcW w:type="dxa" w:w="4680"/>
            <w:vAlign w:val="center"/>
          </w:tcPr>
          <w:p>
            <w:pPr>
              <w:pStyle w:val="TableText"/>
            </w:pPr>
            <w:r>
              <w:rPr>
                <w:b w:val="false"/>
                <w:bCs w:val="false"/>
              </w:rPr>
              <w:t xml:space="preserve">govern and determine them every one.</w:t>
            </w:r>
          </w:p>
        </w:tc>
        <w:tc>
          <w:tcPr>
            <w:tcW w:type="dxa" w:w="4680"/>
            <w:vAlign w:val="center"/>
          </w:tcPr>
          <w:p>
            <w:pPr>
              <w:pStyle w:val="TableText"/>
            </w:pPr>
            <w:r>
              <w:rPr>
                <w:b w:val="false"/>
                <w:bCs w:val="false"/>
              </w:rPr>
              <w:t xml:space="preserve">govern and determine them.</w:t>
            </w:r>
          </w:p>
        </w:tc>
      </w:tr>
      <w:tr>
        <w:trPr>
          <w:cantSplit/>
          <w:tblHeader w:val="false"/>
        </w:trPr>
        <w:tc>
          <w:tcPr>
            <w:tcW w:type="dxa" w:w="4680"/>
            <w:vAlign w:val="center"/>
          </w:tcPr>
          <w:p>
            <w:pPr>
              <w:pStyle w:val="TableText"/>
            </w:pPr>
            <w:r>
              <w:rPr>
                <w:b w:val="false"/>
                <w:bCs w:val="false"/>
              </w:rPr>
              <w:t xml:space="preserve">it would be very long to mention particularly</w:t>
            </w:r>
          </w:p>
        </w:tc>
        <w:tc>
          <w:tcPr>
            <w:tcW w:type="dxa" w:w="4680"/>
            <w:vAlign w:val="center"/>
          </w:tcPr>
          <w:p>
            <w:pPr>
              <w:pStyle w:val="TableText"/>
            </w:pPr>
            <w:r>
              <w:rPr>
                <w:b w:val="false"/>
                <w:bCs w:val="false"/>
              </w:rPr>
              <w:t xml:space="preserve">it would be tedious to mention particularly</w:t>
            </w:r>
          </w:p>
        </w:tc>
      </w:tr>
      <w:tr>
        <w:trPr>
          <w:cantSplit/>
          <w:tblHeader w:val="false"/>
        </w:trPr>
        <w:tc>
          <w:tcPr>
            <w:tcW w:type="dxa" w:w="4680"/>
            <w:vAlign w:val="center"/>
          </w:tcPr>
          <w:p>
            <w:pPr>
              <w:pStyle w:val="TableText"/>
            </w:pPr>
            <w:r>
              <w:rPr>
                <w:b w:val="false"/>
                <w:bCs w:val="false"/>
              </w:rPr>
              <w:t xml:space="preserve">And such Success, such Victory, and such a Reign and Dominion is often expressly foretold</w:t>
            </w:r>
          </w:p>
        </w:tc>
        <w:tc>
          <w:tcPr>
            <w:tcW w:type="dxa" w:w="4680"/>
            <w:vAlign w:val="center"/>
          </w:tcPr>
          <w:p>
            <w:pPr>
              <w:pStyle w:val="TableText"/>
            </w:pPr>
            <w:r>
              <w:rPr>
                <w:b w:val="false"/>
                <w:bCs w:val="false"/>
              </w:rPr>
              <w:t xml:space="preserve">And such a victory, and such a dominion is often expressly foretold</w:t>
            </w:r>
          </w:p>
        </w:tc>
      </w:tr>
      <w:tr>
        <w:trPr>
          <w:cantSplit/>
          <w:tblHeader w:val="false"/>
        </w:trPr>
        <w:tc>
          <w:tcPr>
            <w:tcW w:type="dxa" w:w="4680"/>
            <w:vAlign w:val="center"/>
          </w:tcPr>
          <w:p>
            <w:pPr>
              <w:pStyle w:val="TableText"/>
            </w:pPr>
            <w:r>
              <w:rPr>
                <w:b w:val="false"/>
                <w:bCs w:val="false"/>
              </w:rPr>
              <w:t xml:space="preserve">which are what originally</w:t>
            </w:r>
          </w:p>
        </w:tc>
        <w:tc>
          <w:tcPr>
            <w:tcW w:type="dxa" w:w="4680"/>
            <w:vAlign w:val="center"/>
          </w:tcPr>
          <w:p>
            <w:pPr>
              <w:pStyle w:val="TableText"/>
            </w:pPr>
            <w:r>
              <w:rPr>
                <w:b w:val="false"/>
                <w:bCs w:val="false"/>
              </w:rPr>
              <w:t xml:space="preserve">which are originally</w:t>
            </w:r>
          </w:p>
        </w:tc>
      </w:tr>
      <w:tr>
        <w:trPr>
          <w:cantSplit/>
          <w:tblHeader w:val="false"/>
        </w:trPr>
        <w:tc>
          <w:tcPr>
            <w:tcW w:type="dxa" w:w="4680"/>
            <w:vAlign w:val="center"/>
          </w:tcPr>
          <w:p>
            <w:pPr>
              <w:pStyle w:val="TableText"/>
            </w:pPr>
            <w:r>
              <w:rPr>
                <w:b w:val="false"/>
                <w:bCs w:val="false"/>
              </w:rPr>
              <w:t xml:space="preserve">Hence some Metaphysicians have been led unwarily, but exceeding absurdly, to suppose</w:t>
            </w:r>
          </w:p>
        </w:tc>
        <w:tc>
          <w:tcPr>
            <w:tcW w:type="dxa" w:w="4680"/>
            <w:vAlign w:val="center"/>
          </w:tcPr>
          <w:p>
            <w:pPr>
              <w:pStyle w:val="TableText"/>
            </w:pPr>
            <w:r>
              <w:rPr>
                <w:b w:val="false"/>
                <w:bCs w:val="false"/>
              </w:rPr>
              <w:t xml:space="preserve">Hence some metaphysicians have been led unwarily, but absurdly, to suppose</w:t>
            </w:r>
          </w:p>
        </w:tc>
      </w:tr>
      <w:tr>
        <w:trPr>
          <w:cantSplit/>
          <w:tblHeader w:val="false"/>
        </w:trPr>
        <w:tc>
          <w:tcPr>
            <w:tcW w:type="dxa" w:w="4680"/>
            <w:vAlign w:val="center"/>
          </w:tcPr>
          <w:p>
            <w:pPr>
              <w:pStyle w:val="TableText"/>
            </w:pPr>
            <w:r>
              <w:rPr>
                <w:b w:val="false"/>
                <w:bCs w:val="false"/>
              </w:rPr>
              <w:t xml:space="preserve">Such Kind of Terms in their original use</w:t>
            </w:r>
          </w:p>
        </w:tc>
        <w:tc>
          <w:tcPr>
            <w:tcW w:type="dxa" w:w="4680"/>
            <w:vAlign w:val="center"/>
          </w:tcPr>
          <w:p>
            <w:pPr>
              <w:pStyle w:val="TableText"/>
            </w:pPr>
            <w:r>
              <w:rPr>
                <w:b w:val="false"/>
                <w:bCs w:val="false"/>
              </w:rPr>
              <w:t xml:space="preserve">Such terms in their original use</w:t>
            </w:r>
          </w:p>
        </w:tc>
      </w:tr>
      <w:tr>
        <w:trPr>
          <w:cantSplit/>
          <w:tblHeader w:val="false"/>
        </w:trPr>
        <w:tc>
          <w:tcPr>
            <w:tcW w:type="dxa" w:w="468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468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blHeader w:val="false"/>
        </w:trPr>
        <w:tc>
          <w:tcPr>
            <w:tcW w:type="dxa" w:w="4680"/>
            <w:vAlign w:val="center"/>
          </w:tcPr>
          <w:p>
            <w:pPr>
              <w:pStyle w:val="TableText"/>
            </w:pPr>
            <w:r>
              <w:rPr>
                <w:b w:val="false"/>
                <w:bCs w:val="false"/>
              </w:rPr>
              <w:t xml:space="preserve">the certainer such Determination is</w:t>
            </w:r>
          </w:p>
        </w:tc>
        <w:tc>
          <w:tcPr>
            <w:tcW w:type="dxa" w:w="4680"/>
            <w:vAlign w:val="center"/>
          </w:tcPr>
          <w:p>
            <w:pPr>
              <w:pStyle w:val="TableText"/>
            </w:pPr>
            <w:r>
              <w:rPr>
                <w:b w:val="false"/>
                <w:bCs w:val="false"/>
              </w:rPr>
              <w:t xml:space="preserve">the more certain such determination is</w:t>
            </w:r>
          </w:p>
        </w:tc>
      </w:tr>
      <w:tr>
        <w:trPr>
          <w:cantSplit/>
          <w:tblHeader w:val="false"/>
        </w:trPr>
        <w:tc>
          <w:tcPr>
            <w:tcW w:type="dxa" w:w="4680"/>
            <w:vAlign w:val="center"/>
          </w:tcPr>
          <w:p>
            <w:pPr>
              <w:pStyle w:val="TableText"/>
            </w:pPr>
            <w:r>
              <w:rPr>
                <w:b w:val="false"/>
                <w:bCs w:val="false"/>
              </w:rPr>
              <w:t xml:space="preserve">so far as natural Inclination has had a Hand in determining their Wills</w:t>
            </w:r>
          </w:p>
        </w:tc>
        <w:tc>
          <w:tcPr>
            <w:tcW w:type="dxa" w:w="4680"/>
            <w:vAlign w:val="center"/>
          </w:tcPr>
          <w:p>
            <w:pPr>
              <w:pStyle w:val="TableText"/>
            </w:pPr>
            <w:r>
              <w:rPr>
                <w:b w:val="false"/>
                <w:bCs w:val="false"/>
              </w:rPr>
              <w:t xml:space="preserve">so far as natural inclination has influence in determining their Wills</w:t>
            </w:r>
          </w:p>
        </w:tc>
      </w:tr>
      <w:tr>
        <w:trPr>
          <w:cantSplit/>
          <w:tblHeader w:val="false"/>
        </w:trPr>
        <w:tc>
          <w:tcPr>
            <w:tcW w:type="dxa" w:w="468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468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blHeader w:val="false"/>
        </w:trPr>
        <w:tc>
          <w:tcPr>
            <w:tcW w:type="dxa" w:w="4680"/>
            <w:vAlign w:val="center"/>
          </w:tcPr>
          <w:p>
            <w:pPr>
              <w:pStyle w:val="TableText"/>
            </w:pPr>
            <w:r>
              <w:rPr>
                <w:b w:val="false"/>
                <w:bCs w:val="false"/>
              </w:rPr>
              <w:t xml:space="preserve">that might be reduced to more, and more demonstrable Inconsistencies</w:t>
            </w:r>
          </w:p>
        </w:tc>
        <w:tc>
          <w:tcPr>
            <w:tcW w:type="dxa" w:w="468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may be the Effect of some other Cause, besides the Liver, or the Being that lives, in whom Life is caused to be</w:t>
            </w:r>
          </w:p>
        </w:tc>
        <w:tc>
          <w:tcPr>
            <w:tcW w:type="dxa" w:w="468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the more he does either with full and strong inclination</w:t>
            </w:r>
          </w:p>
        </w:tc>
        <w:tc>
          <w:tcPr>
            <w:tcW w:type="dxa" w:w="468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and not some Object that the Act of Will has not an immediate, but only an indirect and remote Respect to</w:t>
            </w:r>
          </w:p>
        </w:tc>
        <w:tc>
          <w:tcPr>
            <w:tcW w:type="dxa" w:w="468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blHeader w:val="false"/>
        </w:trPr>
        <w:tc>
          <w:tcPr>
            <w:tcW w:type="dxa" w:w="468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468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blHeader w:val="false"/>
        </w:trPr>
        <w:tc>
          <w:tcPr>
            <w:tcW w:type="dxa" w:w="468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468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Style w:val="Heading1"/>
        <w:pageBreakBefore/>
      </w:pPr>
      <w:bookmarkStart w:name="heading_author_s_preface" w:id="1"/>
      <w:r>
        <w:t xml:space="preserve">AUTHOR'S PREFACE</w:t>
      </w:r>
      <w:bookmarkEnd w:id="1"/>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Style w:val="Heading1"/>
        <w:pageBreakBefore/>
      </w:pPr>
      <w:bookmarkStart w:name="heading_part_i_wherein_are_explained" w:id="1"/>
      <w:r>
        <w:t xml:space="preserve">Part I. Wherein Are Explained Various Terms and Things Belonging to the Subject of the Ensuing Discourse</w:t>
      </w:r>
      <w:bookmarkEnd w:id="1"/>
    </w:p>
    <w:p>
      <w:pPr>
        <w:pStyle w:val="SourcePage"/>
      </w:pPr>
      <w:r>
        <w:t xml:space="preserve">[p. 134]</w:t>
      </w:r>
    </w:p>
    <w:p>
      <w:pPr>
        <w:pStyle w:val="SourcePage"/>
      </w:pPr>
      <w:r>
        <w:t xml:space="preserve">[p. 135]</w:t>
      </w:r>
    </w:p>
    <w:p>
      <w:pPr>
        <w:pStyle w:val="SourcePage"/>
      </w:pPr>
      <w:r>
        <w:t xml:space="preserve">[p. 137]</w:t>
      </w:r>
    </w:p>
    <w:p>
      <w:pPr>
        <w:pStyle w:val="Heading2"/>
        <w:pStyle w:val="Heading2"/>
      </w:pPr>
      <w:bookmarkStart w:name="heading_section_1_concerning_the_nat" w:id="1"/>
      <w:r>
        <w:t xml:space="preserve">SECTION 1. CONCERNING THE NATURE OF THE WILL</w:t>
      </w:r>
      <w:bookmarkEnd w:id="1"/>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Style w:val="Heading2"/>
      </w:pPr>
      <w:bookmarkStart w:name="heading_section_2_concerning_the_det" w:id="1"/>
      <w:r>
        <w:t xml:space="preserve">SECTION 2. CONCERNING THE DETERMINATION OF THE WILL</w:t>
      </w:r>
      <w:bookmarkEnd w:id="1"/>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Style w:val="Heading2"/>
      </w:pPr>
      <w:bookmarkStart w:name="heading_section_3_concerning_the_mea" w:id="1"/>
      <w:r>
        <w:t xml:space="preserve">SECTION 3. CONCERNING THE MEANING OF THE TERMS NECESSITY, IMPOSSIBILITY, INABILITY, ETC.; AND OF CONTINGENCE</w:t>
      </w:r>
      <w:bookmarkEnd w:id="1"/>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Style w:val="Heading2"/>
      </w:pPr>
      <w:bookmarkStart w:name="heading_section_4_of_the_distinction" w:id="1"/>
      <w:r>
        <w:t xml:space="preserve">SECTION 4. OF THE DISTINCTION OF NATURAL AND MORAL NECESSITY, AND INABILITY</w:t>
      </w:r>
      <w:bookmarkEnd w:id="1"/>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Style w:val="Heading2"/>
      </w:pPr>
      <w:bookmarkStart w:name="heading_section_5_concerning_the_not" w:id="1"/>
      <w:r>
        <w:t xml:space="preserve">SECTION 5. CONCERNING THE NOTION OF LIBERTY, AND OF MORAL AGENCY</w:t>
      </w:r>
      <w:bookmarkEnd w:id="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Style w:val="Heading1"/>
        <w:pageBreakBefore/>
      </w:pPr>
      <w:bookmarkStart w:name="heading_part_ii_wherein_it_is_consid" w:id="1"/>
      <w:r>
        <w:t xml:space="preserve">Part II. Wherein It Is Considered, whether There Is, or Can Be Any Such Sort Freedom of Will, as That wherein Arminians Place the Essence of the Liberty of All Moral Agents; and Whether Any Such Thing Ever Was, or Can Be Conceived of</w:t>
      </w:r>
      <w:bookmarkEnd w:id="1"/>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Style w:val="Heading2"/>
      </w:pPr>
      <w:bookmarkStart w:name="heading_section_1_showing_the_manife" w:id="1"/>
      <w:r>
        <w:t xml:space="preserve">SECTION 1. SHOWING THE MANIFEST INCONSISTENCE OF THE ARMINIAN NOTION OF LIBERTY OF WILL, CONSISTING IN THE WILL'S SELF-DETERMINING POWER</w:t>
      </w:r>
      <w:bookmarkEnd w:id="1"/>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Style w:val="Heading2"/>
      </w:pPr>
      <w:bookmarkStart w:name="heading_section_2_several_supposed_w" w:id="1"/>
      <w:r>
        <w:t xml:space="preserve">SECTION 2. SEVERAL SUPPOSED WAYS OF EVADING THE FOREGOING REASONING, CONSIDERED</w:t>
      </w:r>
      <w:bookmarkEnd w:id="1"/>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Style w:val="Heading2"/>
      </w:pPr>
      <w:bookmarkStart w:name="heading_section_3_whether_any_event_" w:id="1"/>
      <w:r>
        <w:t xml:space="preserve">SECTION 3. WHETHER ANY EVENT WHATSOEVER, AND VOLITION IN PARTICULAR, CAN COME TO PASS WITHOUT A CAUSE OF ITS EXISTENCE</w:t>
      </w:r>
      <w:bookmarkEnd w:id="1"/>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Style w:val="Heading2"/>
      </w:pPr>
      <w:bookmarkStart w:name="heading_section_4_whether_volition_c" w:id="1"/>
      <w:r>
        <w:t xml:space="preserve">SECTION 4. WHETHER VOLITION CAN ARISE WITHOUT A CAUSE, THROUGH THE ACTIVITY OF THE NATURE OF THE SOUL</w:t>
      </w:r>
      <w:bookmarkEnd w:id="1"/>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Style w:val="Heading2"/>
      </w:pPr>
      <w:bookmarkStart w:name="heading_section_5_showing_that_if_th" w:id="1"/>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1"/>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Style w:val="Heading2"/>
      </w:pPr>
      <w:bookmarkStart w:name="heading_section_6_concerning_the_wil" w:id="1"/>
      <w:r>
        <w:t xml:space="preserve">SECTION 6. CONCERNING THE WILL'S DETERMINING IN THINGS WHICH ARE PERFECTLY INDIFFERENT, IN THE VIEW OF THE MIND</w:t>
      </w:r>
      <w:bookmarkEnd w:id="1"/>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Style w:val="Heading2"/>
      </w:pPr>
      <w:bookmarkStart w:name="heading_section_7_concerning_the_not" w:id="1"/>
      <w:r>
        <w:t xml:space="preserve">SECTION 7. CONCERNING THE NOTION OF LIBERTY OF WILL CONSISTING IN INDIFFERENCE</w:t>
      </w:r>
      <w:bookmarkEnd w:id="1"/>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Style w:val="Heading2"/>
      </w:pPr>
      <w:bookmarkStart w:name="heading_section_8_concerning_the_sup" w:id="1"/>
      <w:r>
        <w:t xml:space="preserve">SECTION 8. CONCERNING THE SUPPOSED LIBERTY OF THE WILL, AS OPPOSITE TO ALL NECESSITY</w:t>
      </w:r>
      <w:bookmarkEnd w:id="1"/>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Style w:val="Heading2"/>
      </w:pPr>
      <w:bookmarkStart w:name="heading_section_9_of_the_connection_" w:id="1"/>
      <w:r>
        <w:t xml:space="preserve">SECTION 9. OF THE CONNECTION OF THE ACTS OF THE WILL WITH THE DICTATES OF THE UNDERSTANDING</w:t>
      </w:r>
      <w:bookmarkEnd w:id="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Style w:val="Heading2"/>
      </w:pPr>
      <w:bookmarkStart w:name="heading_section_10_volition_necessar" w:id="1"/>
      <w:r>
        <w:t xml:space="preserve">SECTION 10. VOLITION NECESSARILY CONNECTED WITH THE INFLUENCE OF MOTIVES; WITH PARTICULAR OBSERVATIONS ON THE GREAT INCONSISTENCE OF MR. CHUBB'S ASSERTIONS AND REASONINGS, ABOUT THE FREEDOM OF THE WILL</w:t>
      </w:r>
      <w:bookmarkEnd w:id="1"/>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Style w:val="Heading2"/>
      </w:pPr>
      <w:bookmarkStart w:name="heading_section_11_the_evidence_of_g" w:id="1"/>
      <w:r>
        <w:t xml:space="preserve">SECTION 11. THE EVIDENCE OF GOD'S CERTAIN FOREKNOWLEDGE OF THE VOLITIONS OF MORAL AGENTS</w:t>
      </w:r>
      <w:bookmarkEnd w:id="1"/>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Style w:val="Heading2"/>
      </w:pPr>
      <w:bookmarkStart w:name="heading_section_12_god_s_certain_for" w:id="1"/>
      <w:r>
        <w:t xml:space="preserve">SECTION 12. GOD'S CERTAIN FOREKNOWLEDGE OF THE FUTURE VOLITIONS OF MORAL AGENTS, INCONSISTENT WITH SUCH A CONTINGENCE OF THOSE VOLITIONS, AS IS WITHOUT ALL NECESSITY</w:t>
      </w:r>
      <w:bookmarkEnd w:id="1"/>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Style w:val="Heading2"/>
      </w:pPr>
      <w:bookmarkStart w:name="heading_section_13_whether_we_suppos" w:id="1"/>
      <w:r>
        <w:t xml:space="preserve">SECTION 13. WHETHER WE SUPPOSE THE VOLITIONS OF MORAL AGENTS TO BE CONNECTED WITH ANYTHING ANTECEDENT, OR NOT, YET THEY MUST BE NECESSARY IN SUCH A SENSE AS TO OVERTHROW ARMINIAN LIBERTY</w:t>
      </w:r>
      <w:bookmarkEnd w:id="1"/>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Style w:val="Heading1"/>
        <w:pageBreakBefore/>
      </w:pPr>
      <w:bookmarkStart w:name="heading_part_iii_wherein_is_inquired" w:id="1"/>
      <w:r>
        <w:t xml:space="preserve">Part III. Wherein Is Inquired, Whether Any Such Liberty of Will as Arminians Hold, Be Necessary to Moral Agency, Virtue and Vice, Praise, and Dispraise, Etc.</w:t>
      </w:r>
      <w:bookmarkEnd w:id="1"/>
    </w:p>
    <w:p>
      <w:pPr>
        <w:pStyle w:val="Heading2"/>
        <w:pStyle w:val="Heading2"/>
      </w:pPr>
      <w:bookmarkStart w:name="heading_section_1_god_s_moral_excell" w:id="1"/>
      <w:r>
        <w:t xml:space="preserve">SECTION 1. GOD'S MORAL EXCELLENCY NECESSARY, YET VIRTUOUS AND PRAISEWORTHY</w:t>
      </w:r>
      <w:bookmarkEnd w:id="1"/>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Style w:val="Heading2"/>
      </w:pPr>
      <w:bookmarkStart w:name="heading_section_2_the_acts_of_the_wi" w:id="1"/>
      <w:r>
        <w:t xml:space="preserve">SECTION 2. THE ACTS OF THE WILL OF THE HUMAN SOUL OF JESUS CHRIST NECESSARILY HOLY, YET TRULY VIRTUOUS, PRAISEWORTHY, REWARDABLE, ETC.</w:t>
      </w:r>
      <w:bookmarkEnd w:id="1"/>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Style w:val="Heading2"/>
      </w:pPr>
      <w:bookmarkStart w:name="heading_section_3_the_case_of_such_a" w:id="1"/>
      <w:r>
        <w:t xml:space="preserve">SECTION 3. THE CASE OF SUCH AS ARE GIVEN UP OF GOD TO SIN, AND OF FALLEN MAN IN GENERAL, PROVES MORAL NECESSITY AND INABILITY TO BE CONSISTENT WITH BLAMEWORTHINESS</w:t>
      </w:r>
      <w:bookmarkEnd w:id="1"/>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Style w:val="Heading2"/>
      </w:pPr>
      <w:bookmarkStart w:name="heading_section_4_command_and_obliga" w:id="1"/>
      <w:r>
        <w:t xml:space="preserve">SECTION 4. COMMAND, AND OBLIGATION TO OBEDIENCE, CONSISTENT WITH MORAL INABILITY TO OBEY</w:t>
      </w:r>
      <w:bookmarkEnd w:id="1"/>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Style w:val="Heading2"/>
      </w:pPr>
      <w:bookmarkStart w:name="heading_section_5_that_sincerity_of_" w:id="1"/>
      <w:r>
        <w:t xml:space="preserve">SECTION 5. THAT SINCERITY OF DESIRES AND ENDEAVORS, WHICH IS SUPPOSED TO EXCUSE IN THE NONPERFORMANCE OF THINGS IN THEMSELVES GOOD, PARTICULARLY CONSIDERED</w:t>
      </w:r>
      <w:bookmarkEnd w:id="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Style w:val="Heading2"/>
      </w:pPr>
      <w:bookmarkStart w:name="heading_section_6_liberty_of_indiffe" w:id="1"/>
      <w:r>
        <w:t xml:space="preserve">SECTION 6. LIBERTY OF INDIFFERENCE, NOT ONLY NOT NECESSARY TO VIRTUE, BUT UTTERLY INCONSISTENT WITH IT; AND ALL, EITHER VIRTUOUS OR VICIOUS HABITS OR INCLINATIONS, INCONSISTENT WITH ARMINIAN NOTIONS OF LIBERTY AND MORAL AGENCY</w:t>
      </w:r>
      <w:bookmarkEnd w:id="1"/>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Style w:val="Heading2"/>
      </w:pPr>
      <w:bookmarkStart w:name="heading_section_7_arminian_notions_o" w:id="1"/>
      <w:r>
        <w:t xml:space="preserve">SECTION 7. ARMINIAN NOTIONS OF MORAL AGENCY INCONSISTENT WITH ALL INFLUENCE OF MOTIVE AND INDUCEMENT, IN EITHER VIRTUOUS OR VICIOUS ACTIONS</w:t>
      </w:r>
      <w:bookmarkEnd w:id="1"/>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Style w:val="Heading1"/>
        <w:pageBreakBefore/>
      </w:pPr>
      <w:bookmarkStart w:name="heading_part_iv_wherein_the_chief_gr" w:id="1"/>
      <w:r>
        <w:t xml:space="preserve">Part IV. Wherein the chief Grounds of the Reasonings of Arminians, in Support and defense of Their Notions of Liberty, Moral Agency, etc. and against the Opposite Doctrine, Are Considered</w:t>
      </w:r>
      <w:bookmarkEnd w:id="1"/>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Style w:val="Heading2"/>
      </w:pPr>
      <w:bookmarkStart w:name="heading_section_1_the_essence_of_the" w:id="1"/>
      <w:r>
        <w:t xml:space="preserve">SECTION 1. THE ESSENCE OF THE VIRTUE AND VICE OF DISPOSITIONS OF THE HEART, AND ACTS OF THE WILL, LIES NOT IN THEIR CAUSE, BUT THEIR NATURE</w:t>
      </w:r>
      <w:bookmarkEnd w:id="1"/>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Style w:val="Heading2"/>
      </w:pPr>
      <w:bookmarkStart w:name="heading_section_2_the_falseness_and_" w:id="1"/>
      <w:r>
        <w:t xml:space="preserve">SECTION 2. THE FALSENESS AND INCONSISTENCE OF THAT METAPHYSICAL NOTION OF ACTION, AND AGENCY, WHICH SEEMS TO BE GENERALLY ENTERTAINED BY THE DEFENDERS OF THE ARMINIAN DOCTRINE CONCERNING LIBERTY, MORAL AGENCY, ETC.</w:t>
      </w:r>
      <w:bookmarkEnd w:id="1"/>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Style w:val="Heading2"/>
      </w:pPr>
      <w:bookmarkStart w:name="heading_section_3_the_reasons_why_so" w:id="1"/>
      <w:r>
        <w:t xml:space="preserve">SECTION 3. THE REASONS WHY SOME THINK IT CONTRARY TO COMMON SENSE, TO SUPPOSE THOSE THINGS WHICH ARE NECESSARY, TO BE WORTHY OF EITHER PRAISE OR BLAME</w:t>
      </w:r>
      <w:bookmarkEnd w:id="1"/>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Style w:val="Heading2"/>
      </w:pPr>
      <w:bookmarkStart w:name="heading_section_4_it_is_agreeable_to" w:id="1"/>
      <w:r>
        <w:t xml:space="preserve">SECTION 4. IT IS AGREEABLE TO COMMON SENSE, AND THE NATURAL NOTIONS OF MANKIND, TO SUPPOSE MORAL NECESSITY TO BE CONSISTENT WITH PRAISE AND BLAME, REWARD AND PUNISHMENT</w:t>
      </w:r>
      <w:bookmarkEnd w:id="1"/>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Style w:val="Heading2"/>
      </w:pPr>
      <w:bookmarkStart w:name="heading_section_5_concerning_those_o" w:id="1"/>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1"/>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Style w:val="Heading2"/>
      </w:pPr>
      <w:bookmarkStart w:name="heading_section_6_concerning_that_ob" w:id="1"/>
      <w:r>
        <w:t xml:space="preserve">SECTION 6. CONCERNING THAT OBJECTION AGAINST THE DOCTRINE WHICH HAS BEEN MAINTAINED, THAT IT AGREES WITH THE STOICAL DOCTRINE OF FATE, AND THE OPINIONS OF MR. HOBBES</w:t>
      </w:r>
      <w:bookmarkEnd w:id="1"/>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Style w:val="Heading2"/>
      </w:pPr>
      <w:bookmarkStart w:name="heading_section_7_concerning_the_nec" w:id="1"/>
      <w:r>
        <w:t xml:space="preserve">SECTION 7. CONCERNING THE NECESSITY OF THE DIVINE WILL</w:t>
      </w:r>
      <w:bookmarkEnd w:id="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Style w:val="Heading2"/>
      </w:pPr>
      <w:bookmarkStart w:name="heading_section_8_some_further_objec" w:id="1"/>
      <w:r>
        <w:t xml:space="preserve">SECTION 8. SOME FURTHER OBJECTIONS AGAINST THE MORAL NECESSITY OF GOD'S VOLITIONS CONSIDERED</w:t>
      </w:r>
      <w:bookmarkEnd w:id="1"/>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Style w:val="Heading2"/>
      </w:pPr>
      <w:bookmarkStart w:name="heading_section_9_concerning_that_ob" w:id="1"/>
      <w:r>
        <w:t xml:space="preserve">SECTION 9. CONCERNING THAT OBJECTION AGAINST THE DOCTRINE WHICH HAS BEEN MAINTAINED, THAT IT MAKES GOD THE AUTHOR OF SIN</w:t>
      </w:r>
      <w:bookmarkEnd w:id="1"/>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Style w:val="Heading2"/>
      </w:pPr>
      <w:bookmarkStart w:name="heading_section_10_concerning_sin_s_" w:id="1"/>
      <w:r>
        <w:t xml:space="preserve">SECTION 10. CONCERNING SIN'S FIRST ENTRANCE INTO THE WORLD</w:t>
      </w:r>
      <w:bookmarkEnd w:id="1"/>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Style w:val="Heading2"/>
      </w:pPr>
      <w:bookmarkStart w:name="heading_section_11_of_a_supposed_inc" w:id="1"/>
      <w:r>
        <w:t xml:space="preserve">SECTION 11. OF A SUPPOSED INCONSISTENCE OF THESE PRINCIPLES, WITH GOD'S MORAL CHARACTER</w:t>
      </w:r>
      <w:bookmarkEnd w:id="1"/>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Style w:val="Heading2"/>
      </w:pPr>
      <w:bookmarkStart w:name="heading_section_12_of_a_supposed_ten" w:id="1"/>
      <w:r>
        <w:t xml:space="preserve">SECTION 12. OF A SUPPOSED TENDENCY OF THESE PRINCIPLES TO ATHEISM AND LICENTIOUSNESS</w:t>
      </w:r>
      <w:bookmarkEnd w:id="1"/>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Style w:val="Heading2"/>
      </w:pPr>
      <w:bookmarkStart w:name="heading_section_13_concerning_that_o" w:id="1"/>
      <w:r>
        <w:t xml:space="preserve">SECTION 13. CONCERNING THAT OBJECTION AGAINST THE REASONING, BY WHICH THE CALVINISTIC DOCTRINE IS SUPPORTED, THAT IT IS METAPHYSICAL AND ABSTRUSE</w:t>
      </w:r>
      <w:bookmarkEnd w:id="1"/>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Style w:val="Heading1"/>
        <w:pageBreakBefore/>
      </w:pPr>
      <w:bookmarkStart w:name="heading_the_conclusion" w:id="1"/>
      <w:r>
        <w:t xml:space="preserve">THE CONCLUSION</w:t>
      </w:r>
      <w:bookmarkEnd w:id="1"/>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Style w:val="Heading1"/>
        <w:pageBreakBefore/>
      </w:pPr>
      <w:bookmarkStart w:name="heading_related_correspondence" w:id="1"/>
      <w:r>
        <w:t xml:space="preserve">RELATED CORRESPONDENCE</w:t>
      </w:r>
      <w:bookmarkEnd w:id="1"/>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Style w:val="Heading3"/>
      </w:pPr>
      <w:bookmarkStart w:name="heading_stockbridge" w:id="1"/>
      <w:r>
        <w:rPr>
          <w:i/>
          <w:iCs/>
        </w:rPr>
        <w:t xml:space="preserve">Stockbridge</w:t>
      </w:r>
      <w:r>
        <w:t xml:space="preserve">,</w:t>
      </w:r>
      <w:bookmarkEnd w:id="1"/>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Style w:val="Heading1"/>
        <w:pageBreakBefore/>
      </w:pPr>
      <w:bookmarkStart w:name="heading_proposal_for_printing" w:id="1"/>
      <w:r>
        <w:t xml:space="preserve">Proposal for Printing</w:t>
      </w:r>
      <w:bookmarkEnd w:id="1"/>
    </w:p>
    <w:p>
      <w:pPr>
        <w:pStyle w:val="Heading2"/>
        <w:pStyle w:val="Heading2"/>
      </w:pPr>
      <w:bookmarkStart w:name="heading_a_broadside_printed_by_samue" w:id="1"/>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1"/>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Style w:val="Heading3"/>
      </w:pPr>
      <w:bookmarkStart w:name="heading_proposals_for_printing_by_su" w:id="1"/>
      <w:r>
        <w:t xml:space="preserve">PROPOSALS for Printing by Subscription, in one Volume Octavo, A Treatise Intitled,</w:t>
      </w:r>
      <w:bookmarkEnd w:id="1"/>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Style w:val="Heading2"/>
      </w:pPr>
      <w:bookmarkStart w:name="heading_by_jonathan_edwards_a_m_past" w:id="1"/>
      <w:r>
        <w:t xml:space="preserve">By JONATHAN EDWARDS, A. M. Pastor of the Church of Stockbridge.</w:t>
      </w:r>
      <w:bookmarkEnd w:id="1"/>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updateFields/>
  <w:defaultTabStop w:val="720"/>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 Baskerville.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