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A History of the Work of Redemption</w:t>
      </w:r>
      <w:bookmarkEnd w:id="1"/>
    </w:p>
    <w:p>
      <w:pPr>
        <w:pStyle w:val="BookSubtitle"/>
      </w:pPr>
      <w:r>
        <w:t xml:space="preserve">The Works of Jonathan Edwards · Volume 9</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contents">
        <w:r>
          <w:rPr>
            <w:rStyle w:val="Hyperlink"/>
          </w:rPr>
          <w:t xml:space="preserve">CONTENTS</w:t>
        </w:r>
      </w:hyperlink>
    </w:p>
    <w:p>
      <w:pPr>
        <w:pStyle w:val="TocEntry"/>
      </w:pPr>
      <w:hyperlink w:history="1" w:anchor="heading_3_reception_influence_and_in">
        <w:r>
          <w:rPr>
            <w:rStyle w:val="Hyperlink"/>
          </w:rPr>
          <w:t xml:space="preserve">3. Reception, Influence, and Interpretation of A History of the Work of Redemption</w:t>
        </w:r>
      </w:hyperlink>
    </w:p>
    <w:p>
      <w:pPr>
        <w:pStyle w:val="TocEntry"/>
      </w:pPr>
      <w:hyperlink w:history="1" w:anchor="heading_a_history_of_the_work_o_2">
        <w:r>
          <w:rPr>
            <w:rStyle w:val="Hyperlink"/>
          </w:rPr>
          <w:t xml:space="preserve">A HISTORY OF THE WORK OF REDEMPTION</w:t>
        </w:r>
      </w:hyperlink>
    </w:p>
    <w:p>
      <w:pPr>
        <w:pStyle w:val="TocEntry"/>
      </w:pPr>
      <w:hyperlink w:history="1" w:anchor="heading_appendixes">
        <w:r>
          <w:rPr>
            <w:rStyle w:val="Hyperlink"/>
          </w:rPr>
          <w:t xml:space="preserve">APPENDIXES</w:t>
        </w:r>
      </w:hyperlink>
    </w:p>
    <w:p>
      <w:r>
        <w:br w:type="page"/>
      </w:r>
    </w:p>
    <w:p>
      <w:pPr>
        <w:pStyle w:val="Heading1"/>
        <w:pageBreakBefore/>
      </w:pPr>
      <w:bookmarkStart w:name="heading_front_matter" w:id="3"/>
      <w:r>
        <w:t xml:space="preserve">Front Matter</w:t>
      </w:r>
      <w:bookmarkEnd w:id="3"/>
    </w:p>
    <w:p>
      <w:pPr>
        <w:pStyle w:val="SourcePage"/>
      </w:pPr>
      <w:r>
        <w:t xml:space="preserve">[p. vii]</w:t>
      </w:r>
    </w:p>
    <w:p>
      <w:pPr>
        <w:pStyle w:val="Heading1"/>
        <w:pageBreakBefore/>
      </w:pPr>
      <w:bookmarkStart w:name="heading_contents" w:id="4"/>
      <w:r>
        <w:t xml:space="preserve">CONTENTS</w:t>
      </w:r>
      <w:bookmarkEnd w:id="4"/>
    </w:p>
    <w:p>
      <w:pPr>
        <w:pStyle w:val="BodyText"/>
      </w:pPr>
      <w:r>
        <w:t xml:space="preserve">EDITORIAL COMMITTEE v LIST OF ILLUSTRATIONS ix EDITOR'S INTRODUCTION 1 </w:t>
      </w:r>
      <w:r>
        <w:rPr>
          <w:i/>
          <w:iCs/>
        </w:rPr>
        <w:t xml:space="preserve">PART 1. THE REDEMPTION DISCOURSE</w:t>
      </w:r>
      <w:r>
        <w:t xml:space="preserve"> The Setting of the Redemption Discourse 3 The Composition of the Redemption Discourse 5 The "History" Project 11 The Redemption Discourse and the "Miscellanies" 13 The Fate of the Sermon Manuscripts 17 The Publication of the Redemption Discourse 20 The Published Versions of </w:t>
      </w:r>
      <w:r>
        <w:rPr>
          <w:i/>
          <w:iCs/>
        </w:rPr>
        <w:t xml:space="preserve">A History of The Work of Redemption</w:t>
      </w:r>
      <w:r>
        <w:t xml:space="preserve"> 26 </w:t>
      </w:r>
      <w:r>
        <w:rPr>
          <w:i/>
          <w:iCs/>
        </w:rPr>
        <w:t xml:space="preserve">PART 2. REDEMPTION AS GOD'S GREATEST WORK</w:t>
      </w:r>
      <w:r>
        <w:t xml:space="preserve"> Redemption as a Theological Preoccupation in the New England Puritan Tradition 28 The Redemption Discourse and the Transformation of the Sermon Form 34 Typology in Protestantism and Puritanism and in the Redemption Discourse 40 The Literary Structure of the Redemption Discourse 50 The Projected Revision of the Redemption Discourse 61 The Logical Structure of the Redemption Discourse 72 </w:t>
      </w:r>
      <w:r>
        <w:rPr>
          <w:i/>
          <w:iCs/>
        </w:rPr>
        <w:t xml:space="preserve">PART 3. RECEPTION</w:t>
      </w:r>
      <w:r>
        <w:t xml:space="preserve">, </w:t>
      </w:r>
      <w:r>
        <w:rPr>
          <w:i/>
          <w:iCs/>
        </w:rPr>
        <w:t xml:space="preserve">INFLUENCE</w:t>
      </w:r>
      <w:r>
        <w:t xml:space="preserve">, </w:t>
      </w:r>
      <w:r>
        <w:rPr>
          <w:i/>
          <w:iCs/>
        </w:rPr>
        <w:t xml:space="preserve">AND INTERPRETATION OF</w:t>
      </w:r>
      <w:r>
        <w:t xml:space="preserve"> A HISTORY OF THE WORK OF REDEMPTION Introduction 79 Critical Reception of </w:t>
      </w:r>
      <w:r>
        <w:rPr>
          <w:i/>
          <w:iCs/>
        </w:rPr>
        <w:t xml:space="preserve">A History of the Work of Redemption</w:t>
      </w:r>
      <w:r>
        <w:t xml:space="preserve"> 86 </w:t>
      </w:r>
      <w:r>
        <w:rPr>
          <w:i/>
          <w:iCs/>
        </w:rPr>
        <w:t xml:space="preserve">A History of the Work of Redemption</w:t>
      </w:r>
      <w:r>
        <w:t xml:space="preserve"> and Nineteenth-Century Religion in America 90</w:t>
      </w:r>
    </w:p>
    <w:p>
      <w:pPr>
        <w:pStyle w:val="SourcePage"/>
      </w:pPr>
      <w:r>
        <w:t xml:space="preserve">[p. viii]</w:t>
      </w:r>
    </w:p>
    <w:p>
      <w:pPr>
        <w:pStyle w:val="BodyText"/>
      </w:pPr>
      <w:r>
        <w:t xml:space="preserve">Modern Appreciation for </w:t>
      </w:r>
      <w:r>
        <w:rPr>
          <w:i/>
          <w:iCs/>
        </w:rPr>
        <w:t xml:space="preserve">A History of the Work of Redemption</w:t>
      </w:r>
      <w:r>
        <w:t xml:space="preserve"> 94 The Text of the Redemption Discourse and Its Presentation in the Yale Edition 100 Acknowledgments 108</w:t>
      </w:r>
    </w:p>
    <w:p>
      <w:pPr>
        <w:pStyle w:val="BodyText"/>
      </w:pPr>
      <w:r>
        <w:t xml:space="preserve">TEXT OF </w:t>
      </w:r>
      <w:r>
        <w:rPr>
          <w:i/>
          <w:iCs/>
        </w:rPr>
        <w:t xml:space="preserve">A HISTORY OF THE WORK OF REDEMPTION</w:t>
      </w:r>
      <w:r>
        <w:t xml:space="preserve"> 111</w:t>
      </w:r>
    </w:p>
    <w:p>
      <w:pPr>
        <w:pStyle w:val="BodyText"/>
      </w:pPr>
      <w:r>
        <w:t xml:space="preserve">APPENDIXES A. Outline of the Redemption Discourse 531 B. Jonathan Edwards' Notebooks for </w:t>
      </w:r>
      <w:r>
        <w:rPr>
          <w:i/>
          <w:iCs/>
        </w:rPr>
        <w:t xml:space="preserve">A History of the Work of Redemption</w:t>
      </w:r>
      <w:r>
        <w:t xml:space="preserve"> 543 GENERAL INDEX 557 INDEX OF BIBLICAL PASSAGES 579</w:t>
      </w:r>
    </w:p>
    <w:p>
      <w:pPr>
        <w:pStyle w:val="SourcePage"/>
      </w:pPr>
      <w:r>
        <w:t xml:space="preserve">[p. ix]</w:t>
      </w:r>
    </w:p>
    <w:p>
      <w:pPr>
        <w:pStyle w:val="Heading2"/>
      </w:pPr>
      <w:bookmarkStart w:name="heading_list_of_illustrations" w:id="5"/>
      <w:r>
        <w:t xml:space="preserve">LIST OF ILLUSTRATIONS</w:t>
      </w:r>
      <w:bookmarkEnd w:id="5"/>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160"/>
        <w:gridCol w:w="5200"/>
      </w:tblGrid>
      <w:tr>
        <w:trPr>
          <w:cantSplit/>
          <w:tblHeader/>
        </w:trPr>
        <w:tc>
          <w:tcPr>
            <w:tcW w:type="dxa" w:w="4160"/>
            <w:shd w:fill="ECE9E2" w:color="auto" w:val="clear"/>
            <w:vAlign w:val="center"/>
          </w:tcPr>
          <w:p>
            <w:pPr>
              <w:pStyle w:val="TableText"/>
            </w:pPr>
          </w:p>
        </w:tc>
        <w:tc>
          <w:tcPr>
            <w:tcW w:type="dxa" w:w="5200"/>
            <w:shd w:fill="ECE9E2" w:color="auto" w:val="clear"/>
            <w:vAlign w:val="center"/>
          </w:tcPr>
          <w:p>
            <w:pPr>
              <w:pStyle w:val="TableText"/>
            </w:pPr>
          </w:p>
        </w:tc>
      </w:tr>
      <w:tr>
        <w:trPr>
          <w:cantSplit/>
        </w:trPr>
        <w:tc>
          <w:tcPr>
            <w:tcW w:type="dxa" w:w="4160"/>
            <w:vAlign w:val="center"/>
          </w:tcPr>
          <w:p>
            <w:pPr>
              <w:pStyle w:val="TableText"/>
            </w:pPr>
            <w:r>
              <w:rPr>
                <w:b w:val="false"/>
                <w:bCs w:val="false"/>
                <w:i/>
                <w:iCs/>
              </w:rPr>
              <w:t xml:space="preserve">Frontispiece</w:t>
            </w:r>
          </w:p>
        </w:tc>
        <w:tc>
          <w:tcPr>
            <w:tcW w:type="dxa" w:w="5200"/>
            <w:vAlign w:val="center"/>
          </w:tcPr>
          <w:p>
            <w:pPr>
              <w:pStyle w:val="TableText"/>
            </w:pPr>
            <w:r>
              <w:rPr>
                <w:b w:val="false"/>
                <w:bCs w:val="false"/>
                <w:i/>
                <w:iCs/>
              </w:rPr>
              <w:t xml:space="preserve">A North-West Prospect of Nassau-Hall</w:t>
            </w:r>
            <w:r>
              <w:rPr>
                <w:b w:val="false"/>
                <w:bCs w:val="false"/>
              </w:rPr>
              <w:t xml:space="preserve">, </w:t>
            </w:r>
            <w:r>
              <w:rPr>
                <w:b w:val="false"/>
                <w:bCs w:val="false"/>
                <w:i/>
                <w:iCs/>
              </w:rPr>
              <w:t xml:space="preserve">with a Front View of the Presidents House in New Jersey</w:t>
            </w:r>
            <w:r>
              <w:rPr>
                <w:b w:val="false"/>
                <w:bCs w:val="false"/>
              </w:rPr>
              <w:t xml:space="preserve">, W. Tennent. Engraving by Henry Dawkins, 1764.</w:t>
            </w:r>
          </w:p>
        </w:tc>
      </w:tr>
      <w:tr>
        <w:trPr>
          <w:cantSplit/>
        </w:trPr>
        <w:tc>
          <w:tcPr>
            <w:tcW w:type="dxa" w:w="4160"/>
            <w:vAlign w:val="center"/>
          </w:tcPr>
          <w:p>
            <w:pPr>
              <w:pStyle w:val="TableText"/>
            </w:pPr>
            <w:r>
              <w:rPr>
                <w:b w:val="false"/>
                <w:bCs w:val="false"/>
                <w:i/>
                <w:iCs/>
              </w:rPr>
              <w:t xml:space="preserve">Page</w:t>
            </w:r>
          </w:p>
        </w:tc>
        <w:tc>
          <w:tcPr>
            <w:tcW w:type="dxa" w:w="5200"/>
            <w:vAlign w:val="center"/>
          </w:tcPr>
          <w:p>
            <w:pPr>
              <w:pStyle w:val="TableText"/>
            </w:pPr>
            <w:r>
              <w:rPr>
                <w:b w:val="false"/>
                <w:bCs w:val="false"/>
              </w:rPr>
              <w:t xml:space="preserve"> </w:t>
            </w:r>
          </w:p>
        </w:tc>
      </w:tr>
      <w:tr>
        <w:trPr>
          <w:cantSplit/>
        </w:trPr>
        <w:tc>
          <w:tcPr>
            <w:tcW w:type="dxa" w:w="4160"/>
            <w:vAlign w:val="center"/>
          </w:tcPr>
          <w:p>
            <w:pPr>
              <w:pStyle w:val="TableText"/>
            </w:pPr>
            <w:r>
              <w:rPr>
                <w:b w:val="false"/>
                <w:bCs w:val="false"/>
              </w:rPr>
              <w:t xml:space="preserve">64</w:t>
            </w:r>
          </w:p>
        </w:tc>
        <w:tc>
          <w:tcPr>
            <w:tcW w:type="dxa" w:w="5200"/>
            <w:vAlign w:val="center"/>
          </w:tcPr>
          <w:p>
            <w:pPr>
              <w:pStyle w:val="TableText"/>
            </w:pPr>
            <w:r>
              <w:rPr>
                <w:b w:val="false"/>
                <w:bCs w:val="false"/>
              </w:rPr>
              <w:t xml:space="preserve">From "Notebook 10," pages 89–90, one of the notebooks Edwards compiled before leaving Stockbridge for Princeton to become President of the College of New Jersey. He used "farewel-Sermon" stock in making the notebook.</w:t>
            </w:r>
          </w:p>
        </w:tc>
      </w:tr>
      <w:tr>
        <w:trPr>
          <w:cantSplit/>
        </w:trPr>
        <w:tc>
          <w:tcPr>
            <w:tcW w:type="dxa" w:w="4160"/>
            <w:vAlign w:val="center"/>
          </w:tcPr>
          <w:p>
            <w:pPr>
              <w:pStyle w:val="TableText"/>
            </w:pPr>
            <w:r>
              <w:rPr>
                <w:b w:val="false"/>
                <w:bCs w:val="false"/>
              </w:rPr>
              <w:t xml:space="preserve">65</w:t>
            </w:r>
          </w:p>
        </w:tc>
        <w:tc>
          <w:tcPr>
            <w:tcW w:type="dxa" w:w="5200"/>
            <w:vAlign w:val="center"/>
          </w:tcPr>
          <w:p>
            <w:pPr>
              <w:pStyle w:val="TableText"/>
            </w:pPr>
            <w:r>
              <w:rPr>
                <w:b w:val="false"/>
                <w:bCs w:val="false"/>
              </w:rPr>
              <w:t xml:space="preserve">"Notebook 10," pages 101–02, showing Edwards' development of a possible title for the Redemption Discourse, which he was then recasting.</w:t>
            </w:r>
          </w:p>
        </w:tc>
      </w:tr>
      <w:tr>
        <w:trPr>
          <w:cantSplit/>
        </w:trPr>
        <w:tc>
          <w:tcPr>
            <w:tcW w:type="dxa" w:w="4160"/>
            <w:vAlign w:val="center"/>
          </w:tcPr>
          <w:p>
            <w:pPr>
              <w:pStyle w:val="TableText"/>
            </w:pPr>
            <w:r>
              <w:rPr>
                <w:b w:val="false"/>
                <w:bCs w:val="false"/>
              </w:rPr>
              <w:t xml:space="preserve">104</w:t>
            </w:r>
          </w:p>
        </w:tc>
        <w:tc>
          <w:tcPr>
            <w:tcW w:type="dxa" w:w="5200"/>
            <w:vAlign w:val="center"/>
          </w:tcPr>
          <w:p>
            <w:pPr>
              <w:pStyle w:val="TableText"/>
            </w:pPr>
            <w:r>
              <w:rPr>
                <w:b w:val="false"/>
                <w:bCs w:val="false"/>
              </w:rPr>
              <w:t xml:space="preserve">Manuscript leaf 6.1r of Edwards' sermon booklets showing the beginning of Sermon 16.</w:t>
            </w:r>
          </w:p>
        </w:tc>
      </w:tr>
      <w:tr>
        <w:trPr>
          <w:cantSplit/>
        </w:trPr>
        <w:tc>
          <w:tcPr>
            <w:tcW w:type="dxa" w:w="4160"/>
            <w:vAlign w:val="center"/>
          </w:tcPr>
          <w:p>
            <w:pPr>
              <w:pStyle w:val="TableText"/>
            </w:pPr>
            <w:r>
              <w:rPr>
                <w:b w:val="false"/>
                <w:bCs w:val="false"/>
              </w:rPr>
              <w:t xml:space="preserve">104</w:t>
            </w:r>
          </w:p>
        </w:tc>
        <w:tc>
          <w:tcPr>
            <w:tcW w:type="dxa" w:w="5200"/>
            <w:vAlign w:val="center"/>
          </w:tcPr>
          <w:p>
            <w:pPr>
              <w:pStyle w:val="TableText"/>
            </w:pPr>
            <w:r>
              <w:rPr>
                <w:b w:val="false"/>
                <w:bCs w:val="false"/>
              </w:rPr>
              <w:t xml:space="preserve">Manuscript leaf 11.28v, near the end of Sermon 27, in the sermon booklets.</w:t>
            </w:r>
          </w:p>
        </w:tc>
      </w:tr>
      <w:tr>
        <w:trPr>
          <w:cantSplit/>
        </w:trPr>
        <w:tc>
          <w:tcPr>
            <w:tcW w:type="dxa" w:w="4160"/>
            <w:vAlign w:val="center"/>
          </w:tcPr>
          <w:p>
            <w:pPr>
              <w:pStyle w:val="TableText"/>
            </w:pPr>
            <w:r>
              <w:rPr>
                <w:b w:val="false"/>
                <w:bCs w:val="false"/>
              </w:rPr>
              <w:t xml:space="preserve">105</w:t>
            </w:r>
          </w:p>
        </w:tc>
        <w:tc>
          <w:tcPr>
            <w:tcW w:type="dxa" w:w="5200"/>
            <w:vAlign w:val="center"/>
          </w:tcPr>
          <w:p>
            <w:pPr>
              <w:pStyle w:val="TableText"/>
            </w:pPr>
            <w:r>
              <w:rPr>
                <w:b w:val="false"/>
                <w:bCs w:val="false"/>
              </w:rPr>
              <w:t xml:space="preserve">Manuscript leaf 2.12r of the sermon booklets showing Edwards' division of Sermon 5 after the manuscript had been drafted.</w:t>
            </w:r>
          </w:p>
        </w:tc>
      </w:tr>
      <w:tr>
        <w:trPr>
          <w:cantSplit/>
        </w:trPr>
        <w:tc>
          <w:tcPr>
            <w:tcW w:type="dxa" w:w="4160"/>
            <w:vAlign w:val="center"/>
          </w:tcPr>
          <w:p>
            <w:pPr>
              <w:pStyle w:val="TableText"/>
            </w:pPr>
            <w:r>
              <w:rPr>
                <w:b w:val="false"/>
                <w:bCs w:val="false"/>
              </w:rPr>
              <w:t xml:space="preserve">105</w:t>
            </w:r>
          </w:p>
        </w:tc>
        <w:tc>
          <w:tcPr>
            <w:tcW w:type="dxa" w:w="5200"/>
            <w:vAlign w:val="center"/>
          </w:tcPr>
          <w:p>
            <w:pPr>
              <w:pStyle w:val="TableText"/>
            </w:pPr>
            <w:r>
              <w:rPr>
                <w:b w:val="false"/>
                <w:bCs w:val="false"/>
              </w:rPr>
              <w:t xml:space="preserve">Manuscript leaf 2.13v, near the beginning of Sermon 5, in the sermon booklets.</w:t>
            </w:r>
          </w:p>
        </w:tc>
      </w:tr>
    </w:tbl>
    <w:p>
      <w:pPr>
        <w:pStyle w:val="SourcePage"/>
      </w:pPr>
      <w:r>
        <w:t xml:space="preserve">[p. 001]</w:t>
      </w:r>
    </w:p>
    <w:p>
      <w:pPr>
        <w:pStyle w:val="Heading2"/>
      </w:pPr>
      <w:bookmarkStart w:name="heading_editor_s_introduction" w:id="6"/>
      <w:r>
        <w:t xml:space="preserve">EDITOR'S INTRODUCTION</w:t>
      </w:r>
      <w:bookmarkEnd w:id="6"/>
    </w:p>
    <w:p>
      <w:pPr>
        <w:pStyle w:val="BodyText"/>
      </w:pPr>
      <w:r>
        <w:t xml:space="preserve">Jonathan Edwards' </w:t>
      </w:r>
      <w:r>
        <w:rPr>
          <w:i/>
          <w:iCs/>
        </w:rPr>
        <w:t xml:space="preserve">A History of the Work of Redemption</w:t>
      </w:r>
      <w:r>
        <w:t xml:space="preserve"> stands apart in the body of his writings. We know that he intended to bring his thought to its summation in a volume which would give theology a new basis in the theme of God's redemption of the world. But the book assumed to be that volume was published in Edinburgh a decade and a half after his death and was a significantly edited transcription of a series of sermons he had preached in the late 1730s. Of all his major treatises, including </w:t>
      </w:r>
      <w:r>
        <w:rPr>
          <w:i/>
          <w:iCs/>
        </w:rPr>
        <w:t xml:space="preserve">Religious Affections</w:t>
      </w:r>
      <w:r>
        <w:t xml:space="preserve">, </w:t>
      </w:r>
      <w:r>
        <w:rPr>
          <w:i/>
          <w:iCs/>
        </w:rPr>
        <w:t xml:space="preserve">Freedom of the Will</w:t>
      </w:r>
      <w:r>
        <w:t xml:space="preserve">, and </w:t>
      </w:r>
      <w:r>
        <w:rPr>
          <w:i/>
          <w:iCs/>
        </w:rPr>
        <w:t xml:space="preserve">Original Sin</w:t>
      </w:r>
      <w:r>
        <w:t xml:space="preserve">, </w:t>
      </w:r>
      <w:r>
        <w:rPr>
          <w:i/>
          <w:iCs/>
        </w:rPr>
        <w:t xml:space="preserve">Work of Redemption</w:t>
      </w:r>
      <w:r>
        <w:t xml:space="preserve"> alone was not delivered to the printer by Edwards himself. His other significant systematic works, the smaller essays known as the </w:t>
      </w:r>
      <w:r>
        <w:rPr>
          <w:i/>
          <w:iCs/>
        </w:rPr>
        <w:t xml:space="preserve">Two Dissertations</w:t>
      </w:r>
      <w:r>
        <w:t xml:space="preserve">, were nearing completion before his death. They were published within a decade, largely in the state in which he left them, under the supervision of his protégés. So the singularity of </w:t>
      </w:r>
      <w:r>
        <w:rPr>
          <w:i/>
          <w:iCs/>
        </w:rPr>
        <w:t xml:space="preserve">A History of the Work of Redemption</w:t>
      </w:r>
      <w:r>
        <w:t xml:space="preserve"> begins with the fact that it was edited and published by an admirer removed in space and, to some degree, in time from its author.</w:t>
      </w:r>
    </w:p>
    <w:p>
      <w:pPr>
        <w:pStyle w:val="BodyText"/>
      </w:pPr>
      <w:r>
        <w:t xml:space="preserve">The manner in which Edwards composed </w:t>
      </w:r>
      <w:r>
        <w:rPr>
          <w:i/>
          <w:iCs/>
        </w:rPr>
        <w:t xml:space="preserve">Work of Redemption</w:t>
      </w:r>
      <w:r>
        <w:t xml:space="preserve"> is also noteworthy. The sermon series he delivered under this title was a quite extraordinary venture on his part; namely, the composition of an extended set of sermon-discourses based on one biblical text. The form was derived from that of the conventional Puritan plain-style sermon, and the series stretched out over the best part of six months. Certainly there are examples in the Edwards corpus of single sermons that required several occasions for delivery. There are also instances in which a series of sermons was grounded upon a single scriptural passage. Edwards developed one of these very shortly before he composed </w:t>
      </w:r>
      <w:r>
        <w:rPr>
          <w:i/>
          <w:iCs/>
        </w:rPr>
        <w:t xml:space="preserve">Work of Redemption</w:t>
      </w:r>
      <w:r>
        <w:t xml:space="preserve">. This series, known as "Charity and Its Fruits," presented a progressive analysis of the verses in St. Paul's Hymn to Love (1 Corinthians 13). But no extant series is like the</w:t>
      </w:r>
    </w:p>
    <w:p>
      <w:pPr>
        <w:pStyle w:val="SourcePage"/>
      </w:pPr>
      <w:r>
        <w:t xml:space="preserve">[p. 002]</w:t>
      </w:r>
    </w:p>
    <w:p>
      <w:pPr>
        <w:pStyle w:val="BodyText"/>
      </w:pPr>
      <w:r>
        <w:t xml:space="preserve">Redemption Discourse,</w:t>
      </w:r>
      <w:r>
        <w:rPr>
          <w:rStyle w:val="FootnoteReference"/>
        </w:rPr>
        <w:footnoteReference w:id="1"/>
      </w:r>
      <w:r>
        <w:t xml:space="preserve"> which sustained, or rather transformed, the structure of a single sermon across thirty separate preaching occasions. Although </w:t>
      </w:r>
      <w:r>
        <w:rPr>
          <w:i/>
          <w:iCs/>
        </w:rPr>
        <w:t xml:space="preserve">Religious Affections</w:t>
      </w:r>
      <w:r>
        <w:t xml:space="preserve">, Edwards' first great treatise, undoubtedly also originated in such a series, we do not have the manuscripts of the sermons, and the materials were thoroughly reworked for publication. So </w:t>
      </w:r>
      <w:r>
        <w:rPr>
          <w:i/>
          <w:iCs/>
        </w:rPr>
        <w:t xml:space="preserve">Work of Redemption</w:t>
      </w:r>
      <w:r>
        <w:t xml:space="preserve"> is unique within the Edwards corpus with respect to the status of its text. No other uncompleted major treatise survives in such a "first draft."</w:t>
      </w:r>
    </w:p>
    <w:p>
      <w:pPr>
        <w:pStyle w:val="BodyText"/>
      </w:pPr>
      <w:r>
        <w:rPr>
          <w:i/>
          <w:iCs/>
        </w:rPr>
        <w:t xml:space="preserve">Work of Redemption</w:t>
      </w:r>
      <w:r>
        <w:t xml:space="preserve"> is unusual in other respects as well. Although Edwards conceived of it as a systematic discussion of the doctrine central to his mature thinking, he put the twelve manuscript booklets containing these sermons aside and as far as we can tell never preached the series or any part of it again. The only evidence that he began any significant revision is to be found in a notebook compiled toward the end of his life which probably marks the beginning of such a process. Thus both what was published as </w:t>
      </w:r>
      <w:r>
        <w:rPr>
          <w:i/>
          <w:iCs/>
        </w:rPr>
        <w:t xml:space="preserve">A History of the Work of Redemption</w:t>
      </w:r>
      <w:r>
        <w:t xml:space="preserve"> and the original sermon-discourses on which it was based probably stand at some remove from what Edwards would have envisioned as its final, completed form. The fullest and most carefully wrought plan for the project on God's Work of Redemption occurs in his letter to the trustees of the College of New Jersey where, in discussing his reluctance to accept their invitation to become president of the college, he sketched an outline for the treatise.</w:t>
      </w:r>
    </w:p>
    <w:p>
      <w:pPr>
        <w:pStyle w:val="BodyText"/>
      </w:pPr>
      <w:r>
        <w:t xml:space="preserve">In offering a new edition of </w:t>
      </w:r>
      <w:r>
        <w:rPr>
          <w:i/>
          <w:iCs/>
        </w:rPr>
        <w:t xml:space="preserve">Work of Redemption</w:t>
      </w:r>
      <w:r>
        <w:t xml:space="preserve">, the editor must proceed with caution and sensitivity. My introduction is divided into three parts. The first attends to the manuscript itself—its origin, characteristics, transmission, and eventual publication. In the second part I discuss the theological ideas which are at the heart of Edwards' endeavor, in particular the notion of the Work of Redemption as fundamental to the relationship between God and His creation. In doing so I deemphasize the importance conventionally given to the term </w:t>
      </w:r>
      <w:r>
        <w:rPr>
          <w:i/>
          <w:iCs/>
        </w:rPr>
        <w:t xml:space="preserve">history</w:t>
      </w:r>
      <w:r>
        <w:t xml:space="preserve"> in the title, arguing instead that the work is primarily theological and that Edwards' use of the term is in that context. The third part describes how </w:t>
      </w:r>
      <w:r>
        <w:rPr>
          <w:i/>
          <w:iCs/>
        </w:rPr>
        <w:t xml:space="preserve">Work of Redemption</w:t>
      </w:r>
      <w:r>
        <w:t xml:space="preserve"> was received upon its publication, how its influence spread, and how it has been reinterpreted as twentieth-century scholars have rediscovered in Edwards a major American thinker. The progression from text to doctrine and</w:t>
      </w:r>
    </w:p>
    <w:p>
      <w:pPr>
        <w:pStyle w:val="SourcePage"/>
      </w:pPr>
      <w:r>
        <w:t xml:space="preserve">[p. 003]</w:t>
      </w:r>
    </w:p>
    <w:p>
      <w:pPr>
        <w:pStyle w:val="BodyText"/>
      </w:pPr>
      <w:r>
        <w:t xml:space="preserve">finally to uses suggests the structure that is explicit in Edwards' sermons and that underlies his mature treatises.</w:t>
      </w:r>
    </w:p>
    <w:p>
      <w:pPr>
        <w:pStyle w:val="Heading2"/>
      </w:pPr>
      <w:bookmarkStart w:name="heading_1_the_redemption_discourse" w:id="7"/>
      <w:r>
        <w:t xml:space="preserve">1. The Redemption Discourse</w:t>
      </w:r>
      <w:bookmarkEnd w:id="7"/>
    </w:p>
    <w:p>
      <w:pPr>
        <w:pStyle w:val="Heading3"/>
      </w:pPr>
      <w:bookmarkStart w:name="heading_the_setting_of_the_redemptio" w:id="8"/>
      <w:r>
        <w:t xml:space="preserve">The Setting Of The Redemption Discourse</w:t>
      </w:r>
      <w:bookmarkEnd w:id="8"/>
    </w:p>
    <w:p>
      <w:pPr>
        <w:pStyle w:val="BodyText"/>
      </w:pPr>
      <w:r>
        <w:t xml:space="preserve">By the spring of 1739, Jonathan Edwards had come into his own as successor to his grandfather, Solomon Stoddard, pastor of the church at Northampton in the Massachusetts Bay Colony. Northampton was the most important settlement in the upper Connecticut River Valley, and as a consequence its church was extremely influential. The grandson had shown himself worthy to follow Stoddard by his role in the religious awakenings of 1734, which he chronicled in his </w:t>
      </w:r>
      <w:r>
        <w:rPr>
          <w:i/>
          <w:iCs/>
        </w:rPr>
        <w:t xml:space="preserve">Faithful Narrative</w:t>
      </w:r>
      <w:r>
        <w:t xml:space="preserve">.</w:t>
      </w:r>
      <w:r>
        <w:rPr>
          <w:rStyle w:val="FootnoteReference"/>
        </w:rPr>
        <w:footnoteReference w:id="2"/>
      </w:r>
      <w:r>
        <w:t xml:space="preserve"> This season of renewals made it evident that the impressive harvests of souls that had marked Stoddard's ministry were continuing after his death, under the stewardship of the grandson. In spite of rivalries and hard feelings, the succession was secure, and it was clear that Edwards would be a force to be reckoned with.</w:t>
      </w:r>
      <w:r>
        <w:rPr>
          <w:rStyle w:val="FootnoteReference"/>
        </w:rPr>
        <w:footnoteReference w:id="3"/>
      </w:r>
    </w:p>
    <w:p>
      <w:pPr>
        <w:pStyle w:val="BodyText"/>
      </w:pPr>
      <w:r>
        <w:t xml:space="preserve">Certain developments in the town of Northampton provided the occasion for the extraordinary preaching venture of the Redemption Discourse. In the course of the 1730s it had become increasingly evident that the town must replace its old meetinghouse with a new one, the third in its history.</w:t>
      </w:r>
      <w:r>
        <w:rPr>
          <w:rStyle w:val="FootnoteReference"/>
        </w:rPr>
        <w:footnoteReference w:id="4"/>
      </w:r>
      <w:r>
        <w:t xml:space="preserve"> Contemporary accounts show that a serious decision to build the new meetinghouse was made in the middle years of the decade.</w:t>
      </w:r>
      <w:r>
        <w:rPr>
          <w:rStyle w:val="FootnoteReference"/>
        </w:rPr>
        <w:footnoteReference w:id="5"/>
      </w:r>
      <w:r>
        <w:t xml:space="preserve"> While the new building was under construction, the gallery in the old one collapsed. No one was hurt, but this narrow escape from injury and death was taken as a sure sign that the townsfolk had acted wisely by committing themselves to building the new church. This more spacious meetinghouse also gave Edwards a larger stage on which to perform, to deliver (or "publish") his sermon-discourses—especially</w:t>
      </w:r>
    </w:p>
    <w:p>
      <w:pPr>
        <w:pStyle w:val="SourcePage"/>
      </w:pPr>
      <w:r>
        <w:t xml:space="preserve">[p. 004]</w:t>
      </w:r>
    </w:p>
    <w:p>
      <w:pPr>
        <w:pStyle w:val="BodyText"/>
      </w:pPr>
      <w:r>
        <w:t xml:space="preserve">after interest in religious affairs waned following the 1734 revival. It is noteworthy that he preached the extended series of sermons on 1 Corinthians 13, St. Paul's Hymn to Love, soon after the move to the new building.</w:t>
      </w:r>
      <w:r>
        <w:rPr>
          <w:rStyle w:val="FootnoteReference"/>
        </w:rPr>
        <w:footnoteReference w:id="6"/>
      </w:r>
      <w:r>
        <w:t xml:space="preserve"> The Redemption Discourse, which Edwards called "A History of the Work of Redemption," came a year later, preceded by four sermons on Genesis 3:11 preached in February 1739. That these ambitious sermon series closely followed the completion of the new structure was probably no accident.</w:t>
      </w:r>
    </w:p>
    <w:p>
      <w:pPr>
        <w:pStyle w:val="BodyText"/>
      </w:pPr>
      <w:r>
        <w:t xml:space="preserve">The building of the new church was accompanied by an increasing differentiation of functions in the community. A new and separate town or county house was constructed soon after the new church,</w:t>
      </w:r>
      <w:r>
        <w:rPr>
          <w:rStyle w:val="FootnoteReference"/>
        </w:rPr>
        <w:footnoteReference w:id="7"/>
      </w:r>
      <w:r>
        <w:t xml:space="preserve"> physically segregating ecclesiastical from governmental functions for the first time in Northampton. This signals the maturation of the town as county seat and suggests its increased influence. Of course, separating government from religion threatened the tradition of ecclesiastical domination and helped create a situation in which it was ever more necessary for Edwards to assert the importance of religion. The Redemption Discourse exemplifies this important theme in Edwards' preaching.</w:t>
      </w:r>
    </w:p>
    <w:p>
      <w:pPr>
        <w:pStyle w:val="BodyText"/>
      </w:pPr>
      <w:r>
        <w:t xml:space="preserve">By 1739 Edwards was secure as Stoddard's successor and had engineered and participated in the opening of a new ecclesiastical chapter in the life of Northampton, but he had also attracted wider attention by his publications. The first of these had been the "Publick Lecture" originally delivered in Boston on July 8, 1731, shortly after he had assumed the Northampton pastorate. "Published at the desire of several, Ministers and Others, in Boston who heard it," </w:t>
      </w:r>
      <w:r>
        <w:rPr>
          <w:i/>
          <w:iCs/>
        </w:rPr>
        <w:t xml:space="preserve">God Glorified in the Work of Redemption</w:t>
      </w:r>
      <w:r>
        <w:t xml:space="preserve"> stands as an earnest of the central place that redemption would hold in his mature theological reflection.</w:t>
      </w:r>
      <w:r>
        <w:rPr>
          <w:rStyle w:val="FootnoteReference"/>
        </w:rPr>
        <w:footnoteReference w:id="8"/>
      </w:r>
      <w:r>
        <w:t xml:space="preserve"> Three years later (1734) he published another sermon, </w:t>
      </w:r>
      <w:r>
        <w:rPr>
          <w:i/>
          <w:iCs/>
        </w:rPr>
        <w:t xml:space="preserve">A Divine and Supernatural Light</w:t>
      </w:r>
      <w:r>
        <w:t xml:space="preserve">, </w:t>
      </w:r>
      <w:r>
        <w:rPr>
          <w:i/>
          <w:iCs/>
        </w:rPr>
        <w:t xml:space="preserve">Immediately Imparted to the Soul by the Spirit of God</w:t>
      </w:r>
      <w:r>
        <w:t xml:space="preserve">.</w:t>
      </w:r>
      <w:r>
        <w:rPr>
          <w:rStyle w:val="FootnoteReference"/>
        </w:rPr>
        <w:footnoteReference w:id="9"/>
      </w:r>
      <w:r>
        <w:t xml:space="preserve"> Soon thereafter </w:t>
      </w:r>
      <w:r>
        <w:rPr>
          <w:i/>
          <w:iCs/>
        </w:rPr>
        <w:t xml:space="preserve">A Faithful Narrative</w:t>
      </w:r>
      <w:r>
        <w:t xml:space="preserve"> (1736) eclipsed these sermon-discourses at least in terms of public notice—it went through as many</w:t>
      </w:r>
    </w:p>
    <w:p>
      <w:pPr>
        <w:pStyle w:val="SourcePage"/>
      </w:pPr>
      <w:r>
        <w:t xml:space="preserve">[p. 005]</w:t>
      </w:r>
    </w:p>
    <w:p>
      <w:pPr>
        <w:pStyle w:val="BodyText"/>
      </w:pPr>
      <w:r>
        <w:t xml:space="preserve">as ten editions in a decade.</w:t>
      </w:r>
      <w:r>
        <w:rPr>
          <w:rStyle w:val="FootnoteReference"/>
        </w:rPr>
        <w:footnoteReference w:id="10"/>
      </w:r>
      <w:r>
        <w:t xml:space="preserve"> Edwards then prepared a set of additional discourses on five subjects (these were also originally sermons) for publication in 1738.</w:t>
      </w:r>
      <w:r>
        <w:rPr>
          <w:rStyle w:val="FootnoteReference"/>
        </w:rPr>
        <w:footnoteReference w:id="11"/>
      </w:r>
      <w:r>
        <w:t xml:space="preserve"> So by the time he turned his attention to composing the Redemption Discourse, he was well on the way to recognition both as an author and as a leader in New England ecclesiastical affairs.</w:t>
      </w:r>
    </w:p>
    <w:p>
      <w:pPr>
        <w:pStyle w:val="BodyText"/>
      </w:pPr>
      <w:r>
        <w:t xml:space="preserve">This evidence for Edwards' growing stature is significant as background to the sermon series on God's Work of Redemption. It also seems clear that he was beginning to write sustained discourses of treatise length, although their initial—and perhaps only—"publication" might be from the pulpit. His 1738 sermon series is a quite remarkable descant on the text of 1 Corinthians 13. Technically the successive sermons of this series were preached on the verses in turn, so that Edwards was effectively appropriating an old and much-used device (expository preaching was thoroughly perfected in the Puritan tradition) in working through a biblical book (or even a series of books) over a long time. In this respect, then, he conceived the Redemption Discourse as a new and different kind of project, for it was based on a single verse of Scripture.</w:t>
      </w:r>
    </w:p>
    <w:p>
      <w:pPr>
        <w:pStyle w:val="Heading3"/>
      </w:pPr>
      <w:bookmarkStart w:name="heading_the_composition_of_the_redem" w:id="9"/>
      <w:r>
        <w:t xml:space="preserve">The Composition Of The Redemption Discourse</w:t>
      </w:r>
      <w:bookmarkEnd w:id="9"/>
    </w:p>
    <w:p>
      <w:pPr>
        <w:pStyle w:val="BodyText"/>
      </w:pPr>
      <w:r>
        <w:rPr>
          <w:i/>
          <w:iCs/>
        </w:rPr>
        <w:t xml:space="preserve">A History of the Work of Redemption</w:t>
      </w:r>
      <w:r>
        <w:t xml:space="preserve"> originated as a series of thirty lecture-sermons that Edwards preached to the church in Northampton between March and August 1739. The collection of his manuscripts held in the Beinecke Rare Book and Manuscript Library at Yale University includes the twelve booklets in which he wrote out these discourses. Like his other sermon booklets, they were designed to be held in the palm of his hand; each measures approximately 10.2 cm by 9.4 cm.</w:t>
      </w:r>
    </w:p>
    <w:p>
      <w:pPr>
        <w:pStyle w:val="BodyText"/>
      </w:pPr>
      <w:r>
        <w:t xml:space="preserve">In general we know very little from either internal evidence or external testimony about the composition and delivery of these sermons.</w:t>
      </w:r>
    </w:p>
    <w:p>
      <w:pPr>
        <w:pStyle w:val="SourcePage"/>
      </w:pPr>
      <w:r>
        <w:t xml:space="preserve">[p. 006]</w:t>
      </w:r>
    </w:p>
    <w:p>
      <w:pPr>
        <w:pStyle w:val="BodyText"/>
      </w:pPr>
      <w:r>
        <w:t xml:space="preserve">Five of the thirty manuscript sermon units do contain notations, presumably concerning the time of their delivery. The first sermon was dated "March 1739," the tenth "April 1739," the sixteenth simply "June 17th," and the twenty-eighth and twenty-ninth "August 1739." Beyond this, internal evidence makes it certain that at least the fourteenth and fifteenth, the eighteenth and nineteenth, and the twentieth and twenty-first sermons were composed and probably preached as linked pairs. In each case, the first unit of the pair (this possibly holds true for other sets as well) was intended for the forenoon and the second for the afternoon of the same day (undoubtedly Sundays). Otherwise the manuscript booklets do not indicate a specific day or time of preaching.</w:t>
      </w:r>
    </w:p>
    <w:p>
      <w:pPr>
        <w:pStyle w:val="BodyText"/>
      </w:pPr>
      <w:r>
        <w:t xml:space="preserve">In the history of Edwards scholarship, more precise claims have been advanced about the preaching of this sermon series. Sereno Dwight, who was Jonathan Edwards' great-grandson and comprehensive editor and biographer, offered quite precise information about the distribution of the preaching occasions throughout this six-month period: "The eight first were delivered during that month [March], the eight next in the two following months, and the whole series, thirty in all, was completed before the close of August."</w:t>
      </w:r>
      <w:r>
        <w:rPr>
          <w:rStyle w:val="FootnoteReference"/>
        </w:rPr>
        <w:footnoteReference w:id="12"/>
      </w:r>
      <w:r>
        <w:t xml:space="preserve"> Dwight's statement is consistent with the internal evidence, and the distribution he sketched may have been based on inferences drawn from the texts. It is conceivable, of course, that Dwight had access to additional information about the series that is not currently available. He may also have compiled enough information about the delivery of other sermons to give him a basis for inferring the pattern of distribution he reports. In the course of this particular six-month period (March through August), Edwards' production of sermons other than those of the Redemption Discourse was markedly lower than usual. In tabulating extant sermons he presumably composed and delivered during 1739, we find that eight date from January and February, and thirteen from the months September through December. For March through August, there are only ten sermons independent of the thirty</w:t>
      </w:r>
    </w:p>
    <w:p>
      <w:pPr>
        <w:pStyle w:val="SourcePage"/>
      </w:pPr>
      <w:r>
        <w:t xml:space="preserve">[p. 007]</w:t>
      </w:r>
    </w:p>
    <w:p>
      <w:pPr>
        <w:pStyle w:val="BodyText"/>
      </w:pPr>
      <w:r>
        <w:t xml:space="preserve">of the Redemption Discourse.</w:t>
      </w:r>
      <w:r>
        <w:rPr>
          <w:rStyle w:val="FootnoteReference"/>
        </w:rPr>
        <w:footnoteReference w:id="13"/>
      </w:r>
      <w:r>
        <w:t xml:space="preserve"> This evidence does not necessarily support Dwight's claims about the </w:t>
      </w:r>
      <w:r>
        <w:rPr>
          <w:i/>
          <w:iCs/>
        </w:rPr>
        <w:t xml:space="preserve">distribution</w:t>
      </w:r>
      <w:r>
        <w:t xml:space="preserve"> of the series across the months in question, but neither does it contradict his statement.</w:t>
      </w:r>
    </w:p>
    <w:p>
      <w:pPr>
        <w:pStyle w:val="BodyText"/>
      </w:pPr>
      <w:r>
        <w:t xml:space="preserve">Dwight may also have been familiar enough with details of Edwards' activities and travels throughout this period to have made a good educated guess about when the sermons were preached. Ebenezer Parkman's </w:t>
      </w:r>
      <w:r>
        <w:rPr>
          <w:i/>
          <w:iCs/>
        </w:rPr>
        <w:t xml:space="preserve">Diary</w:t>
      </w:r>
      <w:r>
        <w:t xml:space="preserve"> provides some information about Edwards' characteristic movements.</w:t>
      </w:r>
      <w:r>
        <w:rPr>
          <w:rStyle w:val="FootnoteReference"/>
        </w:rPr>
        <w:footnoteReference w:id="14"/>
      </w:r>
      <w:r>
        <w:t xml:space="preserve"> Parkman's relatively close observation of him in late May 1739 gives us grounds to suppose that the composition and delivery of the series caused no disruption of Edwards' normally demanding life. Parkman records that Edwards preached the public lecture in Boston (on the text 1 Timothy 2:5 [sic]) on May 24, a Thursday. On the next day Parkman dined with him at the Reverend Joshua Gee's in Boston, after which Edwards preached at "Elder Lymans." Whether he returned to Northampton on the Saturday is not certain, but it seems unlikely. On Sunday afternoon Parkman preached in his own pulpit at Westborough. (Westborough was only about a third the distance of Northampton from Boston.) On Monday afternoon (May 28) Parkman set off for Cambridge; when he returned he learned that Edwards had stayed at his home in Westborough that night. Probably Edwards was on his way to Northampton, although it is possible he was going back to Boston after having preached at Northampton on the twenty-seventh. From this we get a glimpse of the active life of a New England clergyman of the period; and we know that Edwards was, if anything, among the busiest. The larger point is that he composed and delivered the Redemption Discourse sermons during a time in which his schedule was already full. His normal Sunday sermons were the occasion of, and vehicle for, developing a series of lectures on this grand and encompassing theme.</w:t>
      </w:r>
    </w:p>
    <w:p>
      <w:pPr>
        <w:pStyle w:val="BodyText"/>
      </w:pPr>
      <w:r>
        <w:t xml:space="preserve">Another of Dwight's assertions may also have come from internal evidence. He stated that Edwards "appears never to have repeated the Series of Discourses to his people."</w:t>
      </w:r>
      <w:r>
        <w:rPr>
          <w:rStyle w:val="FootnoteReference"/>
        </w:rPr>
        <w:footnoteReference w:id="15"/>
      </w:r>
      <w:r>
        <w:t xml:space="preserve"> This claim may rest on special information available to Dwight alone, but it is much more likely that he based it on his knowledge of Edwards' literary habits. When he</w:t>
      </w:r>
    </w:p>
    <w:p>
      <w:pPr>
        <w:pStyle w:val="SourcePage"/>
      </w:pPr>
      <w:r>
        <w:t xml:space="preserve">[p. 008]</w:t>
      </w:r>
    </w:p>
    <w:p>
      <w:pPr>
        <w:pStyle w:val="BodyText"/>
      </w:pPr>
      <w:r>
        <w:t xml:space="preserve">preached a sermon again Edwards usually noted the date; and he often thoroughly recast it.</w:t>
      </w:r>
      <w:r>
        <w:rPr>
          <w:rStyle w:val="FootnoteReference"/>
        </w:rPr>
        <w:footnoteReference w:id="16"/>
      </w:r>
    </w:p>
    <w:p>
      <w:pPr>
        <w:pStyle w:val="BodyText"/>
      </w:pPr>
      <w:r>
        <w:t xml:space="preserve">In the absence of more internal evidence we would ideally find external testimonies in, for instance, contemporary references to the actual delivery of this preaching series. As a hypothetical example, Joseph Bellamy, later to achieve prominence as an ecclesiastical leader, was apparently residing as a student in the Edwards household in this general period and might have heard these sermons. Our external evidence amounts to only one reminiscence, however, which was passed on to Edwards' grandson, Timothy Dwight, who cited it in </w:t>
      </w:r>
      <w:r>
        <w:rPr>
          <w:i/>
          <w:iCs/>
        </w:rPr>
        <w:t xml:space="preserve">Travels in New England and New York</w:t>
      </w:r>
      <w:r>
        <w:t xml:space="preserve">. Dwight devoted the fourth "letter" of his fourth volume to refuting an article in the </w:t>
      </w:r>
      <w:r>
        <w:rPr>
          <w:i/>
          <w:iCs/>
        </w:rPr>
        <w:t xml:space="preserve">Edinburgh Review</w:t>
      </w:r>
      <w:r>
        <w:t xml:space="preserve"> which had claimed that "federal America" had "done nothing either to extend, diversify, or embellish the sphere of human knowledge." As a retort, Dwight argued that "the late President Edwards has more enlarged the science of theology than any divine of whom either England or Scotland can boast."</w:t>
      </w:r>
      <w:r>
        <w:rPr>
          <w:rStyle w:val="FootnoteReference"/>
        </w:rPr>
        <w:footnoteReference w:id="17"/>
      </w:r>
      <w:r>
        <w:t xml:space="preserve"> Furthermore, Dwight claimed that, save for Whitefield's, Edwards' preaching was unrivaled for eloquence. In this connection he introduced a reminiscence about the Redemption Discourse:</w:t>
      </w:r>
    </w:p>
    <w:p>
      <w:pPr>
        <w:pStyle w:val="BlockQuote"/>
      </w:pPr>
      <w:r>
        <w:t xml:space="preserve">The late Nehemiah Strong, Esq., a native of Northampton, and formerly professor of mathematics and natural philosophy in Yale College, observed to me that in early youth he heard Mr. Edwards deliver the sermons which now constitute the History of Redemption. His mind, he remarked, was from the beginning deeply interested in the subject. As it advanced, his feelings became more and more engaged. When Mr. Edwards came to a consideration of the final judgment, Mr. Strong said, his own mind was wrought up to such a pitch that he expected without one thought to the contrary the awful scene to be unfolded on that day and in that place. Accordingly, he waited with the deepest and the most solemn solicitude to hear the trumpet sound and the archangel call; to see the graves open, the dead arise, and the judge descend in the glory of his Father, with all his holy angels; and was deeply</w:t>
      </w:r>
    </w:p>
    <w:p>
      <w:pPr>
        <w:pStyle w:val="SourcePage"/>
      </w:pPr>
      <w:r>
        <w:t xml:space="preserve">[p. 009]</w:t>
      </w:r>
    </w:p>
    <w:p>
      <w:pPr>
        <w:pStyle w:val="BodyText"/>
      </w:pPr>
      <w:r>
        <w:t xml:space="preserve">disappointed when the day terminated and left the world in its usual state of tranquility.</w:t>
      </w:r>
      <w:r>
        <w:rPr>
          <w:rStyle w:val="FootnoteReference"/>
        </w:rPr>
        <w:footnoteReference w:id="18"/>
      </w:r>
    </w:p>
    <w:p>
      <w:pPr>
        <w:pStyle w:val="BodyText"/>
      </w:pPr>
      <w:r>
        <w:t xml:space="preserve">Strong's testimony suggests that many </w:t>
      </w:r>
      <w:r>
        <w:rPr>
          <w:i/>
          <w:iCs/>
        </w:rPr>
        <w:t xml:space="preserve">might</w:t>
      </w:r>
      <w:r>
        <w:t xml:space="preserve"> have remembered this significant series of lecture-sermons, but his is the only specific recollection. That Dwight published only this reference may mean that no contemporary written references to the series had survived even to his time.</w:t>
      </w:r>
    </w:p>
    <w:p>
      <w:pPr>
        <w:pStyle w:val="BodyText"/>
      </w:pPr>
      <w:r>
        <w:t xml:space="preserve">From the outset Edwards clearly looked on the Redemption Discourse as an endeavor unlike any he had attempted before. First, all thirty sermons were organized around a single text: Isaiah 51:8, "For the moth shall eat them up like a garment, and the worm shall eat them like wool: but my righteousness shall be for ever, and my salvation from generation to generation." The elaboration of the whole series is bounded by that text and the doctrine framed from it: "The Work of Redemption is a work that God carries on from the fall of man to the end of the world." As in any Puritan sermon, there are entire sections which are "improvements" or "applications" for the benefit of Edwards' hearers. He concludes the series with a summary improvement. But a significant transmutation of the genre was taking place in spite of these and other formal elements and the constraints they placed upon the Redemption Discourse. The thirty edifying lectures had a narrative and theological unity so pervasive that, when they were finally published, their editor was able easily to strip away such sermonic characteristics as repetition of text and doctrine and reiteration of the argument. In so doing, he revealed the sustained treatise, organized by rationally ordered and largely chronological subdivisions, that we know as </w:t>
      </w:r>
      <w:r>
        <w:rPr>
          <w:i/>
          <w:iCs/>
        </w:rPr>
        <w:t xml:space="preserve">A History of the Work of Redemption</w:t>
      </w:r>
      <w:r>
        <w:t xml:space="preserve">.</w:t>
      </w:r>
      <w:r>
        <w:rPr>
          <w:rStyle w:val="FootnoteReference"/>
        </w:rPr>
        <w:footnoteReference w:id="19"/>
      </w:r>
      <w:r>
        <w:t xml:space="preserve"> This is one reason to think (in spite of his reference to the contrary in the well-known letter to the trustees of the College of New Jersey, see pp. 62–63 below) that, apparently from the point of their conception, Edwards intended to develop the Redemption Discourse sermons into a substantial treatise for publication.</w:t>
      </w:r>
    </w:p>
    <w:p>
      <w:pPr>
        <w:pStyle w:val="BodyText"/>
      </w:pPr>
      <w:r>
        <w:t xml:space="preserve">Wilson Kimnach, a close student of the booklets in which Edwards wrote out his sermons, has suggested that, at least in certain cases, the division into "preaching units," that is, individual sermons, was arbitrary, or introduced only to permit Edwards to deliver the "treatise"</w:t>
      </w:r>
    </w:p>
    <w:p>
      <w:pPr>
        <w:pStyle w:val="SourcePage"/>
      </w:pPr>
      <w:r>
        <w:t xml:space="preserve">[p. 010]</w:t>
      </w:r>
    </w:p>
    <w:p>
      <w:pPr>
        <w:pStyle w:val="BodyText"/>
      </w:pPr>
      <w:r>
        <w:t xml:space="preserve">over thirty occasions.</w:t>
      </w:r>
      <w:r>
        <w:rPr>
          <w:rStyle w:val="FootnoteReference"/>
        </w:rPr>
        <w:footnoteReference w:id="20"/>
      </w:r>
      <w:r>
        <w:t xml:space="preserve"> In some places, the manuscript was clearly divided into sermons only after composition, but many of the sermons were composed with a view to being preached on a particular occasion.</w:t>
      </w:r>
      <w:r>
        <w:rPr>
          <w:rStyle w:val="FootnoteReference"/>
        </w:rPr>
        <w:footnoteReference w:id="21"/>
      </w:r>
      <w:r>
        <w:t xml:space="preserve"> Kimnach's larger point, however, is indisputable: the series is indeed a single, self-contained project. In this perspective, the development of a sermon series offered Edwards the opportunity to draft an initial version of a long-range undertaking; circumstances required its division into units that permitted delivery as sermons. Additional evidence that the Work of Redemption theme was fundamental to his mature thought appears in the "Miscellanies," that extraordinary series of essays recording the life of his mind from his college years on. There he repeatedly framed early entries around the theme of redemption and related subjects.</w:t>
      </w:r>
      <w:r>
        <w:rPr>
          <w:rStyle w:val="FootnoteReference"/>
        </w:rPr>
        <w:footnoteReference w:id="22"/>
      </w:r>
      <w:r>
        <w:t xml:space="preserve"> The Redemption Discourse summarized, as of the spring and summer months of 1739, Edwards' extensive reflections on the doctrine he believed to be most fundamental to Christianity.</w:t>
      </w:r>
    </w:p>
    <w:p>
      <w:pPr>
        <w:pStyle w:val="BodyText"/>
      </w:pPr>
      <w:r>
        <w:t xml:space="preserve">There is no evidence that Edwards gave his attention to reworking (or, as noted above, repreaching) the series. There are, for example, no extensively redrafted sections.</w:t>
      </w:r>
      <w:r>
        <w:rPr>
          <w:rStyle w:val="FootnoteReference"/>
        </w:rPr>
        <w:footnoteReference w:id="23"/>
      </w:r>
      <w:r>
        <w:t xml:space="preserve"> In this connection, the circumstances of the time must be kept in mind. In little over a year after the conclusion of the series, George Whitefield made his first visit to New England, arriving at Northampton in the middle of October 1740. The extraordinary response to his preaching, and the itinerating which followed it, represent the social and cultural tumult later denominated the Great Awakening, in which Edwards became deeply involved. Under its influence, his intellect was increasingly devoted to developing a more discriminating understanding of the workings of the Spirit in human subjects. This preoccupation produced the extraordinary sequence of analytical studies of the phenomenon that began with his New Haven commencement sermon, "The Distinguishing Marks" (1741), progressed through </w:t>
      </w:r>
      <w:r>
        <w:rPr>
          <w:i/>
          <w:iCs/>
        </w:rPr>
        <w:t xml:space="preserve">Some Thoughts Concerning</w:t>
      </w:r>
    </w:p>
    <w:p>
      <w:pPr>
        <w:pStyle w:val="SourcePage"/>
      </w:pPr>
      <w:r>
        <w:t xml:space="preserve">[p. 011]</w:t>
      </w:r>
    </w:p>
    <w:p>
      <w:pPr>
        <w:pStyle w:val="BodyText"/>
      </w:pPr>
      <w:r>
        <w:t xml:space="preserve">the Revival</w:t>
      </w:r>
    </w:p>
    <w:p>
      <w:pPr>
        <w:pStyle w:val="BodyText"/>
      </w:pPr>
      <w:r>
        <w:t xml:space="preserve">(1742), and culminated in the magisterial treatise Religious Affections (1746).</w:t>
      </w:r>
      <w:r>
        <w:rPr>
          <w:rStyle w:val="FootnoteReference"/>
        </w:rPr>
        <w:footnoteReference w:id="24"/>
      </w:r>
    </w:p>
    <w:p>
      <w:pPr>
        <w:pStyle w:val="BodyText"/>
      </w:pPr>
      <w:r>
        <w:t xml:space="preserve">Religious Affections was itself, apparently, first worked out in the form of sermons.These publications of the early 1740s bear on the Redemption Discourse materials at most only indirectly, so that little, if any, discussion of them is appropriate. Edwards was so caught up by the Awakening and its demands that he had little opportunity, even if he had wished for it, to go back to revision and elaboration of the series of lecture-sermons about God's Work of Redemption. At the same time, there was a direct connection with the Awakening, for that revitalization of religious life concerned what we might term the subjective side of redemption, that is, its effect upon and appropriation by human subjects insofar as they were made participants in it. For our purposes, however, his publications of this period primarily demonstrate Edwards' proclivity to develop, and his manifest skill at transforming, essentially sermonic materials into sustained treatises. Thus the final form he seems to have intended for the Redemption Discourse was first perfected in the meticulous analysis of religious behavior and belief as they originated in the affections.</w:t>
      </w:r>
    </w:p>
    <w:p>
      <w:pPr>
        <w:pStyle w:val="Heading3"/>
      </w:pPr>
      <w:bookmarkStart w:name="heading_the_history_project" w:id="10"/>
      <w:r>
        <w:t xml:space="preserve">The "History" Project</w:t>
      </w:r>
      <w:bookmarkEnd w:id="10"/>
    </w:p>
    <w:p>
      <w:pPr>
        <w:pStyle w:val="BodyText"/>
      </w:pPr>
      <w:r>
        <w:t xml:space="preserve">A letter from the Scottish clergyman John Erskine to Joseph Bellamy, written on March 24, 1755, gives us some hint of Edwards' intentions for the Redemption Discourse. In passing Erskine writes, "Tho' I long to see Mr. Edwards' refutation of the several branches of Arminianism, yet I more long to see his intended history of man's Redemption. From such a pen upon such a subject, something highly valuable may be expected. May a kind providence preserve from danger a life so important."</w:t>
      </w:r>
      <w:r>
        <w:rPr>
          <w:rStyle w:val="FootnoteReference"/>
        </w:rPr>
        <w:footnoteReference w:id="25"/>
      </w:r>
      <w:r>
        <w:t xml:space="preserve"> Edwards had begun to exchange letters with Erskine in 1747. In the light of these comments we can safely surmise that he must have told Erskine something of his plans. But none of the letters he wrote to Erskine, at least among those that are preserved by Dwight in his </w:t>
      </w:r>
      <w:r>
        <w:rPr>
          <w:i/>
          <w:iCs/>
        </w:rPr>
        <w:t xml:space="preserve">Life</w:t>
      </w:r>
      <w:r>
        <w:t xml:space="preserve">, gives any details of what Erskine actually knew about the Redemption Discourse.</w:t>
      </w:r>
      <w:r>
        <w:rPr>
          <w:rStyle w:val="FootnoteReference"/>
        </w:rPr>
        <w:footnoteReference w:id="26"/>
      </w:r>
      <w:r>
        <w:t xml:space="preserve"> If Edwards' extensive correspondence</w:t>
      </w:r>
    </w:p>
    <w:p>
      <w:pPr>
        <w:pStyle w:val="SourcePage"/>
      </w:pPr>
      <w:r>
        <w:t xml:space="preserve">[p. 012]</w:t>
      </w:r>
    </w:p>
    <w:p>
      <w:pPr>
        <w:pStyle w:val="BodyText"/>
      </w:pPr>
      <w:r>
        <w:t xml:space="preserve">with Erskine survives, it has not been located and identified. What is clear, however, is that Erskine's special interest in the Redemption Discourse—an interest that eventually led him to edit it and arrange for its publication—antedated Edwards' death.</w:t>
      </w:r>
    </w:p>
    <w:p>
      <w:pPr>
        <w:pStyle w:val="BodyText"/>
      </w:pPr>
      <w:r>
        <w:t xml:space="preserve">During the Stockbridge period (1750–57), Edwards began to turn his attention back to the Redemption Discourse. Three of his notebooks from this time establish, to greater and lesser degrees, that he was beginning to think about revising and reworking the lecture-sermons.</w:t>
      </w:r>
      <w:r>
        <w:rPr>
          <w:rStyle w:val="FootnoteReference"/>
        </w:rPr>
        <w:footnoteReference w:id="27"/>
      </w:r>
      <w:r>
        <w:t xml:space="preserve"> He seems to have pursued this enterprise most actively toward the end of the Stockbridge period, especially between 1755 and 1757. Elsewhere I have analyzed the contents of the three notebooks to see how they bear on Edwards' plans to work seriously on the project and have found strong evidence that in the later Stockbridge years he began in his usual fashion to approach the project systematically.</w:t>
      </w:r>
      <w:r>
        <w:rPr>
          <w:rStyle w:val="FootnoteReference"/>
        </w:rPr>
        <w:footnoteReference w:id="28"/>
      </w:r>
      <w:r>
        <w:t xml:space="preserve"> He seems to have thought that his knowledge of Christian history needed to be augmented, so he started to read comprehensively in the history of the early Western church, focusing his attention on the Roman popes. Concurrently, he made notes about important points other authors had made which bore on the Redemption project. Finally, in the most distinctive of the three notebooks, he jotted down thoughts about the form, the content, and the argument of the project concerned with the Work of Redemption, including variant titles and different patterns of organization. The specifics of these notebooks will be introduced later.</w:t>
      </w:r>
      <w:r>
        <w:rPr>
          <w:rStyle w:val="FootnoteReference"/>
        </w:rPr>
        <w:footnoteReference w:id="29"/>
      </w:r>
      <w:r>
        <w:t xml:space="preserve"> For the moment their relevance is that they corroborate the statements Edwards made about the Redemption project in his letter to the trustees of the College of New Jersey.</w:t>
      </w:r>
    </w:p>
    <w:p>
      <w:pPr>
        <w:pStyle w:val="BodyText"/>
      </w:pPr>
      <w:r>
        <w:t xml:space="preserve">With the death of Aaron Burr, Edwards' son-in-law and the college's president, its fragile existence in New Jersey—it had but recently settled at Princeton—was once again threatened.</w:t>
      </w:r>
      <w:r>
        <w:rPr>
          <w:rStyle w:val="FootnoteReference"/>
        </w:rPr>
        <w:footnoteReference w:id="30"/>
      </w:r>
      <w:r>
        <w:t xml:space="preserve"> Edwards had links to the college from its early days. Indeed he seems increasingly to have felt such a kinship to the Middle Colony "New Side" Presbyterians</w:t>
      </w:r>
    </w:p>
    <w:p>
      <w:pPr>
        <w:pStyle w:val="SourcePage"/>
      </w:pPr>
      <w:r>
        <w:t xml:space="preserve">[p. 013]</w:t>
      </w:r>
    </w:p>
    <w:p>
      <w:pPr>
        <w:pStyle w:val="BodyText"/>
      </w:pPr>
      <w:r>
        <w:t xml:space="preserve">that it to some extent superseded his ties to the Connecticut Valley churches and the Awakeners in the Bay area. It is not surprising that the college's trustees turned to him as an obvious candidate for its presidency. In offering a dispassionate analysis of his strengths and shortcomings which stands as a model for candor on the part of presidential candidates, Edwards also reviewed the current projects he thought would necessarily be delayed or abandoned if he accepted the office. In this context he offered much the clearest statement that we have about his plans for the development and completion of the Redemption project, signaling that it was uppermost in his thoughts at that point. "I have had on my mind and heart, (which I long ago began, not with any view to publication,) a great work, which I call a </w:t>
      </w:r>
      <w:r>
        <w:rPr>
          <w:i/>
          <w:iCs/>
        </w:rPr>
        <w:t xml:space="preserve">History of the Work of Redemption</w:t>
      </w:r>
      <w:r>
        <w:t xml:space="preserve">, a body of divinity in an entire new method, being thrown into the form of a history."</w:t>
      </w:r>
      <w:r>
        <w:rPr>
          <w:rStyle w:val="FootnoteReference"/>
        </w:rPr>
        <w:footnoteReference w:id="31"/>
      </w:r>
      <w:r>
        <w:t xml:space="preserve"> So when Edwards moved from Stockbridge to Princeton in January 1758, he was again decisively deflected from the "history" project he considered a development of the Redemption Discourse of 1739. His death within two months (March 22, 1758) prevented him from ever returning to it.</w:t>
      </w:r>
    </w:p>
    <w:p>
      <w:pPr>
        <w:pStyle w:val="Heading3"/>
      </w:pPr>
      <w:bookmarkStart w:name="heading_the_redemption_discourse_and" w:id="11"/>
      <w:r>
        <w:t xml:space="preserve">The Redemption Discourse And The "Miscellanies"</w:t>
      </w:r>
      <w:bookmarkEnd w:id="11"/>
    </w:p>
    <w:p>
      <w:pPr>
        <w:pStyle w:val="BodyText"/>
      </w:pPr>
      <w:r>
        <w:t xml:space="preserve">One significant perspective upon the place of the Redemption Discourse in Edwards' intellectual life can be gained from his "Miscellanies."</w:t>
      </w:r>
      <w:r>
        <w:rPr>
          <w:rStyle w:val="FootnoteReference"/>
        </w:rPr>
        <w:footnoteReference w:id="32"/>
      </w:r>
      <w:r>
        <w:t xml:space="preserve"> To this point these have not been used to interpret the Redemption sermons, although Thomas Schafer's critical work on them has led to confident dating, at least of the periods in which individual entries were copied into the notebooks. It is not surprising that the "Miscellanies" contain traces or foreshadowings of the Redemption Discourse throughout, but their full exploitation in this respect must await their publication in the Yale critical edition. The suggestions that follow are, therefore, provisional and necessarily impressionistic.</w:t>
      </w:r>
    </w:p>
    <w:p>
      <w:pPr>
        <w:pStyle w:val="BodyText"/>
      </w:pPr>
      <w:r>
        <w:t xml:space="preserve">There are at least three different respects in which the "Miscellanies" bear on the present inquiry. First, from the early entries, and continuing throughout the entire series of well over a thousand, the</w:t>
      </w:r>
    </w:p>
    <w:p>
      <w:pPr>
        <w:pStyle w:val="SourcePage"/>
      </w:pPr>
      <w:r>
        <w:t xml:space="preserve">[p. 014]</w:t>
      </w:r>
    </w:p>
    <w:p>
      <w:pPr>
        <w:pStyle w:val="BodyText"/>
      </w:pPr>
      <w:r>
        <w:t xml:space="preserve">theme of redemption as the greatest of God's works appears repeatedly. Second, two extended entries offer quite remarkable evidence that Edwards had reflected thoroughly on the themes that would define the outline of the project as a whole, perhaps as early as two to three years before he began to compose the sermons. Finally, a half-dozen or so entries, contemporaneous with or made shortly after the preaching series in 1739, include explicit references to the Redemption Discourse.</w:t>
      </w:r>
    </w:p>
    <w:p>
      <w:pPr>
        <w:pStyle w:val="BodyText"/>
      </w:pPr>
      <w:r>
        <w:t xml:space="preserve">A very large proportion of the "Miscellanies" explicitly concern redemption. For example, No. 38 (probably summer 1723) is a brief discussion of the "Harmony of God's Attributes in the Work of Redemption." No. 60, titled "Hades" and written not long after, perhaps in the early fall of that year, is a discussion of the process of redemption with regard to both individuals and groups. No. 156, written when Edwards was a tutor at Yale, is devoted to the defeat of Satan and introduces themes that are developed at great length in the Redemption Discourse proper. Discussions introduced under topics as various as "New Earth," "Heaven," "Kingdom of Christ," "Hell" or "Hell's Torments," "Resurrection," "Covenants," and "Lord's Day," among many others, are directly relevant to the project. Many are even more explicit: "End of Creation," "Millennium," "Universal Redemption," "Incarnation," and, above all, "Work of Redemption."</w:t>
      </w:r>
    </w:p>
    <w:p>
      <w:pPr>
        <w:pStyle w:val="BodyText"/>
      </w:pPr>
      <w:r>
        <w:t xml:space="preserve">These themes had been fully explored by Edwards before he preached the public lecture in Boston on July 8, 1731, that, when published, carried the title </w:t>
      </w:r>
      <w:r>
        <w:rPr>
          <w:i/>
          <w:iCs/>
        </w:rPr>
        <w:t xml:space="preserve">God Glorified in the Work of Redemption</w:t>
      </w:r>
      <w:r>
        <w:t xml:space="preserve">, </w:t>
      </w:r>
      <w:r>
        <w:rPr>
          <w:i/>
          <w:iCs/>
        </w:rPr>
        <w:t xml:space="preserve">by the Greatness of Man's Dependence upon Him</w:t>
      </w:r>
      <w:r>
        <w:t xml:space="preserve">, </w:t>
      </w:r>
      <w:r>
        <w:rPr>
          <w:i/>
          <w:iCs/>
        </w:rPr>
        <w:t xml:space="preserve">in the whole of It</w:t>
      </w:r>
      <w:r>
        <w:t xml:space="preserve">. They continue as subjects throughout the "Miscellanies" until the end of his life. Certain formulations gain preference during particular periods in the course of his entries in these notebooks. The "Wisdom of God in the Work of Redemption" became significant in the early 1730s (examples are Nos. 508, 510, 521, 524, 526, 554, 569, 604, 614, 616, 633, 653, 664, and 681). He continued to use this formulation throughout the Northampton years, although less frequently. With No. 802 he began to use the phrase "Progress of Redemption" as an inclusive designation (other examples are 814, 833, 834, 835, 907, and 932). This he emended to "Progress of the Work of Redemption" in the early 1740s (see Nos. 935, 946, 949, 952, and 991). To identify individual essay-entries in this fashion, however, may obscure their interconnection. Edwards weaves themes into and around the redemption motif so that, taken as a whole, the "Miscellanies"</w:t>
      </w:r>
    </w:p>
    <w:p>
      <w:pPr>
        <w:pStyle w:val="SourcePage"/>
      </w:pPr>
      <w:r>
        <w:t xml:space="preserve">[p. 015]</w:t>
      </w:r>
    </w:p>
    <w:p>
      <w:pPr>
        <w:pStyle w:val="BodyText"/>
      </w:pPr>
      <w:r>
        <w:t xml:space="preserve">dramatically confirm what he claims so explicitly, that this was </w:t>
      </w:r>
      <w:r>
        <w:rPr>
          <w:i/>
          <w:iCs/>
        </w:rPr>
        <w:t xml:space="preserve">a</w:t>
      </w:r>
      <w:r>
        <w:t xml:space="preserve">, if not </w:t>
      </w:r>
      <w:r>
        <w:rPr>
          <w:i/>
          <w:iCs/>
        </w:rPr>
        <w:t xml:space="preserve">the</w:t>
      </w:r>
      <w:r>
        <w:t xml:space="preserve">, central focal point of his theological reflection.</w:t>
      </w:r>
    </w:p>
    <w:p>
      <w:pPr>
        <w:pStyle w:val="BodyText"/>
      </w:pPr>
      <w:r>
        <w:t xml:space="preserve">Beyond this, there is clear evidence in two entries that Edwards systematically brought together the basic themes of his sermon series at least two to three years before actually composing it in 1739. No. 702 (probably 1736 or 1737) is titled "Work of Creation. Providence. Redemption." It amounts to a lengthy argument (twenty-one pages in typescript) that the works of creation and providence are subservient to the Work of Redemption. Within this framework Edwards explored many of the theses and themes that concerned him throughout the sermons he preached on the Work of Redemption. In particular, he analyzed Adam as a type of Christ, and the relationship between creation by Christ and re-creation, or the new creation in him. The incarnation is central to this argument, as is the perfection of redemption in the end of the world. In many respects No. 702 is a précis of the argument of the Redemption Discourse.</w:t>
      </w:r>
    </w:p>
    <w:p>
      <w:pPr>
        <w:pStyle w:val="BodyText"/>
      </w:pPr>
      <w:r>
        <w:t xml:space="preserve">This is made all the more evident by No. 710, an equally long entry, which stands as an appendix to No. 702. It explores the implications of viewing the internal transactions of the Trinity as the energizing force behind creation as well as redemption: "The world was created that Christ might obtain a spouse." This leads Edwards to explore the secondary roles of angels and men in these transactions. It also leads him to develop the theme that bulks so large in the sermons, the respects in which the devil and his Antichrist mirror God and his Christ. Edwards' typological analysis is very important to these sections. Taken together, these two miscellanies offer the earliest evidence of his intentions concerning the Redemption Discourse and show how thoroughly he developed his grand plan of the project some time before he actually wrote and preached the sermons.</w:t>
      </w:r>
    </w:p>
    <w:p>
      <w:pPr>
        <w:pStyle w:val="BodyText"/>
      </w:pPr>
      <w:r>
        <w:t xml:space="preserve">Finally, several of the miscellanies give direct evidence that, probably shortly after preaching the sermon series, Edwards gave thought to its extension and specification at certain points. In the manuscript of the sermons, he directed himself to particular miscellanies at three separate places. These three are Nos. 802, 803, and 810, generally dated in mid- to late 1739, or roughly toward the end or at the conclusion of the period in which he delivered the Discourse.</w:t>
      </w:r>
      <w:r>
        <w:rPr>
          <w:rStyle w:val="FootnoteReference"/>
        </w:rPr>
        <w:footnoteReference w:id="33"/>
      </w:r>
    </w:p>
    <w:p>
      <w:pPr>
        <w:pStyle w:val="SourcePage"/>
      </w:pPr>
      <w:r>
        <w:t xml:space="preserve">[p. 016]</w:t>
      </w:r>
    </w:p>
    <w:p>
      <w:pPr>
        <w:pStyle w:val="BodyText"/>
      </w:pPr>
      <w:r>
        <w:t xml:space="preserve">No. 802 is called "Progress of Redemption" and begins with directions: "Add this to Discourse on Isai 51.8. Sermon 18 at the end of the 2 particular under the 4. General Observation." In this miscellany Edwards develops the argument that Christ's spiritual "comings to judgment" as spoken of in Scripture anticipate what will be done "externally" at the day of judgment.</w:t>
      </w:r>
    </w:p>
    <w:p>
      <w:pPr>
        <w:pStyle w:val="BodyText"/>
      </w:pPr>
      <w:r>
        <w:t xml:space="preserve">No. 803 is titled "Progress of Redemption. Christ's Coming to Judgment." Here the instruction is: "Join this to what is said concerning the state of things requiring Christ's coming to judgment at the time he will come in Discourse from Isai. 51.8. Sermon 28. The 3d particular concerning the last Apostasy." Its theme is that the greater light available to the wicked of the world at that point will make their apostasy the more heinous in God's sight. Therefore the destruction will be all the more terrible.</w:t>
      </w:r>
    </w:p>
    <w:p>
      <w:pPr>
        <w:pStyle w:val="BodyText"/>
      </w:pPr>
      <w:r>
        <w:t xml:space="preserve">Finally, No. 810 is an addition to No. 359, which concerned the Scriptures in relation to redemption. No. 810 especially reflected on Job and why such a book was inserted in the canon. It seems less fully and directly linked to the Redemption Discourse than Nos. 802 and 803, but it does stand as further evidence, if such be needed, of Edwards' preoccupation with this theme at the end of the 1730s.</w:t>
      </w:r>
    </w:p>
    <w:p>
      <w:pPr>
        <w:pStyle w:val="BodyText"/>
      </w:pPr>
      <w:r>
        <w:t xml:space="preserve">Two other brief adjacent essays, Nos. 806 and 807, directly relate to the Redemption Discourse. No. 807 is titled "Work of Redemption the Greatest of God's Works." It concerns the duration of the new creation (about six thousand years plus an additional thousand years in the millennium) in comparison with the old (six days plus a sabbath day). In this brief note Edwards explicitly refers to "Discourse on Isaiah 51:8 1 Inference at the close of Sermon 29." No. 806 is entitled "New Heavens and New Earth" and does not explicitly refer to the Redemption Discourse, although it directly concerns its overall theme.</w:t>
      </w:r>
    </w:p>
    <w:p>
      <w:pPr>
        <w:pStyle w:val="BodyText"/>
      </w:pPr>
      <w:r>
        <w:t xml:space="preserve">From this brief consideration of the "Miscellanies," it should be clear that any future interpretation of the sermon series that formed the Redemption Discourse must include study of the large number of relevant entries in that remarkable series of notebooks. As much as anything else these essays, which Edwards compiled throughout his life, demonstrate how prolonged and deep was his commitment to develop a theology based upon the theme of the redemption of the world as a consequence of the internal dynamics of the Trinity—that is, the interrelationships of Father, Son, and Spirit.</w:t>
      </w:r>
      <w:r>
        <w:rPr>
          <w:rStyle w:val="FootnoteReference"/>
        </w:rPr>
        <w:footnoteReference w:id="34"/>
      </w:r>
      <w:r>
        <w:t xml:space="preserve"> By the same</w:t>
      </w:r>
    </w:p>
    <w:p>
      <w:pPr>
        <w:pStyle w:val="SourcePage"/>
      </w:pPr>
      <w:r>
        <w:t xml:space="preserve">[p. 017]</w:t>
      </w:r>
    </w:p>
    <w:p>
      <w:pPr>
        <w:pStyle w:val="BodyText"/>
      </w:pPr>
      <w:r>
        <w:t xml:space="preserve">token the Redemption Discourse stands as a systematic elaboration of a grand theme that appears at a remarkable number of places and times and under many different headings in the storehouse of his essays.</w:t>
      </w:r>
    </w:p>
    <w:p>
      <w:pPr>
        <w:pStyle w:val="Heading3"/>
      </w:pPr>
      <w:bookmarkStart w:name="heading_the_fate_of_the_sermon_manus" w:id="12"/>
      <w:r>
        <w:t xml:space="preserve">The Fate Of The Sermon Manuscripts</w:t>
      </w:r>
      <w:bookmarkEnd w:id="12"/>
    </w:p>
    <w:p>
      <w:pPr>
        <w:pStyle w:val="BodyText"/>
      </w:pPr>
      <w:r>
        <w:t xml:space="preserve">In moving to Princeton without his family (Sarah Edwards was to remain in Stockbridge with the children for a transitional period), Jonathan Edwards apparently entrusted the bulk of his manuscripts to Samuel Hopkins, protégé and then near neighbor in Great Barrington, Massachusetts. Writing on January 19, 1758, to Joseph Bellamy, another protégé and colleague then living in Bethlem, Connecticut, Hopkins reported that the preceding day Edwards had departed on the journey from Stockbridge to Princeton.</w:t>
      </w:r>
      <w:r>
        <w:rPr>
          <w:rStyle w:val="FootnoteReference"/>
        </w:rPr>
        <w:footnoteReference w:id="35"/>
      </w:r>
      <w:r>
        <w:t xml:space="preserve"> Most significantly, he reported that he had left "long papers" and manuscript sermons in his possession, permitting him to go through them and make use of them while they were in his care. In Edwards' Stockbridge years, Hopkins and Bellamy had frequent exchanges with him about their respective writings in progress. Thus many of Edwards' manuscripts were undoubtedly well known to Hopkins, and he would have been a trusted and obviously sympathetic custodian for them until in due course they could be moved to New Jersey. There is no reason to suppose that the sermon manuscripts of the Redemption Discourse were separated from the other manuscripts—for instance, making the journey to Princeton with their author. It is a conjecture, of course, but a reasonable one, that they did not remain with Sarah under these circumstances; presumably the works about which Edwards was most concerned were left with Hopkins.</w:t>
      </w:r>
    </w:p>
    <w:p>
      <w:pPr>
        <w:pStyle w:val="BodyText"/>
      </w:pPr>
      <w:r>
        <w:t xml:space="preserve">Edwards died in a matter of weeks, on March 22, 1758. While technically Sarah was executor of his literary remains, and was succeeded in this task at her death by the eldest son, Timothy, the actual possession of (and responsibility for) the manuscripts seems to have rested in other hands, primarily those of Samuel Hopkins.</w:t>
      </w:r>
      <w:r>
        <w:rPr>
          <w:rStyle w:val="FootnoteReference"/>
        </w:rPr>
        <w:footnoteReference w:id="36"/>
      </w:r>
      <w:r>
        <w:t xml:space="preserve"> His role</w:t>
      </w:r>
    </w:p>
    <w:p>
      <w:pPr>
        <w:pStyle w:val="SourcePage"/>
      </w:pPr>
      <w:r>
        <w:t xml:space="preserve">[p. 018]</w:t>
      </w:r>
    </w:p>
    <w:p>
      <w:pPr>
        <w:pStyle w:val="BodyText"/>
      </w:pPr>
      <w:r>
        <w:t xml:space="preserve">as conservator lasted for the better part of a decade. In autobiographical reflections written years later and published in 1805, Hopkins reported his memory of the arrangements made for the manuscripts and papers during the years immediately following Edwards' death. "Upon the death of Mr. Edwards, Mrs. Edwards, in consequence of verbal directions given to her by Mr. Edwards in his life time, put all his manuscripts and his library into my hands, and care: His manuscripts to be disposed of by me, and two other ministers."</w:t>
      </w:r>
      <w:r>
        <w:rPr>
          <w:rStyle w:val="FootnoteReference"/>
        </w:rPr>
        <w:footnoteReference w:id="37"/>
      </w:r>
      <w:r>
        <w:t xml:space="preserve"> Joseph Bellamy was certainly one of the two other literary executors in this period; Gideon Hawley, another younger associate, may have been the third. There is significant correspondence between Hopkins and Bellamy in the ensuing years about these shared responsibilities.</w:t>
      </w:r>
      <w:r>
        <w:rPr>
          <w:rStyle w:val="FootnoteReference"/>
        </w:rPr>
        <w:footnoteReference w:id="38"/>
      </w:r>
      <w:r>
        <w:t xml:space="preserve"> Inferences drawn from these letters, as well as Hopkins' own assertions, make it evident that of the three he was the most thoroughly involved with the manuscripts.</w:t>
      </w:r>
    </w:p>
    <w:p>
      <w:pPr>
        <w:pStyle w:val="BlockQuote"/>
      </w:pPr>
      <w:r>
        <w:t xml:space="preserve">As these manuscripts were in my hands a number of years, I paid my chief attention to them, until I had read them all, which consisted of a great number of volumes, some of them large, besides sermons, of which sermons I did not read the whole. In doing this I had much pleasure and profit. My mind became more engaged in study, rising, great part of my time, at four o'clock in the morning to pursue my study, in which I took great pleasure.</w:t>
      </w:r>
      <w:r>
        <w:rPr>
          <w:rStyle w:val="FootnoteReference"/>
        </w:rPr>
        <w:footnoteReference w:id="39"/>
      </w:r>
    </w:p>
    <w:p>
      <w:pPr>
        <w:pStyle w:val="BodyText"/>
      </w:pPr>
      <w:r>
        <w:t xml:space="preserve">Others outside this circle, including John Erskine in Scotland, expressed an interest in Edwards' "literary remains." He wrote to Bellamy on June 8, 1759, with the thought that subscriptions could be obtained, presumably in Scotland, for two octavo volumes of "practical works."</w:t>
      </w:r>
      <w:r>
        <w:rPr>
          <w:rStyle w:val="FootnoteReference"/>
        </w:rPr>
        <w:footnoteReference w:id="40"/>
      </w:r>
      <w:r>
        <w:t xml:space="preserve"> He also requested a description or listing of the manuscripts, presumably with a view to selecting additional items and proposing them for publication. A Dissenting minister in Ipswich, England, Mr. Gordon, also expressed interest in abridging </w:t>
      </w:r>
      <w:r>
        <w:rPr>
          <w:i/>
          <w:iCs/>
        </w:rPr>
        <w:t xml:space="preserve">Religious Affections</w:t>
      </w:r>
      <w:r>
        <w:t xml:space="preserve"> for the English market. Indeed, from a letter written a year later, it is apparent that he wanted to reissue Edwards' published writings, hoping to find a market for them through the London book-seller</w:t>
      </w:r>
    </w:p>
    <w:p>
      <w:pPr>
        <w:pStyle w:val="SourcePage"/>
      </w:pPr>
      <w:r>
        <w:t xml:space="preserve">[p. 019]</w:t>
      </w:r>
    </w:p>
    <w:p>
      <w:pPr>
        <w:pStyle w:val="BodyText"/>
      </w:pPr>
      <w:r>
        <w:t xml:space="preserve">Field.</w:t>
      </w:r>
      <w:r>
        <w:rPr>
          <w:rStyle w:val="FootnoteReference"/>
        </w:rPr>
        <w:footnoteReference w:id="41"/>
      </w:r>
      <w:r>
        <w:t xml:space="preserve"> Thus during the first years after Edwards' death, while legal title to the manuscripts remained with the family, actual work in and with them, not excluding developing plans for their publication, was very much in the hands of others. Only when Jonathan Edwards, Jr., had graduated from the College of New Jersey and was judged suitable, in part through residing in both the Hopkins and Bellamy households and pursuing theological studies under them, did the responsibility for his father's literary materials pass into his hands.</w:t>
      </w:r>
      <w:r>
        <w:rPr>
          <w:rStyle w:val="FootnoteReference"/>
        </w:rPr>
        <w:footnoteReference w:id="42"/>
      </w:r>
      <w:r>
        <w:t xml:space="preserve"> This development restored possession of and control over the corpus of manuscripts to the family, where it remained for more than a century.</w:t>
      </w:r>
      <w:r>
        <w:rPr>
          <w:rStyle w:val="FootnoteReference"/>
        </w:rPr>
        <w:footnoteReference w:id="43"/>
      </w:r>
    </w:p>
    <w:p>
      <w:pPr>
        <w:pStyle w:val="BodyText"/>
      </w:pPr>
      <w:r>
        <w:t xml:space="preserve">It is evident that Hopkins invested great energy in working with the manuscripts. By his own account, noted above, he worked through them with great love and benefit to himself. His access to them was made thoroughly secure as a consequence of Sarah Edwards' request that he write a memoir of her husband:</w:t>
      </w:r>
    </w:p>
    <w:p>
      <w:pPr>
        <w:pStyle w:val="BlockQuote"/>
      </w:pPr>
      <w:r>
        <w:t xml:space="preserve">And Mrs. Edwards solicited me to write the life of Mr. Edwards, to be published, with a number of sermons, to be selected from his manuscripts. I considered myself very unequal to writing his life; but as by having the possession of his manuscripts, I was under better advantage to do it, than others, I engaged to do the best I could; and if it should be approved of by a number of friendly, judicious ministers, I would consent to have it published, on condition that my name should not be put to it. Accordingly it was published with a number of posthumous sermons, most of which I transcribed myself from his manuscripts.</w:t>
      </w:r>
      <w:r>
        <w:rPr>
          <w:rStyle w:val="FootnoteReference"/>
        </w:rPr>
        <w:footnoteReference w:id="44"/>
      </w:r>
    </w:p>
    <w:p>
      <w:pPr>
        <w:pStyle w:val="SourcePage"/>
      </w:pPr>
      <w:r>
        <w:t xml:space="preserve">[p. 020]</w:t>
      </w:r>
    </w:p>
    <w:p>
      <w:pPr>
        <w:pStyle w:val="BodyText"/>
      </w:pPr>
      <w:r>
        <w:t xml:space="preserve">Although Sarah died within six months of her husband, Hopkins respected her request and wrote the first substantial memoir of Edwards. His work has been basic to biographical study of Edwards ever since. But before </w:t>
      </w:r>
      <w:r>
        <w:rPr>
          <w:i/>
          <w:iCs/>
        </w:rPr>
        <w:t xml:space="preserve">The Life and Character of the Late Reverend Mr. Jonathan Edwards</w:t>
      </w:r>
      <w:r>
        <w:t xml:space="preserve"> was published in 1765, including </w:t>
      </w:r>
      <w:r>
        <w:rPr>
          <w:i/>
          <w:iCs/>
        </w:rPr>
        <w:t xml:space="preserve">Sermons on Various Important Subjects</w:t>
      </w:r>
      <w:r>
        <w:t xml:space="preserve">,</w:t>
      </w:r>
      <w:r>
        <w:rPr>
          <w:rStyle w:val="FootnoteReference"/>
        </w:rPr>
        <w:footnoteReference w:id="45"/>
      </w:r>
      <w:r>
        <w:t xml:space="preserve"> Hopkins was more than a little frustrated by erstwhile collaborators. To Joseph Bellamy he wrote with apparent testiness on January 4, 1764: "I should be glad you would transcribe some of the sermons you mention without any </w:t>
      </w:r>
      <w:r>
        <w:rPr>
          <w:i/>
          <w:iCs/>
        </w:rPr>
        <w:t xml:space="preserve">ifs or ands</w:t>
      </w:r>
      <w:r>
        <w:t xml:space="preserve"> [italics original]. I and my brother have transcribed 10 sermons, which I hope to send to Boston [to the publisher Kneeland] soon, but these with the life &amp; the 6 Mr. Searl has transcribed, will not be enough to make one Vol."</w:t>
      </w:r>
      <w:r>
        <w:rPr>
          <w:rStyle w:val="FootnoteReference"/>
        </w:rPr>
        <w:footnoteReference w:id="46"/>
      </w:r>
    </w:p>
    <w:p>
      <w:pPr>
        <w:pStyle w:val="BodyText"/>
      </w:pPr>
      <w:r>
        <w:t xml:space="preserve">Apparently Hopkins and Bellamy also collaborated in issuing </w:t>
      </w:r>
      <w:r>
        <w:rPr>
          <w:i/>
          <w:iCs/>
        </w:rPr>
        <w:t xml:space="preserve">Two Dissertations</w:t>
      </w:r>
      <w:r>
        <w:rPr>
          <w:rStyle w:val="FootnoteReference"/>
        </w:rPr>
        <w:footnoteReference w:id="47"/>
      </w:r>
      <w:r>
        <w:t xml:space="preserve"> in the same year. The same letter requests Bellamy to "send me that on Virtue the first safe opportunity," because he is planning to go to Boston to prosecute the proposal.</w:t>
      </w:r>
      <w:r>
        <w:rPr>
          <w:rStyle w:val="FootnoteReference"/>
        </w:rPr>
        <w:footnoteReference w:id="48"/>
      </w:r>
      <w:r>
        <w:t xml:space="preserve"> Hopkins' letter also reports having finished transcribing the "Last End."</w:t>
      </w:r>
      <w:r>
        <w:rPr>
          <w:rStyle w:val="FootnoteReference"/>
        </w:rPr>
        <w:footnoteReference w:id="49"/>
      </w:r>
      <w:r>
        <w:t xml:space="preserve"> From this we can infer that it was Bellamy's transcription of "The Nature of True Virtue" that he asked for. In these efforts, Hopkins discharged his editorial labors in a conservative fashion, showing respect for the manuscript text and seeking to preserve it from excessive editorial intervention in a fashion less often followed by later editors.</w:t>
      </w:r>
    </w:p>
    <w:p>
      <w:pPr>
        <w:pStyle w:val="Heading3"/>
      </w:pPr>
      <w:bookmarkStart w:name="heading_the_publication_of_the_redem" w:id="13"/>
      <w:r>
        <w:t xml:space="preserve">The Publication Of The Redemption Discourse</w:t>
      </w:r>
      <w:bookmarkEnd w:id="13"/>
    </w:p>
    <w:p>
      <w:pPr>
        <w:pStyle w:val="BodyText"/>
      </w:pPr>
      <w:r>
        <w:t xml:space="preserve">At some point during this period, possibly during the winter of 1765 and the spring of 1766, Jonathan Edwards, Jr., took physical possession of the manuscripts. He also began to function as literary executor of his father's papers. Certainly by March of 1767, when he was a tutor at Princeton, Edwards, Jr., had replaced Hopkins (and Bellamy, and perhaps Hawley) as the agent responsible for them. At this point Bellamy, and probably Hopkins, too, effectively passed out of the picture. In the fragmentary materials which bear on the location and status of the Edwards materials in this initial period, no evidence has been found to suggest that serious and sustained attention</w:t>
      </w:r>
    </w:p>
    <w:p>
      <w:pPr>
        <w:pStyle w:val="SourcePage"/>
      </w:pPr>
      <w:r>
        <w:t xml:space="preserve">[p. 021]</w:t>
      </w:r>
    </w:p>
    <w:p>
      <w:pPr>
        <w:pStyle w:val="BodyText"/>
      </w:pPr>
      <w:r>
        <w:t xml:space="preserve">was ever given to the question of whether the Redemption Discourse should be transcribed and published. It is clear that the response to the proposals for publishing Edwards' works had been disappointing, at least on the western side of the Atlantic. Perhaps because of the lack of interest in the Colonies, Edwards, Jr., seems to have sought to capitalize on the rather livelier interest in his father's library remains in Scotland especially, but to some degree also in England. We have noted John Erskine's correspondence with Edwards (which Edwards valued so highly, particularly during the Stockbridge years when he was so physically isolated and Erskine sent him current books) as well as with Bellamy. Although we do not have direct evidence, it is most likely that Erskine now turned to the son, recently become literary executor, and urged upon him his own interest in seeing the Redemption Discourse published. In his "Preface" published in the first Edinburgh edition</w:t>
      </w:r>
      <w:r>
        <w:rPr>
          <w:rStyle w:val="FootnoteReference"/>
        </w:rPr>
        <w:footnoteReference w:id="50"/>
      </w:r>
      <w:r>
        <w:t xml:space="preserve"> and dated at New Haven on February 25, 1773, Jonathan Edwards, Jr., referred directly to Erskine as removing the obstacle presented by "the difficulty of getting any considerable work printed in this infant country hitherto." According to Edwards, Jr., Erskine "engaged a bookseller to undertake the work, and also signified his desire that these following discourses in particular might be made public."</w:t>
      </w:r>
    </w:p>
    <w:p>
      <w:pPr>
        <w:pStyle w:val="BodyText"/>
      </w:pPr>
      <w:r>
        <w:t xml:space="preserve">The question of who transcribed the manuscripts that were published by John Erskine in Edinburgh in 1774 as </w:t>
      </w:r>
      <w:r>
        <w:rPr>
          <w:i/>
          <w:iCs/>
        </w:rPr>
        <w:t xml:space="preserve">A History of the Work of Redemption</w:t>
      </w:r>
      <w:r>
        <w:t xml:space="preserve"> now becomes extremely important. If they were transcribed by Jonathan Edwards, Jr., there is no reason to suppose that Erskine, publisher of the first printed version and its avowed editor, ever saw the originals. Every subsequent edition would then have been based upon a printed version initially edited from a transcript, and not from the manuscripts themselves, with what loss of nuance and authenticity may be imagined.</w:t>
      </w:r>
    </w:p>
    <w:p>
      <w:pPr>
        <w:pStyle w:val="BodyText"/>
      </w:pPr>
      <w:r>
        <w:t xml:space="preserve">First we must consider Erskine's possible role in the transcription. If he was responsible for encouraging and facilitating the publication of the sermon series on the Work of Redemption, did he also have a hand in transcribing them? From the fact that he unequivocally claims to have edited the sermons into the form of a treatise, it is possible to infer that he arranged to transcribe them. His advertisement permits this reading: "The manuscript being intrusted to my</w:t>
      </w:r>
    </w:p>
    <w:p>
      <w:pPr>
        <w:pStyle w:val="SourcePage"/>
      </w:pPr>
      <w:r>
        <w:t xml:space="preserve">[p. 022]</w:t>
      </w:r>
    </w:p>
    <w:p>
      <w:pPr>
        <w:pStyle w:val="BodyText"/>
      </w:pPr>
      <w:r>
        <w:t xml:space="preserve">care, I have not presumed to make any change in the sentiments or composition. I have, however, taken the liberty to reduce it from the form of sermons, which it originally bore, to that of a continued treatise; and I have so altered and diversified the marks of the several divisions and subdivisions, that each class of heads might be easily distinguished."</w:t>
      </w:r>
      <w:r>
        <w:rPr>
          <w:rStyle w:val="FootnoteReference"/>
        </w:rPr>
        <w:footnoteReference w:id="51"/>
      </w:r>
      <w:r>
        <w:t xml:space="preserve"> Dated April 29, 1774, some fourteen months after Jonathan Edwards, Jr.'s, preface, this advertisement might suggest that the transcription (as well as the editing) of the Redemption Discourse was accomplished in Scotland. But circumstantial evidence casts doubt upon this interpretation.</w:t>
      </w:r>
    </w:p>
    <w:p>
      <w:pPr>
        <w:pStyle w:val="BodyText"/>
      </w:pPr>
      <w:r>
        <w:t xml:space="preserve">First, Jonathan Edwards, Jr., himself published a set of his father's sermons at the end of the decade. In the preface to the book </w:t>
      </w:r>
      <w:r>
        <w:rPr>
          <w:i/>
          <w:iCs/>
        </w:rPr>
        <w:t xml:space="preserve">Sermons on the Following Subjects</w:t>
      </w:r>
      <w:r>
        <w:t xml:space="preserve">, published at Hartford in 1780, he offered the following statement: "As to the sermons themselves, they were not transcribed with any view to a publication in this country. In the year 1773, I was desired by a gentleman in Scotland, to transcribe a number of the author's sermons on some of the most plain, practical and experimental subjects, that they might be printed there."</w:t>
      </w:r>
      <w:r>
        <w:rPr>
          <w:rStyle w:val="FootnoteReference"/>
        </w:rPr>
        <w:footnoteReference w:id="52"/>
      </w:r>
      <w:r>
        <w:t xml:space="preserve"> (This is dated December 21, 1779.) It is highly unlikely that different understandings and approaches to transcription, editing, and publication would govern these two ventures (the publication of </w:t>
      </w:r>
      <w:r>
        <w:rPr>
          <w:i/>
          <w:iCs/>
        </w:rPr>
        <w:t xml:space="preserve">Work of Redemption</w:t>
      </w:r>
      <w:r>
        <w:t xml:space="preserve"> and </w:t>
      </w:r>
      <w:r>
        <w:rPr>
          <w:i/>
          <w:iCs/>
        </w:rPr>
        <w:t xml:space="preserve">Sermons</w:t>
      </w:r>
      <w:r>
        <w:t xml:space="preserve">) so closely related in kind, context, and time.</w:t>
      </w:r>
    </w:p>
    <w:p>
      <w:pPr>
        <w:pStyle w:val="BodyText"/>
      </w:pPr>
      <w:r>
        <w:t xml:space="preserve">Second, Edwards, Jr.'s, reasons for selecting these particular sermons closely echo Erskine's grounds for recommending </w:t>
      </w:r>
      <w:r>
        <w:rPr>
          <w:i/>
          <w:iCs/>
        </w:rPr>
        <w:t xml:space="preserve">A History of the Work of Redemption</w:t>
      </w:r>
      <w:r>
        <w:t xml:space="preserve"> to its potential readers: "Though the acute philosopher and deep divine appears in them, yet they are in the general better calculated for the instruction and improvement of ordinary Christians, than those of President Edwards's writings, where the abstruse nature of the subject, or the subtle objections of opposers of the truth, led him to more abstract and metaphysical reasonings."</w:t>
      </w:r>
      <w:r>
        <w:rPr>
          <w:rStyle w:val="FootnoteReference"/>
        </w:rPr>
        <w:footnoteReference w:id="53"/>
      </w:r>
      <w:r>
        <w:t xml:space="preserve"> Thus the parallel characterizations with regard to the </w:t>
      </w:r>
      <w:r>
        <w:rPr>
          <w:i/>
          <w:iCs/>
        </w:rPr>
        <w:t xml:space="preserve">Sermons</w:t>
      </w:r>
      <w:r>
        <w:t xml:space="preserve"> Edwards, Jr., published in 1780 and the </w:t>
      </w:r>
      <w:r>
        <w:rPr>
          <w:i/>
          <w:iCs/>
        </w:rPr>
        <w:t xml:space="preserve">Work of Redemption</w:t>
      </w:r>
      <w:r>
        <w:t xml:space="preserve"> Erskine published in 1774 suggest they were related projects produced by similar methods.</w:t>
      </w:r>
    </w:p>
    <w:p>
      <w:pPr>
        <w:pStyle w:val="BodyText"/>
      </w:pPr>
      <w:r>
        <w:t xml:space="preserve">Comparable considerations apparently also led Erskine to publish Edwards' </w:t>
      </w:r>
      <w:r>
        <w:rPr>
          <w:i/>
          <w:iCs/>
        </w:rPr>
        <w:t xml:space="preserve">Twenty Sermons</w:t>
      </w:r>
      <w:r>
        <w:t xml:space="preserve"> in Edinburgh in 1789, and a selection of his</w:t>
      </w:r>
    </w:p>
    <w:p>
      <w:pPr>
        <w:pStyle w:val="SourcePage"/>
      </w:pPr>
      <w:r>
        <w:t xml:space="preserve">[p. 023]</w:t>
      </w:r>
    </w:p>
    <w:p>
      <w:pPr>
        <w:pStyle w:val="BodyText"/>
      </w:pPr>
      <w:r>
        <w:rPr>
          <w:i/>
          <w:iCs/>
        </w:rPr>
        <w:t xml:space="preserve">Miscellaneous Observations</w:t>
      </w:r>
      <w:r>
        <w:t xml:space="preserve">, also in Edinburgh, in 1793.</w:t>
      </w:r>
      <w:r>
        <w:rPr>
          <w:rStyle w:val="FootnoteReference"/>
        </w:rPr>
        <w:footnoteReference w:id="54"/>
      </w:r>
      <w:r>
        <w:t xml:space="preserve"> The language of the prefaces to these works suggests that the same method of collaboration was used: Erskine took the initiative in soliciting Jonathan Edwards, Jr., to publish materials, but it was the latter who transcribed them and forwarded the transcriptions to Erskine.</w:t>
      </w:r>
    </w:p>
    <w:p>
      <w:pPr>
        <w:pStyle w:val="BodyText"/>
      </w:pPr>
      <w:r>
        <w:t xml:space="preserve">Thus it is likely that this method was also used for the manuscript published as </w:t>
      </w:r>
      <w:r>
        <w:rPr>
          <w:i/>
          <w:iCs/>
        </w:rPr>
        <w:t xml:space="preserve">A History of the Work of Redemption</w:t>
      </w:r>
      <w:r>
        <w:t xml:space="preserve">. We can, then, reasonably surmise that while Erskine clearly exercised considerable initiative in </w:t>
      </w:r>
      <w:r>
        <w:rPr>
          <w:i/>
          <w:iCs/>
        </w:rPr>
        <w:t xml:space="preserve">editing</w:t>
      </w:r>
      <w:r>
        <w:t xml:space="preserve"> the Redemption sermon materials into treatise form, it is almost certain that Jonathan Edwards, Jr., </w:t>
      </w:r>
      <w:r>
        <w:rPr>
          <w:i/>
          <w:iCs/>
        </w:rPr>
        <w:t xml:space="preserve">transcribed</w:t>
      </w:r>
      <w:r>
        <w:t xml:space="preserve"> the booklets, providing the manuscript which Erskine used in preparing copy for the publisher.</w:t>
      </w:r>
    </w:p>
    <w:p>
      <w:pPr>
        <w:pStyle w:val="BodyText"/>
      </w:pPr>
      <w:r>
        <w:t xml:space="preserve">This interpretation of the evidence is corroborated by charges leveled at Jonathan Edwards, Jr., some years later, when it came his turn to be separated from the church he served as pastor.</w:t>
      </w:r>
      <w:r>
        <w:rPr>
          <w:rStyle w:val="FootnoteReference"/>
        </w:rPr>
        <w:footnoteReference w:id="55"/>
      </w:r>
      <w:r>
        <w:t xml:space="preserve"> Roger Sherman, Connecticut judge, member of the Continental Congress, and signer of the Declaration of Independence and the Constitution, was a prominent (and dominant) figure in the White Haven church served by Edwards, Jr., although he was not close to its everyday life because of his frequent and prolonged absences from New Haven. When, in 1790, the proceedings which led to Edwards, Jr.'s, departure were under way between the pastor and his church, Sherman inquired of other members about the grounds for the dispute. David Austin, who was then emerging into prominence, offered the observation that Edwards, Jr., had devoted inordinate time to "business" affairs in his study: "has he not been imployed a great proportion of his time there in business of a pecuniary nature? has he not imployed himself in transcribing a volume of his father's sermons &amp; printing them at Hartford? In transcribing the History of Redemption &amp; preparing a copy to be printed in Scotland?" Sherman's response took the form of defending the appropriateness of these activities on the part of Jonathan Edwards, Jr. It did not challenge the essential correctness of Austin's description, nor did it question the accuracy of the assertion about Edwards, Jr.'s, role in transcribing the Redemption Discourse</w:t>
      </w:r>
    </w:p>
    <w:p>
      <w:pPr>
        <w:pStyle w:val="SourcePage"/>
      </w:pPr>
      <w:r>
        <w:t xml:space="preserve">[p. 024]</w:t>
      </w:r>
    </w:p>
    <w:p>
      <w:pPr>
        <w:pStyle w:val="BodyText"/>
      </w:pPr>
      <w:r>
        <w:t xml:space="preserve">course booklets.</w:t>
      </w:r>
      <w:r>
        <w:rPr>
          <w:rStyle w:val="FootnoteReference"/>
        </w:rPr>
        <w:footnoteReference w:id="56"/>
      </w:r>
      <w:r>
        <w:t xml:space="preserve"> This suggests that Edwards, Jr.'s, work as transcriber of his father's manuscripts was common knowledge among the son's associates.</w:t>
      </w:r>
    </w:p>
    <w:p>
      <w:pPr>
        <w:pStyle w:val="BodyText"/>
      </w:pPr>
      <w:r>
        <w:t xml:space="preserve">This reconstruction of how the Redemption Discourse was transcribed and readied for publication has recently been confirmed by the discovery of evidence in Jonathan Edwards, Jr.'s, hand. In a letter dated April 28, 1792, Isaiah Thomas, who reprinted the Erskine edition of </w:t>
      </w:r>
      <w:r>
        <w:rPr>
          <w:i/>
          <w:iCs/>
        </w:rPr>
        <w:t xml:space="preserve">A History of the Work of Redemption</w:t>
      </w:r>
      <w:r>
        <w:t xml:space="preserve"> at Worcester (1792), wrote to Edwards, Jr., expressing surprise that the son might have any legal claim to it. In drafting a rather irritated reply on the same sheet, the son presented the basis for his claim in the following language: "I was at the pains of transcribing and publishing that volume at a time when the laws of our country secured nothing to authors or proprietors of manuscripts." In his response Thomas rejected Edwards, Jr.'s, claim. Thus the son's role in transcribing the Redemption sermon series in New Haven during the early 1770s is clear. There is, further, a strong presumption for thinking that the original manuscript booklets never crossed the Atlantic and that their editor and publisher, John Erskine, worked solely from the son's transcription.</w:t>
      </w:r>
      <w:r>
        <w:rPr>
          <w:rStyle w:val="FootnoteReference"/>
        </w:rPr>
        <w:footnoteReference w:id="57"/>
      </w:r>
    </w:p>
    <w:p>
      <w:pPr>
        <w:pStyle w:val="BodyText"/>
      </w:pPr>
      <w:r>
        <w:t xml:space="preserve">In general the son was respectful of the integrity of his father's manuscripts, as Hopkins had been. Occasionally he undertook to rework some of Edwards' prose. This intervention was especially pronounced in the case of his transcriptions of some "Miscellaneous Observations." At a very few points his handwriting may also be identified in the Redemption booklets themselves.</w:t>
      </w:r>
      <w:r>
        <w:rPr>
          <w:rStyle w:val="FootnoteReference"/>
        </w:rPr>
        <w:footnoteReference w:id="58"/>
      </w:r>
      <w:r>
        <w:t xml:space="preserve"> It seems likely that Edwards, Jr., did not have a collaborator in the transcription of this series of sermons, although it is remotely conceivable that he made use of earlier drafts by Hopkins—and possibly others. The difficulty of Edwards' hand, the absence of a ready market for additional published materials by him, and the sheer length of the manuscripts, however, all make such collaboration or dependence improbable.</w:t>
      </w:r>
    </w:p>
    <w:p>
      <w:pPr>
        <w:pStyle w:val="SourcePage"/>
      </w:pPr>
      <w:r>
        <w:t xml:space="preserve">[p. 025]</w:t>
      </w:r>
    </w:p>
    <w:p>
      <w:pPr>
        <w:pStyle w:val="BodyText"/>
      </w:pPr>
      <w:r>
        <w:t xml:space="preserve">We have already noted that John Erskine's advertisement to his edition, dated Edinburgh, April 29, 1774, reports that the younger Edwards entrusted the manuscripts to him for editing. We return now to Erskine's treatment of the materials he was to publish as </w:t>
      </w:r>
      <w:r>
        <w:rPr>
          <w:i/>
          <w:iCs/>
        </w:rPr>
        <w:t xml:space="preserve">A History of the Work of Redemption</w:t>
      </w:r>
      <w:r>
        <w:t xml:space="preserve">. He clearly exercised the prerogative of editor in reducing the sermons to a coherent treatise. In this he followed the logical structure Edwards gave to the whole, dividing the Work of Redemption into three great periods, and further subdividing each of these either into relevant subperiods or according to analytic principles. (He used the analytic method especially with the middle period, comprising Jesus' life with its purchase of redemption, and in the projection of events that would complete the last period beyond Edwards' own time.) Erskine suppressed the marks of the preaching occasions, for example, the repetition of text and doctrine or recapitulation of the preceding sermon(s), which Edwards often provided. In doing so, he did readers a disservice, for these introductory sections were often preludes to Edwards' further development of his argument and had relevance to his thesis as well as some literary interest. On the other hand, Erskine did not delete such substantial sermon-derived sections as the improvement at the end of the first period (which comprised Sermon Thirteen) or the application at the end of the second period (in Sermon Seventeen)—and certainly not the application of the whole (which begins in Sermon Twenty-nine and takes up the whole of the concluding, and thirtieth, sermon).</w:t>
      </w:r>
    </w:p>
    <w:p>
      <w:pPr>
        <w:pStyle w:val="BodyText"/>
      </w:pPr>
      <w:r>
        <w:t xml:space="preserve">At a less general level, presumably it was Jonathan Edwards, Jr., who exercised the prerogative of completing certain sections that his father had left as little more than outlines of his argument. Often this occurred when he was compiling scriptural warrants for a position or when he was developing an interpretation of a particular verse. Indeed, if we assume that the original manuscripts (Edwards' sermon booklets) remained with his son in New Haven, Erskine may never have known how relatively unfinished and incomplete some sections of the Redemption Discourse actually were. </w:t>
      </w:r>
      <w:r>
        <w:rPr>
          <w:i/>
          <w:iCs/>
        </w:rPr>
        <w:t xml:space="preserve">A History of the Work of Redemption. Containing</w:t>
      </w:r>
      <w:r>
        <w:t xml:space="preserve">, </w:t>
      </w:r>
      <w:r>
        <w:rPr>
          <w:i/>
          <w:iCs/>
        </w:rPr>
        <w:t xml:space="preserve">The Outlines of a Body of Divinity</w:t>
      </w:r>
      <w:r>
        <w:t xml:space="preserve">, </w:t>
      </w:r>
      <w:r>
        <w:rPr>
          <w:i/>
          <w:iCs/>
        </w:rPr>
        <w:t xml:space="preserve">In a Method entirely new</w:t>
      </w:r>
      <w:r>
        <w:t xml:space="preserve"> was published in Edinburgh for W. Gray in 1774. There are no grounds to suppose that any subsequent version rested on additional study of the original manuscripts, or for that matter, on familiarity with Jonathan Edwards, Jr.'s, transcription of them.</w:t>
      </w:r>
    </w:p>
    <w:p>
      <w:pPr>
        <w:pStyle w:val="SourcePage"/>
      </w:pPr>
      <w:r>
        <w:t xml:space="preserve">[p. 026]</w:t>
      </w:r>
    </w:p>
    <w:p>
      <w:pPr>
        <w:pStyle w:val="Heading3"/>
      </w:pPr>
      <w:bookmarkStart w:name="heading_the_published_versions_of_a_" w:id="14"/>
      <w:r>
        <w:t xml:space="preserve">The Published Versions Of A History Of The Work Of Redemption</w:t>
      </w:r>
      <w:bookmarkEnd w:id="14"/>
    </w:p>
    <w:p>
      <w:pPr>
        <w:pStyle w:val="BodyText"/>
      </w:pPr>
      <w:r>
        <w:t xml:space="preserve">John Erskine's 1774 edition of </w:t>
      </w:r>
      <w:r>
        <w:rPr>
          <w:i/>
          <w:iCs/>
        </w:rPr>
        <w:t xml:space="preserve">A History of the Work of Redemption</w:t>
      </w:r>
      <w:r>
        <w:t xml:space="preserve"> has frequently been republished in English.</w:t>
      </w:r>
      <w:r>
        <w:rPr>
          <w:rStyle w:val="FootnoteReference"/>
        </w:rPr>
        <w:footnoteReference w:id="59"/>
      </w:r>
      <w:r>
        <w:t xml:space="preserve"> In 1782 it was reissued in Edinburgh and reprinted at Boston as well. It was first issued in New York in 1786. Before 1800 this same version was reprinted three more times in Edinburgh (1788, 1793, 1799), and also in Worcester, Massachusetts (1792). In addition, an augmented version, known as the "Pitcher edition" after its editor, George Pitcher, was brought out in London in 1788. This included historical, critical, and theological notes along with a section on "The Life and Experience of the Author." The Pitcher text has some minor variations from Erskine's, but there is no basis for supposing that it rested on a fresh transcription of the manuscripts or even reference to them or to Jonathan Edwards, Jr.'s, transcription. In all respects the Pitcher edition seems to derive from the Erskine text in an attempt to improve it. There is no possibility of independent reference to the original. The same applies to the Pitcher edition as brought out by Swords in New York in 1793. This later edition (Pitcher and then Swords as derived from it) suppresses Erskine's advertisement, offers a much fuller syllabus than Erskine's table of contents, appends extensive notes, and provides an index of references. But none of this elaborate paraphernalia derives from Edwards or has any basis in his manuscripts (sermon booklets or notebooks).</w:t>
      </w:r>
    </w:p>
    <w:p>
      <w:pPr>
        <w:pStyle w:val="BodyText"/>
      </w:pPr>
      <w:r>
        <w:t xml:space="preserve">In general Pitcher's departures from the Erskine version take the form of occasionally eliminating a redundant sentence. A selective analysis of variations between these editions shows that the Erskine text is always fuller and always stands closer to the original manuscript. It is proof of the complete dependence of the Pitcher version on the Erskine version that it follows Erskine in sections of the text that Edwards, Jr. (or Erskine) undertook to complete or otherwise finish, sections left in rough form in Jonathan Edwards' preaching booklets. At most it could be claimed that Pitcher had access to the transcription that Erskine edited, but it is more reasonable to suppose that Pitcher's version derived wholly from Erskine's.</w:t>
      </w:r>
    </w:p>
    <w:p>
      <w:pPr>
        <w:pStyle w:val="BodyText"/>
      </w:pPr>
      <w:r>
        <w:t xml:space="preserve">In addressing the issue of variations between the Erskine and Pitcher versions of the texts, the editor of the Worcester edition of</w:t>
      </w:r>
    </w:p>
    <w:p>
      <w:pPr>
        <w:pStyle w:val="SourcePage"/>
      </w:pPr>
      <w:r>
        <w:t xml:space="preserve">[p. 027]</w:t>
      </w:r>
    </w:p>
    <w:p>
      <w:pPr>
        <w:pStyle w:val="BodyText"/>
      </w:pPr>
      <w:r>
        <w:t xml:space="preserve">Edwards' </w:t>
      </w:r>
      <w:r>
        <w:rPr>
          <w:i/>
          <w:iCs/>
        </w:rPr>
        <w:t xml:space="preserve">Works</w:t>
      </w:r>
      <w:r>
        <w:t xml:space="preserve"> explicitly chose to use Erskine's corrected 1793 text (the fourth Edinburgh edition).</w:t>
      </w:r>
    </w:p>
    <w:p>
      <w:pPr>
        <w:pStyle w:val="BlockQuote"/>
      </w:pPr>
      <w:r>
        <w:t xml:space="preserve">This [the 1793 text] is according to the form to which the manuscript was reduced by Dr. Erskine, and appears to have been printed with uncommon accuracy, probably under the eye of the Doctor. This is preferred to the London Edition, published in the year '88 by Mr. Pitcher. The Editor of this Edition [Pitcher], though he appears to have been conscientiously careful to preserve the sentiments of Mr. Edwards, has so varied the style, that we cease to rely that what we have is the composition of the original author.</w:t>
      </w:r>
      <w:r>
        <w:rPr>
          <w:rStyle w:val="FootnoteReference"/>
        </w:rPr>
        <w:footnoteReference w:id="60"/>
      </w:r>
    </w:p>
    <w:p>
      <w:pPr>
        <w:pStyle w:val="BodyText"/>
      </w:pPr>
      <w:r>
        <w:t xml:space="preserve">While this judgment about the relative merit of these versions is undoubtedly correct, the characterization of the Pitcher edition overstates its degree of independence from Erskine's edition, insofar as the author seems to imply that Pitcher had benefited from access to the original manuscripts.</w:t>
      </w:r>
    </w:p>
    <w:p>
      <w:pPr>
        <w:pStyle w:val="BodyText"/>
      </w:pPr>
      <w:r>
        <w:t xml:space="preserve">In the nineteenth century the original Erskine edition was reissued numerous times, especially in Edinburgh and Worcester, Massachusetts. Both the Religious Tract Society (London) and the American Tract Society (New York) also kept it available in print. The Pitcher edition was reissued twice in London. Beyond this, of course, </w:t>
      </w:r>
      <w:r>
        <w:rPr>
          <w:i/>
          <w:iCs/>
        </w:rPr>
        <w:t xml:space="preserve">A History of the Work of Redemption</w:t>
      </w:r>
      <w:r>
        <w:t xml:space="preserve"> was a standard part of the various collected editions of Edwards' works, beginning with that issued at Leeds in 1806–1811 (8 vols.). The most important collection came out at Worcester in 1808, and numerous others followed.</w:t>
      </w:r>
    </w:p>
    <w:p>
      <w:pPr>
        <w:pStyle w:val="BodyText"/>
      </w:pPr>
      <w:r>
        <w:t xml:space="preserve">Finally, </w:t>
      </w:r>
      <w:r>
        <w:rPr>
          <w:i/>
          <w:iCs/>
        </w:rPr>
        <w:t xml:space="preserve">A History of the Work of Redemption</w:t>
      </w:r>
      <w:r>
        <w:t xml:space="preserve"> was translated. It was brought out almost immediately in Dutch at Utrecht (1776). In the nineteenth century it was issued twice in Welsh (at Bala in 1829; later, undated, from New York, by the American Tract Society). A translation into French was published at Toulouse in 1854, and one into Arabic at Beirut in 1868. Without question </w:t>
      </w:r>
      <w:r>
        <w:rPr>
          <w:i/>
          <w:iCs/>
        </w:rPr>
        <w:t xml:space="preserve">A History of the Work of Redemption</w:t>
      </w:r>
      <w:r>
        <w:t xml:space="preserve"> proved to be one of the most widely distributed of Jonathan Edwards' writings. No doubt its greatest influence was in the popular culture as a "historical" construction of evangelical consciousness rather than as a strictly philosophical or theological treatise like </w:t>
      </w:r>
      <w:r>
        <w:rPr>
          <w:i/>
          <w:iCs/>
        </w:rPr>
        <w:t xml:space="preserve">Religious Affections</w:t>
      </w:r>
      <w:r>
        <w:t xml:space="preserve"> or </w:t>
      </w:r>
      <w:r>
        <w:rPr>
          <w:i/>
          <w:iCs/>
        </w:rPr>
        <w:t xml:space="preserve">Freedom of the Will</w:t>
      </w:r>
      <w:r>
        <w:t xml:space="preserve">. In this sense it informed</w:t>
      </w:r>
    </w:p>
    <w:p>
      <w:pPr>
        <w:pStyle w:val="SourcePage"/>
      </w:pPr>
      <w:r>
        <w:t xml:space="preserve">[p. 028]</w:t>
      </w:r>
    </w:p>
    <w:p>
      <w:pPr>
        <w:pStyle w:val="BodyText"/>
      </w:pPr>
      <w:r>
        <w:t xml:space="preserve">the nineteenth-century evangelical understanding of the world and served as a framework within which progressive refinement of theories of dispensations took place.</w:t>
      </w:r>
    </w:p>
    <w:p>
      <w:pPr>
        <w:pStyle w:val="Heading2"/>
      </w:pPr>
      <w:bookmarkStart w:name="heading_2_redemption_as_god_s_greate" w:id="15"/>
      <w:r>
        <w:t xml:space="preserve">2. Redemption as God's Greatest Work</w:t>
      </w:r>
      <w:bookmarkEnd w:id="15"/>
    </w:p>
    <w:p>
      <w:pPr>
        <w:pStyle w:val="Heading3"/>
      </w:pPr>
      <w:bookmarkStart w:name="heading_redemption_as_a_theological_" w:id="16"/>
      <w:r>
        <w:t xml:space="preserve">Redemption As A Theological Preoccupation In The New England Puritan Tradition</w:t>
      </w:r>
      <w:bookmarkEnd w:id="16"/>
    </w:p>
    <w:p>
      <w:pPr>
        <w:pStyle w:val="BodyText"/>
      </w:pPr>
      <w:r>
        <w:t xml:space="preserve">Redemption was a fundamental theme in New England Puritan thought from its beginnings. Thomas Hooker's writings exemplify this preoccupation in his early published sermons.</w:t>
      </w:r>
      <w:r>
        <w:rPr>
          <w:rStyle w:val="FootnoteReference"/>
        </w:rPr>
        <w:footnoteReference w:id="61"/>
      </w:r>
      <w:r>
        <w:t xml:space="preserve"> This venerable patriarch had been a leader in the migration from old England in the 1630s, and also in the subsequent departure of a small group that removed to the Connecticut River Valley from the Massachusetts Bay patent. Modern critical scholarship has but followed him in confirming the centrality of redemption by emphasizing the questions of "visible sainthood" and "preparation for salvation." Jonathan Edwards' initial publication took redemption as its topic: </w:t>
      </w:r>
      <w:r>
        <w:rPr>
          <w:i/>
          <w:iCs/>
        </w:rPr>
        <w:t xml:space="preserve">God Glorified in the Work of Redemption</w:t>
      </w:r>
      <w:r>
        <w:t xml:space="preserve">, </w:t>
      </w:r>
      <w:r>
        <w:rPr>
          <w:i/>
          <w:iCs/>
        </w:rPr>
        <w:t xml:space="preserve">by the Greatness of Man's Dependence upon Him</w:t>
      </w:r>
      <w:r>
        <w:t xml:space="preserve">, </w:t>
      </w:r>
      <w:r>
        <w:rPr>
          <w:i/>
          <w:iCs/>
        </w:rPr>
        <w:t xml:space="preserve">in the whole of It</w:t>
      </w:r>
      <w:r>
        <w:t xml:space="preserve"> was preached as a public lecture in Boston in 1731.</w:t>
      </w:r>
      <w:r>
        <w:rPr>
          <w:rStyle w:val="FootnoteReference"/>
        </w:rPr>
        <w:footnoteReference w:id="62"/>
      </w:r>
      <w:r>
        <w:t xml:space="preserve"> A brief review of his "Miscellanies" has indicated that he repeatedly returned to the subject throughout his life, but especially in the early years of his maturity, at Northampton. His composition of thirty sermons as "A History of the Work of Redemption" was entirely congruent with the broader tradition in which he stood, and it was also the development of a theme already central in his own work.</w:t>
      </w:r>
    </w:p>
    <w:p>
      <w:pPr>
        <w:pStyle w:val="BodyText"/>
      </w:pPr>
      <w:r>
        <w:t xml:space="preserve">What is noteworthy about the Redemption Discourse is not so much the subject but the approach to it which Edwards chose to develop. Earlier tradition was largely given to close analysis of the "application of redemption"—the phrase was used by Hooker—in the soul of the Christian.</w:t>
      </w:r>
      <w:r>
        <w:rPr>
          <w:rStyle w:val="FootnoteReference"/>
        </w:rPr>
        <w:footnoteReference w:id="63"/>
      </w:r>
      <w:r>
        <w:t xml:space="preserve"> The great theological doctrines of the incarnation of the divine as human in Jesus as the Christ and the Savior's atonement for human sin so as to achieve salvation for the faithful were taken for granted in this literature. The center of concern was how this</w:t>
      </w:r>
    </w:p>
    <w:p>
      <w:pPr>
        <w:pStyle w:val="SourcePage"/>
      </w:pPr>
      <w:r>
        <w:t xml:space="preserve">[p. 029]</w:t>
      </w:r>
    </w:p>
    <w:p>
      <w:pPr>
        <w:pStyle w:val="BodyText"/>
      </w:pPr>
      <w:r>
        <w:t xml:space="preserve">objective given of the spiritual economy might be rendered real in the lives of the individual saints who were its subjects—the application of redemption translated into a concern for the morphology of conversion and became a preoccupation with visible sainthood.</w:t>
      </w:r>
      <w:r>
        <w:rPr>
          <w:rStyle w:val="FootnoteReference"/>
        </w:rPr>
        <w:footnoteReference w:id="64"/>
      </w:r>
      <w:r>
        <w:t xml:space="preserve"> It entailed a scrupulous analysis of the steps to salvation, especially in the lives of individual saints, but not excluding salvation's collective expression.</w:t>
      </w:r>
      <w:r>
        <w:rPr>
          <w:rStyle w:val="FootnoteReference"/>
        </w:rPr>
        <w:footnoteReference w:id="65"/>
      </w:r>
    </w:p>
    <w:p>
      <w:pPr>
        <w:pStyle w:val="BodyText"/>
      </w:pPr>
      <w:r>
        <w:t xml:space="preserve">These interests substantially overlapped with those of the adherents of Pietism, which developed in Continental circles in the seventeenth and eighteenth centuries.</w:t>
      </w:r>
      <w:r>
        <w:rPr>
          <w:rStyle w:val="FootnoteReference"/>
        </w:rPr>
        <w:footnoteReference w:id="66"/>
      </w:r>
      <w:r>
        <w:t xml:space="preserve"> The Pietists were deeply influenced by English Puritanism's concern with the application of redemption. And a mutual interest continued on the part of German-speaking Pietists and English-speaking Puritans throughout the seventeenth and into the eighteenth centuries. These traditions interpenetrated in the middle Colonies of the New World in Edwards' lifetime, and this circumstance must be seen as background to the Great Awakening in that region.</w:t>
      </w:r>
      <w:r>
        <w:rPr>
          <w:rStyle w:val="FootnoteReference"/>
        </w:rPr>
        <w:footnoteReference w:id="67"/>
      </w:r>
      <w:r>
        <w:t xml:space="preserve"> What distinguished these cognate traditions was their respective emphases and focuses. The Puritan tradition initially developed and nurtured the Reformed commitment to renovate the common life as a whole as well as individual Christians and their purified churches; the Pietist tradition carried forward a more typically Lutheran attitude of greater indifference toward the social and political context within which redeemed individuals and their religious groupings lived.</w:t>
      </w:r>
    </w:p>
    <w:p>
      <w:pPr>
        <w:pStyle w:val="BodyText"/>
      </w:pPr>
      <w:r>
        <w:t xml:space="preserve">The side of the Puritan tradition concerned with the application of redemption and visible sainthood continues strongly in Edwards. In his revival preaching he was preeminently the skilled "doctor of salvation," simultaneously holding forth the possibility of redemption and the terror of everlasting damnation. Thus "Sinners in the Hands</w:t>
      </w:r>
    </w:p>
    <w:p>
      <w:pPr>
        <w:pStyle w:val="SourcePage"/>
      </w:pPr>
      <w:r>
        <w:t xml:space="preserve">[p. 030]</w:t>
      </w:r>
    </w:p>
    <w:p>
      <w:pPr>
        <w:pStyle w:val="BodyText"/>
      </w:pPr>
      <w:r>
        <w:t xml:space="preserve">of an Angry God" deserves the attention it has received as an exemplar of his preaching.</w:t>
      </w:r>
      <w:r>
        <w:rPr>
          <w:rStyle w:val="FootnoteReference"/>
        </w:rPr>
        <w:footnoteReference w:id="68"/>
      </w:r>
      <w:r>
        <w:t xml:space="preserve"> But it was preaching of one particular kind—that directed to securing the redeemed in their faith through holding forth with exceptional vigor the dreadful alternative to it. He also took a vital interest in the application of redemption, and this theme stands behind the 1734 awakening chronicled in his </w:t>
      </w:r>
      <w:r>
        <w:rPr>
          <w:i/>
          <w:iCs/>
        </w:rPr>
        <w:t xml:space="preserve">Faithful Narrative</w:t>
      </w:r>
      <w:r>
        <w:t xml:space="preserve">, as well as behind the Great Awakening. His reflections issued in a series of increasingly discriminating analyses of the spiritual life, culminating in the masterful treatise </w:t>
      </w:r>
      <w:r>
        <w:rPr>
          <w:i/>
          <w:iCs/>
        </w:rPr>
        <w:t xml:space="preserve">Religious Affections</w:t>
      </w:r>
      <w:r>
        <w:t xml:space="preserve">.</w:t>
      </w:r>
      <w:r>
        <w:rPr>
          <w:rStyle w:val="FootnoteReference"/>
        </w:rPr>
        <w:footnoteReference w:id="69"/>
      </w:r>
      <w:r>
        <w:t xml:space="preserve"> Here the full range of Edwards' analytic skills was marshaled to review the experience of the subjects of redemption.</w:t>
      </w:r>
    </w:p>
    <w:p>
      <w:pPr>
        <w:pStyle w:val="BodyText"/>
      </w:pPr>
      <w:r>
        <w:t xml:space="preserve">The application of redemption provided the focus for much of Edwards' mature career. For example, the energy he devoted to that ambitious transatlantic revival movement, the Concert of Prayer, was precisely the direct outcome of his concern, although it also showed his continuing sense of (and clearly enhanced appreciation for) the connection between the New England and at least the Scottish traditions.</w:t>
      </w:r>
      <w:r>
        <w:rPr>
          <w:rStyle w:val="FootnoteReference"/>
        </w:rPr>
        <w:footnoteReference w:id="70"/>
      </w:r>
      <w:r>
        <w:t xml:space="preserve"> In addition, he seems to have been aware of the Continental Pietism of Spener at Halle and the role of Zinzendorf in both Europe and the Middle Colonies. Another example is his reversal of Stoddard's relatively open position on membership in the church, a direct expression of Edwards' continuing conviction that "closing with salvation" was a matter of utmost urgency. It is imperative to insist, however, that while he focused great energies on the application of redemption, he did not make the transition in his own work that would come about in the next century. This was an increasing preoccupation among Romantics with redemption viewed subjectively.</w:t>
      </w:r>
      <w:r>
        <w:rPr>
          <w:rStyle w:val="FootnoteReference"/>
        </w:rPr>
        <w:footnoteReference w:id="71"/>
      </w:r>
    </w:p>
    <w:p>
      <w:pPr>
        <w:pStyle w:val="BodyText"/>
      </w:pPr>
      <w:r>
        <w:t xml:space="preserve">Within the tradition of nineteenth-century religious thought in America reaching from Edwards, this transition or turn can be perceived</w:t>
      </w:r>
    </w:p>
    <w:p>
      <w:pPr>
        <w:pStyle w:val="SourcePage"/>
      </w:pPr>
      <w:r>
        <w:t xml:space="preserve">[p. 031]</w:t>
      </w:r>
    </w:p>
    <w:p>
      <w:pPr>
        <w:pStyle w:val="BodyText"/>
      </w:pPr>
      <w:r>
        <w:t xml:space="preserve">developing in both orthodox and heterodox ways. The thought of a Horace Bushnell, to take the first case, has developed far toward a modern position that since language as a cultural product is the medium in which religious claims are made, any religious claims advanced are necessarily rooted in the human subject.</w:t>
      </w:r>
      <w:r>
        <w:rPr>
          <w:rStyle w:val="FootnoteReference"/>
        </w:rPr>
        <w:footnoteReference w:id="72"/>
      </w:r>
      <w:r>
        <w:t xml:space="preserve"> While Bushnell remained committed to the comprehensive and traditional Christian confession, for him it was essentially just that—a compelling description of the phenomenal world, not a secure disclosure of the noumenal realm. On the other side, Ralph Waldo Emerson was no less preoccupied with redemption in the experience of its subjects. But for him the traditional Christian symbols were equated with, or reduced to, symbols derived from nature, and the life of the spirit was construed in thoroughly heterodox terms.</w:t>
      </w:r>
      <w:r>
        <w:rPr>
          <w:rStyle w:val="FootnoteReference"/>
        </w:rPr>
        <w:footnoteReference w:id="73"/>
      </w:r>
      <w:r>
        <w:t xml:space="preserve"> But for us the central issue is that Edwards' concern with redemption represented his appropriation of central elements of the New England religious tradition that would, in turn, be developed further by others.</w:t>
      </w:r>
    </w:p>
    <w:p>
      <w:pPr>
        <w:pStyle w:val="BodyText"/>
      </w:pPr>
      <w:r>
        <w:t xml:space="preserve">As important as it is to observe that Edwards' concern for redemption as the most basic religious category was carrying forward a prominent strand of New England culture, we must note that he also turned these concerns in a different direction entirely. Here he proposed systematic attention to the "objective" side of the issue: redemption seen in relationship to the whole of creation as the means to comprehend the relationship of the world to God. His continuing reflection on these questions led him to carry the question even further back, into conjecture that the human understanding of the Work of Redemption established the nature of the Godhead as irreducibly trinitarian. The late essay "The End for Which God Created the World," posthumously published in </w:t>
      </w:r>
      <w:r>
        <w:rPr>
          <w:i/>
          <w:iCs/>
        </w:rPr>
        <w:t xml:space="preserve">Two Dissertations</w:t>
      </w:r>
      <w:r>
        <w:t xml:space="preserve">, addressed the question of the limits of human understanding of redemption.</w:t>
      </w:r>
      <w:r>
        <w:rPr>
          <w:rStyle w:val="FootnoteReference"/>
        </w:rPr>
        <w:footnoteReference w:id="74"/>
      </w:r>
      <w:r>
        <w:t xml:space="preserve"> But it was already an implicit issue in the Redemption Discourse, though not as fully developed. As has been suggested, the "Miscellanies" show its presence even earlier. In effect, Edwards' argument was, so to speak, that if creation is a stage, the purpose of which is to permit</w:t>
      </w:r>
    </w:p>
    <w:p>
      <w:pPr>
        <w:pStyle w:val="SourcePage"/>
      </w:pPr>
      <w:r>
        <w:t xml:space="preserve">[p. 032]</w:t>
      </w:r>
    </w:p>
    <w:p>
      <w:pPr>
        <w:pStyle w:val="BodyText"/>
      </w:pPr>
      <w:r>
        <w:t xml:space="preserve">the drama of redemption to be played out, the outcome of the drama (and thus the reason for creation) is God's self-glorification. He does not agonize at length over </w:t>
      </w:r>
      <w:r>
        <w:rPr>
          <w:i/>
          <w:iCs/>
        </w:rPr>
        <w:t xml:space="preserve">why</w:t>
      </w:r>
      <w:r>
        <w:t xml:space="preserve"> the created world exists, for its purpose is to effect the redemption of mankind, the objective side of the process so thoroughly inquired into on its subjective side both in the tradition in which Edwards stood and in his own work. A framework such as this suggests why his "history" of the Work of Redemption was so central to his intellectual life and how he approached this major project. It also helps to explain why he always intended it to be a summary theological statement.</w:t>
      </w:r>
    </w:p>
    <w:p>
      <w:pPr>
        <w:pStyle w:val="BodyText"/>
      </w:pPr>
      <w:r>
        <w:t xml:space="preserve">Edwards defined the Work of Redemption as taking place between "the fall of man and the end of the world," or last judgment.</w:t>
      </w:r>
      <w:r>
        <w:rPr>
          <w:rStyle w:val="FootnoteReference"/>
        </w:rPr>
        <w:footnoteReference w:id="75"/>
      </w:r>
      <w:r>
        <w:t xml:space="preserve"> The series of events constituting this "history" properly was given in narrative or dramatic terms. But although his project depended profoundly on the Bible and grew out of it, we should not suppose that Edwards' sources for his discussion were confined to it. It is also wrong to suppose that his efforts are to be understood as an exercise in bibliolatry. For him, the Scripture offered an incomplete and complex presentation of the "history," and, moreover, the scriptural version could be easily misread. At the same time, Scripture provided accounts of events that Edwards thought critical in God's Work of Redemption. Examples are the redemption of Israel out of Egypt and the securing of David's kingship over Israel. Edwards augmented the incomplete "historical" sections with Scripture prophecy, in and through which the narrative account of the redemptive scheme was interpreted and fleshed out. This gave him not only a correct understanding of events narrated in Scripture history, but also permitted interpretation of events that transpired outside its purview (examples being the significance of the rise of the Roman empire and the contribution classical pagan philosophy made to the scheme of redemption). Prophecy also disclosed events yet to come that would complete God's Work of Redemption (the destruction of Antichrist and the last judgment). So although there is a sense in which the "history" of the Work of Redemption depends upon the Scriptures and certainly could not be comprehended by humans without them, the Scriptures do not contain its entirety. Indeed, the Scriptures might be said to have as their divine purpose or intention the work itself.</w:t>
      </w:r>
    </w:p>
    <w:p>
      <w:pPr>
        <w:pStyle w:val="SourcePage"/>
      </w:pPr>
      <w:r>
        <w:t xml:space="preserve">[p. 033]</w:t>
      </w:r>
    </w:p>
    <w:p>
      <w:pPr>
        <w:pStyle w:val="BodyText"/>
      </w:pPr>
      <w:r>
        <w:t xml:space="preserve">It is crucial to identify precisely the social location and the nature of the account of God's Work of Redemption which Edwards finally created. His "history" is addressed to a community which is potentially redeemed, as an exhortation to its members to be saved, to "close with salvation." These sermon-discourses seek to engage their hearers and readers. If creation is the stage and God's Work of Redemption the drama being played out upon it, Scripture is the established text of what has taken place in the drama and the partial text of what is to come. To continue the analogy, Edwards is part aspiring producer, part theater critic. His sermon hearers and treatise readers are at once unwittingly acting, attending the performance, devouring reviews, and yearning for consummation of the project. This analogy, like all analogies, breaks down at this point, and such a comparison with the stage might in any case have struck Edwards as at best frivolous and at worst blasphemous. But it does help to suggest to the modern critical reader the complex relationships between Godhead, Scripture, redemption, Edwards' text, the hearers, and finally the readers that his project comprises. We must focus on the text of the Redemption Discourse to understand what makes it so effective, while recognizing that Edwards' preaching of his "history" was part exposition of the Work of Redemption, part production of its story, and part critical commentary upon it.</w:t>
      </w:r>
    </w:p>
    <w:p>
      <w:pPr>
        <w:pStyle w:val="BodyText"/>
      </w:pPr>
      <w:r>
        <w:t xml:space="preserve">To analyze the Redemption Discourse, appreciation for the sermon form is crucial. Beyond extensive attention to this question we will make and emphasize a distinction between, on the one hand, the narrative base of the text (which recounts events in serial order) and, on the other, various levels of meaning invoked to interpret events that took place in biblical times, have taken place since then, or are yet to take place, in relationship to the redemptive process. It is important to emphasize that events in this narrative base already carry an interpretation—these are not neutral occurrences, now available for the first time. Rather, these occurrences are already very familiar, and their significance is established, like the rescue of one righteous man and his family from a flood so that they can be bearers of salvation, or the release of a people under captivity in Babylon, or the fall of Jerusalem before the might of Rome, or the embrace of Christianity by an empire. These events are basic themes already established, but in their perfection, the whole is enriched by skillful anticipation of later themes and extensive elaboration of earlier ones as the consummation of all things approaches. Like the playing of a</w:t>
      </w:r>
    </w:p>
    <w:p>
      <w:pPr>
        <w:pStyle w:val="SourcePage"/>
      </w:pPr>
      <w:r>
        <w:t xml:space="preserve">[p. 034]</w:t>
      </w:r>
    </w:p>
    <w:p>
      <w:pPr>
        <w:pStyle w:val="BodyText"/>
      </w:pPr>
      <w:r>
        <w:t xml:space="preserve">piece of music or the production of a play for that matter, the whole adds up to so much more than the parts taken in isolation.</w:t>
      </w:r>
    </w:p>
    <w:p>
      <w:pPr>
        <w:pStyle w:val="BodyText"/>
      </w:pPr>
      <w:r>
        <w:t xml:space="preserve">Edwards' devices for inventing meanings or elaborating interconnections were relatively conventional. In effect, he availed himself of a series of literary strategies which involved claims about the revelatory power of isolated units in the narrative base. The strongest claim is the assertion that at several points Christ actually appeared to Israel before his incarnation. Slightly less strong claims concern a much broader class of materials: prophecies. A weaker level of claim, still very important, is made by typology. Here the individual or event is a figure that, while retaining its own integrity in the narrative base, yet discloses another reality. As we shall see, Edwards uses this method fully, but he feels free to apply typology less rigorously as well. Still weaker forms of elaboration of the basic narrative account occur in claims concerning images or shadows of fundamental reality.</w:t>
      </w:r>
    </w:p>
    <w:p>
      <w:pPr>
        <w:pStyle w:val="BodyText"/>
      </w:pPr>
      <w:r>
        <w:t xml:space="preserve">To move into a systematic analysis of Edwards' literary strategies necessarily misrepresents them, because it treats as separate elements that are fused in his text. But it ought to be evident that, already in the thirty sermons preached in 1739, he had moved far toward the conception of a treatise or sustained essay on the fundamentals of the Christian religion, which he would organize in terms of the objective side of the redemptive process, namely, God's Work of Redemption. The sermons stand without the ambitious development he intended for them. But they stand also as a literary achievement in their own right, without the revision, refinement, and extension he would have given them.</w:t>
      </w:r>
    </w:p>
    <w:p>
      <w:pPr>
        <w:pStyle w:val="Heading3"/>
      </w:pPr>
      <w:bookmarkStart w:name="heading_the_redemption_discours_2" w:id="17"/>
      <w:r>
        <w:t xml:space="preserve">The Redemption Discourse And The Transformation Of The Sermon Form</w:t>
      </w:r>
      <w:bookmarkEnd w:id="17"/>
    </w:p>
    <w:p>
      <w:pPr>
        <w:pStyle w:val="BodyText"/>
      </w:pPr>
      <w:r>
        <w:t xml:space="preserve">While Jonathan Edwards worked within the traditional structure of the sermon, he was also engaged in transforming it. Sermon series, like "Charity and Its Fruits" preached the preceding year, were traditionally developed around the exegesis of a series of verses, a scriptural chapter, or even a whole biblical book. The preaching unit was defined through the rhetorical conventions of the Puritan tradition. A scriptural text, a verse (or part thereof) was explicated so as to develop it in relation to its setting and to clarify it in terms of content. Then a doctrine or rational statement of the principle conveyed through the text was enunciated. The sermon developed "observations" or "reasons," that is, rational elaborations of the doctrine,</w:t>
      </w:r>
    </w:p>
    <w:p>
      <w:pPr>
        <w:pStyle w:val="SourcePage"/>
      </w:pPr>
      <w:r>
        <w:t xml:space="preserve">[p. 035]</w:t>
      </w:r>
    </w:p>
    <w:p>
      <w:pPr>
        <w:pStyle w:val="BodyText"/>
      </w:pPr>
      <w:r>
        <w:t xml:space="preserve">drawing upon a range of sources both within the tradition and outside it. References to classical authors were included, as well as historical precedents, allusions to current events, and commonsense observations. This served as the core of the sermon. Finally, the implications of the whole for the auditors were pointed out; the sermon was "improved" for their benefit. This marvelously efficient instrument provided a framework within which the preacher could suit his delivery to circumstance and develop variations as warranted by occasion. Its tripartite structure suggested the conventional threefold psychological model in which human nature was thought to involve reason, will, and emotions.</w:t>
      </w:r>
      <w:r>
        <w:rPr>
          <w:rStyle w:val="FootnoteReference"/>
        </w:rPr>
        <w:footnoteReference w:id="76"/>
      </w:r>
      <w:r>
        <w:t xml:space="preserve"> In making use of this form, Edwards was simply appropriating a recognized tradition that had proved effective since evolving to roughly this stage among Puritans in the late Elizabethan years.</w:t>
      </w:r>
      <w:r>
        <w:rPr>
          <w:rStyle w:val="FootnoteReference"/>
        </w:rPr>
        <w:footnoteReference w:id="77"/>
      </w:r>
    </w:p>
    <w:p>
      <w:pPr>
        <w:pStyle w:val="BodyText"/>
      </w:pPr>
      <w:r>
        <w:t xml:space="preserve">Edwards explicitly framed the Redemption Discourse using these basic elements of text, doctrine, and application or improvement. He did not isolate a distinct section of "reasons," although three "propositions" or specifications of the doctrine guided the development of the whole. His rather full explication of the doctrine in Sermon One, after he had briefly introduced the text, may indicate that the conventional structure had undergone a modification in which rational elaboration was drawn into and conflated with text and doctrine. Where this occurs, some have proposed, we have an adaptation of the rhetorical form that indicates a significant change in assumptions about human psychology.</w:t>
      </w:r>
      <w:r>
        <w:rPr>
          <w:rStyle w:val="FootnoteReference"/>
        </w:rPr>
        <w:footnoteReference w:id="78"/>
      </w:r>
      <w:r>
        <w:t xml:space="preserve"> That may certainly be an important insight into Edwards as preacher and a significant aspect of the Great Awakening</w:t>
      </w:r>
    </w:p>
    <w:p>
      <w:pPr>
        <w:pStyle w:val="SourcePage"/>
      </w:pPr>
      <w:r>
        <w:t xml:space="preserve">[p. 036]</w:t>
      </w:r>
    </w:p>
    <w:p>
      <w:pPr>
        <w:pStyle w:val="BodyText"/>
      </w:pPr>
      <w:r>
        <w:t xml:space="preserve">in American culture. At least with respect to the Redemption Discourse, however, it is more important to view the substantial part of these thirty sermons—that not explicitly devoted to text, doctrine, or application—as an elaboration of the rational content that makes it the central argument of the whole. In this framework, the "history" of the Work of Redemption precisely fulfilled the role conventionally played by "reasons" in Puritan preaching: sustained and compelling arguments for the doctrine adduced from Scripture and redemptive events, assembled as authoritative and directed to the will. According to this interpretation, Edwards was developing the sermon structure to the point at which the central core of rational argumentation was virtually a treatise in its own right, though of course he would introduce it by text and doctrine and conclude it by improvement.</w:t>
      </w:r>
    </w:p>
    <w:p>
      <w:pPr>
        <w:pStyle w:val="BodyText"/>
      </w:pPr>
      <w:r>
        <w:t xml:space="preserve">We have noted that Edwards' text and doctrine are both fully explicated in the course of the first of the thirty sermons. Thereafter he devotes eleven preaching occasions to a close discussion of the dispensations through which redemption was advanced from the fall of man to the coming of Christ. This development of God's Work of Redemption takes place under the general text and doctrine, with additional "observations" about the last dispensation. Their improvement or application is concentrated in the thirteenth sermon. Nevertheless, the eleven sermons stand as a rational statement that has a distinctively historical cast. Under the same text and doctrine, three more sermons offer a rational theological analysis (rather than a historical discussion) of the period of Christ's humiliation or life; improvement of this section is made in Sermon Seventeen. With Sermon Eighteen, Edwards begins to discuss the Work of Redemption from Christ's resurrection to the end of the world and its eventual return to God. The same text from Isaiah and the same doctrine frame this section. A short concluding section of Sermon Twenty-one is explicitly an improvement or application, as is all of Sermon Twenty-five. The last part of Sermon Twenty-nine and all of Sermon Thirty are set out as an improvement of the whole.</w:t>
      </w:r>
    </w:p>
    <w:p>
      <w:pPr>
        <w:pStyle w:val="BodyText"/>
      </w:pPr>
      <w:r>
        <w:t xml:space="preserve">At this level of analysis it is clear that text, doctrine, and improvement—conventional elements of the traditional sermon form—were significant in Edwards' sermons on the Work of Redemption, probably comprising between 20 and 25 percent of the manuscript materials. They provide a form and set a framework that governs the whole. But it is equally clear that the rational core of the series, if we interpret this element as central to a sermon discourse, is his sustained</w:t>
      </w:r>
    </w:p>
    <w:p>
      <w:pPr>
        <w:pStyle w:val="SourcePage"/>
      </w:pPr>
      <w:r>
        <w:t xml:space="preserve">[p. 037]</w:t>
      </w:r>
    </w:p>
    <w:p>
      <w:pPr>
        <w:pStyle w:val="BodyText"/>
      </w:pPr>
      <w:r>
        <w:t xml:space="preserve">analysis of how redemption has been, and is being, worked out by God. Thus the substance of the sermons—perhaps 75 percent—stands as a largely narrative account of the redemption of the world by God, indeed a "history" of it. In general, the thirty sermons have been read as if they were that history, and there is no doubt that had Edwards revised them, the rational account in a largely narrative mode would have been at least as pronounced. The revised "history" would have appeared even more treatiselike. (Indeed, the treatise </w:t>
      </w:r>
      <w:r>
        <w:rPr>
          <w:i/>
          <w:iCs/>
        </w:rPr>
        <w:t xml:space="preserve">Religious Affections</w:t>
      </w:r>
      <w:r>
        <w:t xml:space="preserve"> can be read beside the "Distinguishing Marks" as essentially an elaboration and refinement of the central rational section of that one sermon.</w:t>
      </w:r>
      <w:r>
        <w:rPr>
          <w:rStyle w:val="FootnoteReference"/>
        </w:rPr>
        <w:footnoteReference w:id="79"/>
      </w:r>
      <w:r>
        <w:t xml:space="preserve">) But it would be a grave error to assume that the narrative sections of the Redemption Discourse, which bulk so large in the sermons (and which might well have had increased prominence as a result of revision), in fact constitute a "history" in a modern sense. Instead, the theoretical framework for the narrative and rational sections is derived from the text and doctrine, and the application and improvements were intended to engage the human subject so as to further the Work of Redemption. The degree of subordination of the narrative account within the doctrinal framework is made clear in the outline of the sermon series given in table 1.</w:t>
      </w:r>
      <w:r>
        <w:rPr>
          <w:rStyle w:val="FootnoteReference"/>
        </w:rPr>
        <w:footnoteReference w:id="80"/>
      </w:r>
      <w:r>
        <w:t xml:space="preserve"> The Redemption Discourse had controlling theological premises and was intended to eventuate in religious practice or conversion. In this sense, in spite of his transformation of the sermon form, Edwards anchored the Redemption Discourse securely within that tradition.</w:t>
      </w:r>
    </w:p>
    <w:p>
      <w:pPr>
        <w:pStyle w:val="BodyText"/>
      </w:pPr>
      <w:r>
        <w:t xml:space="preserve">Edwards' choice of a text from Isaiah, "For the moth shall eat them up like a garment, and the worm shall eat them like wool, but my righteousness shall be for ever, and my salvation from generation to generation," seems an improbable starting point for his ambitious project. In his "Blank Bible," where he noted the significance of particular verses, his single entry concerning Isaiah 51:8 reads, "This verse is a proof of the indestructibility of the Church."</w:t>
      </w:r>
      <w:r>
        <w:rPr>
          <w:rStyle w:val="FootnoteReference"/>
        </w:rPr>
        <w:footnoteReference w:id="81"/>
      </w:r>
      <w:r>
        <w:t xml:space="preserve"> But at least two comments are in order. First, it was a central tenet among conscientious Protestants from the days of Luther that the Old Testament contained the Christian gospel implicitly. Edwards' development of a</w:t>
      </w:r>
    </w:p>
    <w:p>
      <w:pPr>
        <w:pStyle w:val="SourcePage"/>
      </w:pPr>
      <w:r>
        <w:t xml:space="preserve">[p. 038]</w:t>
      </w:r>
    </w:p>
    <w:p>
      <w:pPr>
        <w:pStyle w:val="BodyText"/>
      </w:pPr>
      <w:r>
        <w:t xml:space="preserve">most general statement about the divine Work of Redemption on the basis of a text from the Old Testament which embodied homely metaphors is not especially noteworthy. Second, he chose a text that, not uncharacteristically for a statement attributed to God, contrasted God's everlasting righteousness and resolute intention to achieve salvation for his people with the fragility and transitoriness of earthly goods. This assured a dialectical framework for the development of the series.</w:t>
      </w:r>
    </w:p>
    <w:p>
      <w:pPr>
        <w:pStyle w:val="BodyText"/>
      </w:pPr>
      <w:r>
        <w:t xml:space="preserve">The formulation of the doctrine makes Edwards' intention certain: "The Work of Redemption is a work that God carries on from the fall of man to the end of the world."</w:t>
      </w:r>
      <w:r>
        <w:rPr>
          <w:rStyle w:val="FootnoteReference"/>
        </w:rPr>
        <w:footnoteReference w:id="82"/>
      </w:r>
      <w:r>
        <w:t xml:space="preserve"> Thus we can understand God's deliverance of his people by understanding his Work of Redemption alone, and that process includes "all God's works that were properly preparatory to the purchase [of redemption by Christ's incarnation, death, and resurrection] or as applying the purchase and accomplishing the success of it."</w:t>
      </w:r>
      <w:r>
        <w:rPr>
          <w:rStyle w:val="FootnoteReference"/>
        </w:rPr>
        <w:footnoteReference w:id="83"/>
      </w:r>
      <w:r>
        <w:t xml:space="preserve"> Indeed, as the great fruits of redemption are eternal—extending beyond the end of the world—so the plans for it were laid in the "confederation" of the persons of the Trinity in "a design and a covenant of redemption" before its creation.</w:t>
      </w:r>
      <w:r>
        <w:rPr>
          <w:rStyle w:val="FootnoteReference"/>
        </w:rPr>
        <w:footnoteReference w:id="84"/>
      </w:r>
      <w:r>
        <w:t xml:space="preserve"> So the myriad mundane events Edwards reviews to describe the stages of the process have their true import in terms of the cosmic drama in which evil will be vanquished and each person of the Trinity glorified. The very end, intention, or purpose of God in the creation of the world and its return to God is the central theme of the whole. The homely quality of the text did not detract from, but made all the more striking, the extraordinary range and reach of the doctrine framed upon it.</w:t>
      </w:r>
    </w:p>
    <w:p>
      <w:pPr>
        <w:pStyle w:val="BodyText"/>
      </w:pPr>
      <w:r>
        <w:t xml:space="preserve">For Edwards God's Work of Redemption has three major segments (see table 2). These are separate and distinct periods which mark out different stages in its "history." The first segment runs from the fall of humanity to the coming of Christ. The second is defined by the great christic event, including the coming of Jesus, his ministry, death, and the resurrection, which achieves the redemption of humanity. In the third and last stage, the redemption that was so purchased will be realized. The logic is that preparation leads to purchase in and through the life of Jesus as the Christ, which is then applied in and carried to completion through the life of the church.</w:t>
      </w:r>
    </w:p>
    <w:p>
      <w:pPr>
        <w:pStyle w:val="SourcePage"/>
      </w:pPr>
      <w:r>
        <w:t xml:space="preserve">[p. 039]</w:t>
      </w:r>
    </w:p>
    <w:p>
      <w:pPr>
        <w:pStyle w:val="BodyText"/>
      </w:pPr>
      <w:r>
        <w:t xml:space="preserve">The three periods are but subdivisions, however, of one integral process, the Work of Redemption, that is, God's most fundamental relationship to the world. But each period does have special characteristics. The first, for example, comprehends six distinctive administrations or dispensations, a term that Edwards uses less technically than is the rule in later evangelicalism.</w:t>
      </w:r>
      <w:r>
        <w:rPr>
          <w:rStyle w:val="FootnoteReference"/>
        </w:rPr>
        <w:footnoteReference w:id="85"/>
      </w:r>
      <w:r>
        <w:t xml:space="preserve"> The second is treated as one event, although in two distinct theological perspectives. The third is composed of four separate and overlapping movements or progressive administrations in which the earlier events are taken up in the later and completed in the last.</w:t>
      </w:r>
    </w:p>
    <w:p>
      <w:pPr>
        <w:pStyle w:val="BodyText"/>
      </w:pPr>
      <w:r>
        <w:t xml:space="preserve">The first of the three great periods is discussed in Sermons Two through Twelve. It is defined by his interpretation of the Old Testament, which he thought not only pointed to the coming of Christ, but defined the Christ who would come. At the most general level this was simply a conventional Protestant version of the Christian interpretation of these materials: the scriptures of ancient Israel established the necessity for a messiah actually to complete the redemptive story embodied in them. The interpretive framework Edwards appropriated to set out and make this case was more distinctive. His scheme depended on a figural and, more specifically, typological theory of scriptural interpretation. This enabled him to find coherence where chaos might otherwise be thought to reign.</w:t>
      </w:r>
    </w:p>
    <w:p>
      <w:pPr>
        <w:pStyle w:val="BodyText"/>
      </w:pPr>
      <w:r>
        <w:t xml:space="preserve">Sermon Thirteen is cast as an improvement of the first great period of the redemptive story. With Sermon Fourteen Edwards turns to analyze in three sermons the second great period, that of Christ's humiliation. With Sermon Eighteen he shifts his attention to the third and last period, which reaches from Christ's resurrection to the end of the world. The Work of Redemption will be completed as time is brought to a close—but for Edwards the outcome will continue, beyond time. Four great events define the stages of this period and accomplish the inauguration of Christ's kingdom. These four are not so much separate and discrete, however, as cumulative; each successive event incorporates those that went before and issues in yet a further development. This makes the achievement of Christ's kingdom gradual, and the result, Edwards argues, is that God's glory is the more visible and his triumph over Satan the more glorious.</w:t>
      </w:r>
    </w:p>
    <w:p>
      <w:pPr>
        <w:pStyle w:val="BodyText"/>
      </w:pPr>
      <w:r>
        <w:t xml:space="preserve">With the judgment day, the last, summary event will bring "history"</w:t>
      </w:r>
    </w:p>
    <w:p>
      <w:pPr>
        <w:pStyle w:val="SourcePage"/>
      </w:pPr>
      <w:r>
        <w:t xml:space="preserve">[p. 040]</w:t>
      </w:r>
    </w:p>
    <w:p>
      <w:pPr>
        <w:pStyle w:val="BodyText"/>
      </w:pPr>
      <w:r>
        <w:t xml:space="preserve">to a close. Christ will appear in glory with the angels, and the elect will be saved. The dead will be raised, and the living will be changed at the last trumpet. Finally, the whole church of saints will be caught up in the air, gathered together with Christ, leaving the wicked earth and Satan behind to be judged. While Christ, the saints, and the angels ascend toward heaven, and the church enters eternal blessedness, the world will be set on fire. The church in glory will realize what was foreshadowed by the church under grace. In its delivery to the Father, time will be transcended and redemption accomplished.</w:t>
      </w:r>
    </w:p>
    <w:p>
      <w:pPr>
        <w:pStyle w:val="BodyText"/>
      </w:pPr>
      <w:r>
        <w:t xml:space="preserve">The whole series of sermons concludes with an extensive improvement (part of Sermon Twenty-nine and all of Sermon Thirty). But Edwards' elaboration of the "history" as a rational analysis of God's Work of Redemption assumed a life of its own. The metamorphosis of the sermon form was virtually complete, for text, doctrine, and application had all become subordinate to the rational elaboration. The sermon form was stretched across thirty preaching occasions and turned inside out. This form acted as a chrysalis: within it the process of change that held the promise of a treatise occurred. In </w:t>
      </w:r>
      <w:r>
        <w:rPr>
          <w:i/>
          <w:iCs/>
        </w:rPr>
        <w:t xml:space="preserve">A History of the Work of Redemption</w:t>
      </w:r>
      <w:r>
        <w:t xml:space="preserve"> as published, this transformation is fixed and the metamorphosis stopped. Had their author lived to rework these materials, there is no doubt that they would have issued as a treatise comparable to </w:t>
      </w:r>
      <w:r>
        <w:rPr>
          <w:i/>
          <w:iCs/>
        </w:rPr>
        <w:t xml:space="preserve">The Freedom of the Will</w:t>
      </w:r>
      <w:r>
        <w:t xml:space="preserve"> or </w:t>
      </w:r>
      <w:r>
        <w:rPr>
          <w:i/>
          <w:iCs/>
        </w:rPr>
        <w:t xml:space="preserve">The Great Christian Doctrine of Original Sin</w:t>
      </w:r>
      <w:r>
        <w:t xml:space="preserve">.</w:t>
      </w:r>
      <w:r>
        <w:rPr>
          <w:rStyle w:val="FootnoteReference"/>
        </w:rPr>
        <w:footnoteReference w:id="86"/>
      </w:r>
    </w:p>
    <w:p>
      <w:pPr>
        <w:pStyle w:val="Heading3"/>
      </w:pPr>
      <w:bookmarkStart w:name="heading_typology_in_protestantism_an" w:id="18"/>
      <w:r>
        <w:t xml:space="preserve">Typology In Protestantism And Puritanism And In The Redemption Discourse</w:t>
      </w:r>
      <w:bookmarkEnd w:id="18"/>
    </w:p>
    <w:p>
      <w:pPr>
        <w:pStyle w:val="BodyText"/>
      </w:pPr>
      <w:r>
        <w:t xml:space="preserve">We have noted the grand scheme, pattern, or "history" of the Work of Redemption as Edwards sketched it out in his thirty sermons of 1739. It was a rational analysis and account of the divine action in the salvation of fallen mankind. Its terminus a quo was set by the fall of mankind, and its terminus ad quem by the end of history, signaled in the last judgment and the salvation of the church. In comprehending human existence it stands as the most fundamental doctrine with respect to the divine relationship to humanity and the world, including all other doctrines. In characteristic fashion, Edwards argued that while other divine activities, for example, in creating the world, might, strictly speaking, have preceded and been presupposed in that of redeeming humanity through time, redemption was in fact</w:t>
      </w:r>
    </w:p>
    <w:p>
      <w:pPr>
        <w:pStyle w:val="SourcePage"/>
      </w:pPr>
      <w:r>
        <w:t xml:space="preserve">[p. 041]</w:t>
      </w:r>
    </w:p>
    <w:p>
      <w:pPr>
        <w:pStyle w:val="BodyText"/>
      </w:pPr>
      <w:r>
        <w:t xml:space="preserve">their purpose or final end. So he viewed the doctrine of providence as subordinate to that of redemption. Indeed, if redemption was superordinate to creation and providence, it stood as subordinate only to God's self-glorification. This conferred a significance upon redemption that explains the high claims he made on its behalf. In the perspective of traditional Christian teaching, of course, especially concerning sin, humanity offers woefully inadequate grounds for any claim to redemption. By contrast, God's self-glorification, implying his design to redeem humanity, explained the significance Edwards attached to the project.</w:t>
      </w:r>
    </w:p>
    <w:p>
      <w:pPr>
        <w:pStyle w:val="BodyText"/>
      </w:pPr>
      <w:r>
        <w:t xml:space="preserve">This high Calvinist position stands behind Edwards' work and makes it intelligible, and the actual "history" he sketched in broad outline is equally derivative. The early Christian community had worked through the issue of how Christianity understood itself in relation to ancient Israel, the chosen people of God. Theoretically, Christianity might have deemphasized its sources in Judaism (indeed, its origins as a Jewish revitalization movement) and developed much more as a Gnostic cult or mystery religion in the culturally plural setting of the Roman empire. This would have required maturing Christianity to interpret its claims in mythic terms, or through philosophical terminology. In some respects, of course, Gnosticism can be seen as such a version of the Christian movement. But the orthodox tradition, defined in councils and through creeds and secured through institutionalization, went the route of emphasizing that Christianity was the fulfillment of those particular expectations for salvation fostered in ancient Israel, expectations preserved in rather different versions within Jewish rabbinic circles. So in sketching the content of the scheme of the first great period of the divine redemption of humanity in terms of the Christian appropriation of the sacred traditions of Israel (its own Old Testament), Edwards stands securely in a tradition of at least fifteen hundred years. How he derived that content from the scriptures of ancient Israel, however, resulted from no such consensus within Western Christianity.</w:t>
      </w:r>
    </w:p>
    <w:p>
      <w:pPr>
        <w:pStyle w:val="BodyText"/>
      </w:pPr>
      <w:r>
        <w:t xml:space="preserve">The interpretation Edwards gave to the second great period of his scheme, the center of history, when Christ, the second person of the Trinity, was incarnate, was no less traditional and orthodox. His emphasis was entirely upon the Christ figure. Unlike the preoccupation with the human Jesus as a historical figure which developed in the nineteenth century, culminating in sentimental portrayals of Jesus as an everlasting contemporary and a moral exemplar, Edwards' interest</w:t>
      </w:r>
    </w:p>
    <w:p>
      <w:pPr>
        <w:pStyle w:val="SourcePage"/>
      </w:pPr>
      <w:r>
        <w:t xml:space="preserve">[p. 042]</w:t>
      </w:r>
    </w:p>
    <w:p>
      <w:pPr>
        <w:pStyle w:val="BodyText"/>
      </w:pPr>
      <w:r>
        <w:t xml:space="preserve">was in the second person of the Trinity and the central salvific exchange attributed to Christ. That this Christ became human, and radically enough human to achieve the salvation intended, was the important point. It was the actuality of the incarnation—the reality as God-man—that mattered, not the details of the life, or even, for that matter, its integrity as a human life, except insofar as that was required for the incarnation to be genuine. In this respect also he was arguing from a very traditional perspective. The salvific work of Jesus as Christ was achieved through satisfying the demands of the divine law by which humanity stood condemned. From his infancy, through his private life and public ministry, culminating in betrayal and death, the Savior's utter obedience completed the purchase of redemption. As human, Jesus fulfilled the law and satisfied its every demand, thus manifesting the central Christian virtues; as divine, Christ thereby completed the purchase of redemption. This construction of the work of Jesus Christ begins so early in the Christian movement that it is embedded in its scriptures. Modern interpretations which significantly qualify or enlarge it chiefly came to flower only in the nineteenth- and twentieth-century liberal theological programs. In his interpretation of the second great and central period, then, Edwards must be counted as basically in accord with tradition.</w:t>
      </w:r>
    </w:p>
    <w:p>
      <w:pPr>
        <w:pStyle w:val="BodyText"/>
      </w:pPr>
      <w:r>
        <w:t xml:space="preserve">It is in the interpretation of the third, and yet to be completed, period that Edwards is less securely orthodox and traditional. In the broadly catholic tradition, East and West, emphasis was given to the church as an institution that would preserve the means of salvation and offer them to humanity. In this view, the church would itself be taken up in the last judgment and united to God forever, an emphasis echoed by Edwards. He reflected even more directly, however, the alternative position espoused by some medieval heretics and the Protestants that the biblical prophecies made available the divine plan for concluding the sojourn of humanity on earth. In particular, this approach entailed claiming to understand the significance of the bizarre symbols and striking imagery in Daniel and especially in the book of Revelation. In looking for a blow to Satan and expecting a millennial period of felicity for the saints before a final apostasy and the last judgment at the end of time, Edwards espoused positions that had, in their </w:t>
      </w:r>
      <w:r>
        <w:rPr>
          <w:i/>
          <w:iCs/>
        </w:rPr>
        <w:t xml:space="preserve">form</w:t>
      </w:r>
      <w:r>
        <w:t xml:space="preserve"> at least, been codified only in his recent past. Whereas his interpretations of the first two periods were conservative, his construction of the third was comparatively innovative.</w:t>
      </w:r>
    </w:p>
    <w:p>
      <w:pPr>
        <w:pStyle w:val="SourcePage"/>
      </w:pPr>
      <w:r>
        <w:t xml:space="preserve">[p. 043]</w:t>
      </w:r>
    </w:p>
    <w:p>
      <w:pPr>
        <w:pStyle w:val="BodyText"/>
      </w:pPr>
      <w:r>
        <w:t xml:space="preserve">This search beneath the surface narrative to identify different substructures for the three basic periods suggests that additional probing might disclose a fundamental level, at which there is a unity of the whole. In Edwards' view, what links secured the events of Christian history to the stages of Israel's experience? How did he relate the compelling clarity of the central christic period to the mixed and Confused first period, or to the frankly ambiguous third? To raise this issue directs attention to the basic terms by means of which he achieves unity: first, a reliance upon, and appropriation of, the figural tradition of interpreting the Old Testament and the New; second, the specification of this tradition in typology; and finally, the expansion of claims made in its name. This dynamic substratum supports both the discreteness of the several periods and the narrative unity of the whole in the Redemption Discourse.</w:t>
      </w:r>
    </w:p>
    <w:p>
      <w:pPr>
        <w:pStyle w:val="BodyText"/>
      </w:pPr>
      <w:r>
        <w:t xml:space="preserve">As early Christianity laid claim to the ancient Jewish scriptures as its own, the issue of their interpretation necessarily came to the fore. Erich Auerbach has been especially influential in calling attention to the importance of figuralism as a means of understanding a development that deeply affected Western literature. He proposed that figural interpretation "establishes a connection between two events or persons in such a way that the first signifies not only itself but also the second, while the second involves or fulfills the first. The two poles of a figure are separated in time, but both, being real events or persons, are within temporality."</w:t>
      </w:r>
      <w:r>
        <w:rPr>
          <w:rStyle w:val="FootnoteReference"/>
        </w:rPr>
        <w:footnoteReference w:id="87"/>
      </w:r>
      <w:r>
        <w:t xml:space="preserve"> The linkage between them has nothing to do with temporal or causal considerations, that is to say, juxtaposition or connection in space or time. Rather,</w:t>
      </w:r>
    </w:p>
    <w:p>
      <w:pPr>
        <w:pStyle w:val="BlockQuote"/>
      </w:pPr>
      <w:r>
        <w:t xml:space="preserve">Both occurrences are … linked to Divine Providence, which alone is able to devise such a plan of history and supply the key to its understanding.… The temporal and causal … connection of occurrences is dissolved; the here and now is no longer a mere link in an earthly chain of events, it is simultaneously something which has always been, and which will be fulfilled in the future; and strictly, in the eyes of God, it is something eternal, something omni-temporal, something already consummated in the realm of fragmentary earthly event.</w:t>
      </w:r>
      <w:r>
        <w:rPr>
          <w:rStyle w:val="FootnoteReference"/>
        </w:rPr>
        <w:footnoteReference w:id="88"/>
      </w:r>
    </w:p>
    <w:p>
      <w:pPr>
        <w:pStyle w:val="SourcePage"/>
      </w:pPr>
      <w:r>
        <w:t xml:space="preserve">[p. 044]</w:t>
      </w:r>
    </w:p>
    <w:p>
      <w:pPr>
        <w:pStyle w:val="BodyText"/>
      </w:pPr>
      <w:r>
        <w:t xml:space="preserve">In such a perspective we see at once that while the three periods of Edwards' "history" of the Work of Redemption were separate and discrete, they nevertheless had a deep unity and formed a whole in terms of the figural tradition and its representation of reality. More exactly, Edwards made use of a specific development of that tradition in terms of typology, an ancient literary strategy that had become especially significant again since the sixteenth century in Protestant, and in particular English Protestant, circles.</w:t>
      </w:r>
      <w:r>
        <w:rPr>
          <w:rStyle w:val="FootnoteReference"/>
        </w:rPr>
        <w:footnoteReference w:id="89"/>
      </w:r>
    </w:p>
    <w:p>
      <w:pPr>
        <w:pStyle w:val="BodyText"/>
      </w:pPr>
      <w:r>
        <w:t xml:space="preserve">One hallmark of the Protestant revolt in early sixteenth-century Northern European cultures was rejection of the kind of exegesis that had flourished under Roman Catholicism. The medieval context produced a multilevel approach to the interpretation of Scripture, particularly as a means of dealing with its great variety (and indeed the outright disjunction between its parts). In general, allegorization was the means to this end. If a mundane event stood for or symbolized something else, the way was open to deal effectively with the hard places of Scripture. Many versions of this approach had developed over the centuries. The most widely known formulation posited four levels in the biblical text—the basic literal or historical level, the allegorical (a reading usually heavily Christological), the tropological (a figurative and/or moral level of meaning), and the anagogical (interpretation of the text in terms of an ultimate or spiritual sense). That this approach—and those more complex ones that attained less currency or recognition—was ingenious and effective is beyond dispute. What concerns us, however, is the reaction </w:t>
      </w:r>
      <w:r>
        <w:rPr>
          <w:i/>
          <w:iCs/>
        </w:rPr>
        <w:t xml:space="preserve">against</w:t>
      </w:r>
      <w:r>
        <w:t xml:space="preserve"> this manifold interpretation of Scripture on the part of Luther, Calvin, and their followers. As if with a single voice the Protestants called for a return to the literal or historical interpretation of Scripture as the only construction that God had intended.</w:t>
      </w:r>
      <w:r>
        <w:rPr>
          <w:rStyle w:val="FootnoteReference"/>
        </w:rPr>
        <w:footnoteReference w:id="90"/>
      </w:r>
    </w:p>
    <w:p>
      <w:pPr>
        <w:pStyle w:val="BodyText"/>
      </w:pPr>
      <w:r>
        <w:t xml:space="preserve">The reasons why the early Protestants took this position are many, diverse, and interesting. In part, theirs was a reaction against what</w:t>
      </w:r>
    </w:p>
    <w:p>
      <w:pPr>
        <w:pStyle w:val="SourcePage"/>
      </w:pPr>
      <w:r>
        <w:t xml:space="preserve">[p. 045]</w:t>
      </w:r>
    </w:p>
    <w:p>
      <w:pPr>
        <w:pStyle w:val="BodyText"/>
      </w:pPr>
      <w:r>
        <w:t xml:space="preserve">they saw as the unwarranted elaboration of the fundamentals of the Christian religion. To them this paralleled the growth of religious orders and the extension of institutional sacraments, as well as the open-ended development of ritual. The result had been a fecund liturgical life for the church. Against this background, the Reformation was a call for a return to basics, for a revitalization of original Christianity. Further impetus for simplification came from the Protestant commitment to end the hierarchical reign of priests in the church and to elevate all Christians to be ministers of grace to each other. In such a program of reduction there was little room for the extremely complex approach to exegesis embodied in the manifold interpretation of Scripture. So Luther, Calvin, and their collaborators called for a return to Scripture's literal sense. While that attitude did not rule out the figural framework that we have already identified (for instance, Luther found the whole Bible—and he most explicitly included the Old Testament—to be the cradle of Christ), the first generation of reformers used such literary strategies with caution and restraint.</w:t>
      </w:r>
    </w:p>
    <w:p>
      <w:pPr>
        <w:pStyle w:val="BodyText"/>
      </w:pPr>
      <w:r>
        <w:t xml:space="preserve">The second generation of reformers in Switzerland, however, while maintaining the commitment to exegetical literalism, began to explore in more detail characteristically hard passages such as Canticles, certain of the Psalms, and apocalyptic sections of Scripture. In these cases belief in their literal-historical fulfillment raised difficult questions. Theodore Beza, for example, emphasized that many Old Testament persons were shadows, similitudes, or figures of Christ and his church; David, for one, became the "figure and shadow" of Christ.</w:t>
      </w:r>
      <w:r>
        <w:rPr>
          <w:rStyle w:val="FootnoteReference"/>
        </w:rPr>
        <w:footnoteReference w:id="91"/>
      </w:r>
      <w:r>
        <w:t xml:space="preserve"> Such similitudes were also thought to refer to contemporary events through the agency of the Holy Spirit. Heinrich Bullinger drew attention to apocalyptic passages in Daniel 2, Matthew 24, and Luke 21, which he thought foretold events of his own time. Furthermore, Revelation provided particular insight into the drama scheduled for the end of time and believed then to be taking place.</w:t>
      </w:r>
      <w:r>
        <w:rPr>
          <w:rStyle w:val="FootnoteReference"/>
        </w:rPr>
        <w:footnoteReference w:id="92"/>
      </w:r>
      <w:r>
        <w:t xml:space="preserve"> Thus the second generation of Protestants gave more emphasis to a typological interpretation, especially of the Old Testament, through which, among other things, Christ could be read as its fulfillment.</w:t>
      </w:r>
    </w:p>
    <w:p>
      <w:pPr>
        <w:pStyle w:val="SourcePage"/>
      </w:pPr>
      <w:r>
        <w:t xml:space="preserve">[p. 046]</w:t>
      </w:r>
    </w:p>
    <w:p>
      <w:pPr>
        <w:pStyle w:val="BodyText"/>
      </w:pPr>
      <w:r>
        <w:t xml:space="preserve">Subsequent Swiss dogmaticians explored the possibilities opened up by this systematic development of typology. Johannes Wolleb (Wollebius), for instance, explicitly used it in his </w:t>
      </w:r>
      <w:r>
        <w:rPr>
          <w:i/>
          <w:iCs/>
        </w:rPr>
        <w:t xml:space="preserve">Compendium Theologiae Christianae</w:t>
      </w:r>
      <w:r>
        <w:t xml:space="preserve"> of 1626. The Old Testament's ceremonial and its political order were believed to prefigure Christ on earth.</w:t>
      </w:r>
      <w:r>
        <w:rPr>
          <w:rStyle w:val="FootnoteReference"/>
        </w:rPr>
        <w:footnoteReference w:id="93"/>
      </w:r>
      <w:r>
        <w:t xml:space="preserve"> Late in the century, Johann Heidegger made much of the Old Testament as providing types, pronouncing in his </w:t>
      </w:r>
      <w:r>
        <w:rPr>
          <w:i/>
          <w:iCs/>
        </w:rPr>
        <w:t xml:space="preserve">Medulla Theologiae Christianae</w:t>
      </w:r>
      <w:r>
        <w:t xml:space="preserve"> (1696): "Generally speaking types are things which impinge upon the senses, ordered by God, to represent to the mind by some similitude a thing of greater moment pertaining to religion."</w:t>
      </w:r>
      <w:r>
        <w:rPr>
          <w:rStyle w:val="FootnoteReference"/>
        </w:rPr>
        <w:footnoteReference w:id="94"/>
      </w:r>
      <w:r>
        <w:t xml:space="preserve"> Francis Turretin (Turrettini), the Genevan systematizer who deeply influenced New England theology, emphasized the progressive disclosure of divine intention. His three ages of the Old Testament were in effect stages moving toward the perfect manifestation of the messiah.</w:t>
      </w:r>
      <w:r>
        <w:rPr>
          <w:rStyle w:val="FootnoteReference"/>
        </w:rPr>
        <w:footnoteReference w:id="95"/>
      </w:r>
      <w:r>
        <w:t xml:space="preserve"> In their development of Reformed theology Swiss theologians in the sixteenth and seventeenth centuries increasingly used typology—but always within a conservative framework. The types pointed to Christ and were there fulfilled. These writers seem to have restrained any inclination to expand typological reference.</w:t>
      </w:r>
    </w:p>
    <w:p>
      <w:pPr>
        <w:pStyle w:val="BodyText"/>
      </w:pPr>
      <w:r>
        <w:t xml:space="preserve">Among Scottish and English theologians, however, such an expansion of typology did begin. Scottish Covenanters especially tended to read their immediate struggles and goals in terms of apocalyptic symbols in the Bible. Here there was more than a hint of legitimating their own political actions through biblical types. The English civil struggles of the sixteenth and seventeenth centuries provided an even richer field for the luxuriant growth of claims both that scriptural symbols, events, and passages enabled the protagonists to legitimate themselves and that, indeed, they were living out (realizing) the true import of biblical revelation. This development has been helpfully chronicled by Mason Lowance in </w:t>
      </w:r>
      <w:r>
        <w:rPr>
          <w:i/>
          <w:iCs/>
        </w:rPr>
        <w:t xml:space="preserve">The Language of Canaan</w:t>
      </w:r>
      <w:r>
        <w:t xml:space="preserve">. More particularly, a significant step was taken by William Perkins, the influential Elizabethan Puritan, who made room for something like a "double literal sense." This position was then expanded far beyond</w:t>
      </w:r>
    </w:p>
    <w:p>
      <w:pPr>
        <w:pStyle w:val="SourcePage"/>
      </w:pPr>
      <w:r>
        <w:t xml:space="preserve">[p. 047]</w:t>
      </w:r>
    </w:p>
    <w:p>
      <w:pPr>
        <w:pStyle w:val="BodyText"/>
      </w:pPr>
      <w:r>
        <w:t xml:space="preserve">Perkins' original position, in the flowering of English Puritanism in the seventeenth century.</w:t>
      </w:r>
      <w:r>
        <w:rPr>
          <w:rStyle w:val="FootnoteReference"/>
        </w:rPr>
        <w:footnoteReference w:id="96"/>
      </w:r>
      <w:r>
        <w:t xml:space="preserve"> A volume by Samuel Mather of Dublin written late in the seventeenth century certainly demonstrates significant development beyond Perkins' assumptions. But Mather's is still a much less expansive use of typology than we see in Edward's writings.</w:t>
      </w:r>
      <w:r>
        <w:rPr>
          <w:rStyle w:val="FootnoteReference"/>
        </w:rPr>
        <w:footnoteReference w:id="97"/>
      </w:r>
      <w:r>
        <w:t xml:space="preserve"> The particulars of this story have been discussed extensively by Lowance.</w:t>
      </w:r>
      <w:r>
        <w:rPr>
          <w:rStyle w:val="FootnoteReference"/>
        </w:rPr>
        <w:footnoteReference w:id="98"/>
      </w:r>
    </w:p>
    <w:p>
      <w:pPr>
        <w:pStyle w:val="BodyText"/>
      </w:pPr>
      <w:r>
        <w:t xml:space="preserve">The significant point is that, in the two centuries that intervened between the first-generation reformers and Edwards' mature career, the rejection of the multiple senses of Scripture—that is, the general rejection of allegory as a tool for interpretation—remained secure as a "Protestant principle." But its place was taken, in part at least, by typology, a construction of figuralism that yoked Old Testament events and individuals to Christ as their antitype. In this way the unity of the Bible continued unchallenged, for the promise of the type was fulfilled by the great antitype, Christ. Most notable, however, was a marked expansion of the tradition of typological interpretation that occurred over time. This development enabled later Protestants, especially English Puritans and their New England descendants, to find sufficient latitude to work imaginatively with biblical materials.</w:t>
      </w:r>
    </w:p>
    <w:p>
      <w:pPr>
        <w:pStyle w:val="BodyText"/>
      </w:pPr>
      <w:r>
        <w:t xml:space="preserve">As liberating as typology was in principle for confirmed literalists, it also set a problem of how to work with the prophecies of the Old Testament that manifestly were not fulfilled in the coming of Christ. Those in the New Testament that presupposed his first coming, but pointed on the end of the world, also posed difficulties. This apocalyptic literature seems to predict events and make promises that could relate only to the end of the world. Numerous others before Edwards had taken these passages as predictive. He went a step further than many and was prepared to extend typology to utilize New Testament passages and events in the life of the Christian church as means to interpret more fully the future that the apocalyptic passages ostensibly disclosed.</w:t>
      </w:r>
    </w:p>
    <w:p>
      <w:pPr>
        <w:pStyle w:val="BodyText"/>
      </w:pPr>
      <w:r>
        <w:t xml:space="preserve">Even beyond this, Edwards was prepared to find types in the natural world. His antitype, in nature as well as in apocalyptic literature, was Christ. This meant that his understanding of nature was finally</w:t>
      </w:r>
    </w:p>
    <w:p>
      <w:pPr>
        <w:pStyle w:val="SourcePage"/>
      </w:pPr>
      <w:r>
        <w:t xml:space="preserve">[p. 048]</w:t>
      </w:r>
    </w:p>
    <w:p>
      <w:pPr>
        <w:pStyle w:val="BodyText"/>
      </w:pPr>
      <w:r>
        <w:t xml:space="preserve">determined by a Christocentric construction of the world. Without alienating him from Puritan scripturalism, it made his thought hospitable to a naturalism akin to Emerson's. Edwards did not experience these different sources of religious authority as in tension with each other—and we should not project upon him our modern sense that the worlds of culture and nature are dichotomous. But the combining of these different sources, literary and natural, made of his "history" of the Work of Redemption a remarkable combination of themes ordinarily thought by moderns to be disjunctive.</w:t>
      </w:r>
    </w:p>
    <w:p>
      <w:pPr>
        <w:pStyle w:val="BodyText"/>
      </w:pPr>
      <w:r>
        <w:t xml:space="preserve">In general, as we have seen, Edwards made use of three sources for construction of his "history" of the Work of Redemption.</w:t>
      </w:r>
      <w:r>
        <w:rPr>
          <w:rStyle w:val="FootnoteReference"/>
        </w:rPr>
        <w:footnoteReference w:id="99"/>
      </w:r>
      <w:r>
        <w:t xml:space="preserve"> One source was "Scripture history," by which he meant the Old Testament accounts detailing the creation of the world, the fall of mankind, the call of Abraham, the special relationship God developed with Israel—in sum, the "historical" account of Israel's life. In the same fashion, the New Testament canon offered accounts of the coming of Christ and the early years of the church.</w:t>
      </w:r>
    </w:p>
    <w:p>
      <w:pPr>
        <w:pStyle w:val="BodyText"/>
      </w:pPr>
      <w:r>
        <w:t xml:space="preserve">The canonical scriptures also provided a second source, namely, the prophetic literature. Some of the prophetic material, preeminently that of the Old Testament, pointed to (and was fulfilled in) subsequent episodes in the life of ancient Israel, for example, in the captivity in Babylon. Much more of it seemed to point to (and be fulfilled in) the incarnation—or even the Christian church, especially in its early years, as recorded within the scriptural canon. Finally, some prophecies pointed to the course of redemption in Christian history. In Edwards' view, such prophecy was a means to identify the final significance of events not only within but also outside the life of the church—as in the triumph of Antichrist in the ecclesiastical tyranny exercised by the bishop of Rome as well as in the victory secured by Satan in the rise of Islam. Of course, insofar as Edwards believed that the last times remained in his future, the prophetic material from Daniel and Revelation was enormously significant in discerning the "signs of the times."</w:t>
      </w:r>
    </w:p>
    <w:p>
      <w:pPr>
        <w:pStyle w:val="BodyText"/>
      </w:pPr>
      <w:r>
        <w:t xml:space="preserve">A third source for Edwards' "history" was in the secular literature that augmented scriptural accounts. Examples are the various narratives about the period between Israel's return from Babylon and the coming of the messiah and about the development of Roman dominion in the church. Edwards believed that this material was very</w:t>
      </w:r>
    </w:p>
    <w:p>
      <w:pPr>
        <w:pStyle w:val="SourcePage"/>
      </w:pPr>
      <w:r>
        <w:t xml:space="preserve">[p. 049]</w:t>
      </w:r>
    </w:p>
    <w:p>
      <w:pPr>
        <w:pStyle w:val="BodyText"/>
      </w:pPr>
      <w:r>
        <w:t xml:space="preserve">important—indeed central—to fleshing out a "history" of God's Work of Redemption. Accordingly he emphasized the spread of philosophy in antiquity (which was preparatory to the coming of Christ) and attached great significance to the political stability of the Roman empire (a pale shadow or image of the truly stable Christian kingdom that was coming into the world). Of course, noncanonical accounts also provided evidence about the workings of movements counter to the course of redemption.</w:t>
      </w:r>
    </w:p>
    <w:p>
      <w:pPr>
        <w:pStyle w:val="BodyText"/>
      </w:pPr>
      <w:r>
        <w:t xml:space="preserve">To identify the kinds of materials with which Edwards worked, however is only to recognize that they required interpretation in order to achieve that "history" of the Work of Redemption he aspired to frame. At this point the principle that was basic to his reading of Scripture became central to his literary endeavor and acted as the basis of its dynamism. As we have seen, he accepted and wholeheartedly embraced—indeed developed significantly—the typological approach to Scripture which came to him from Puritan-Protestant figural sources. The pattern of type and antitype provided the basic structure for the initial period in his "history," the preparation for the redemption that is achieved in the second period through purchase by Christ. This is easily recognized, and Edwards' was a conventional use of the approach. A conservative practitioner would have stopped using typology at this point, because it was essential to the message that Christ fulfill all the Old Testament types—if not in the earthly life, then in the resurrection and in his anticipated coming in glory. At one level Edwards operated with these assumptions. But he also moved beyond and transformed them, adapting a figural, even typological, framework for understanding the third period, that of the application of redemption. For him Old Testament types were fulfilled not only in Christ but also in those who were believers. The life of the redeemed was for him typified in the Old Testament, and he applied the types of the Old Testament much more generally than conservative exegesis allowed.</w:t>
      </w:r>
    </w:p>
    <w:p>
      <w:pPr>
        <w:pStyle w:val="BodyText"/>
      </w:pPr>
      <w:r>
        <w:t xml:space="preserve">Furthermore, Edwards detached the typological framework from its exclusive linkage to scriptural sources. He explicitly located in the events of history (not only in canonical scriptural accounts) patterns constraining both the redeemed and the rejected of God. In other words, his typology broadened to the point that paradigmatic events outside Scripture had a figural relationship to the rest of history. Again, this moved him decisively beyond a conservative typological hermeneutic.</w:t>
      </w:r>
    </w:p>
    <w:p>
      <w:pPr>
        <w:pStyle w:val="SourcePage"/>
      </w:pPr>
      <w:r>
        <w:t xml:space="preserve">[p. 050]</w:t>
      </w:r>
    </w:p>
    <w:p>
      <w:pPr>
        <w:pStyle w:val="BodyText"/>
      </w:pPr>
      <w:r>
        <w:t xml:space="preserve">Finally, Edwards stepped altogether outside history to find patterns of redemption in nature as well. Of course, he believed that these patterns were most fully disclosed in scriptural revelation, but he seems to have given them status as types even apart from that. He believed that God's redeeming relationship to humanity was imaged or shadowed in nature in rich detail, and that it presented the basic truth of human dependence upon divine glory. This step clearly marks a point of connection with Emerson. For Edwards, nature and history were not alternative sources of knowledge about the Godhead, but each one interpenetrated the other. At his hands, scriptural figures became fused with and elaborated by the images and shadows of nature, and the boundary between them ceased to exist. What remained was an interdependence through which nature and Scripture joined to reveal divine glory. It is not too much to claim that in his Redemption Discourse he so transformed conventional typological assumptions that the discourse became as much a celebration of the God of nature as a hymn to the Lord of history.</w:t>
      </w:r>
    </w:p>
    <w:p>
      <w:pPr>
        <w:pStyle w:val="Heading3"/>
      </w:pPr>
      <w:bookmarkStart w:name="heading_the_literary_structure_of_th" w:id="19"/>
      <w:r>
        <w:t xml:space="preserve">The Literary Structure Of The Redemption Discourse</w:t>
      </w:r>
      <w:bookmarkEnd w:id="19"/>
    </w:p>
    <w:p>
      <w:pPr>
        <w:pStyle w:val="BodyText"/>
      </w:pPr>
      <w:r>
        <w:t xml:space="preserve">Two aspects of the Redemption Discourse's narrative base immediately stand out, those that unify and those that differentiate. Unitive aspects are given in the definition of the project. Edwards' formal topic was God's Work of Redemption, that is to say, the achievement of the redemption of the world as the greatest of God's works. Unity derived directly from the divine intention that was thought to undergird that work and make it the goal of creation—a goal possibly required by the logic of the trinitarian Godhead. This unifying factor was deeply woven into Edwards' "history" through the central role of Christ. (He saw the Spirit active throughout the whole as well.) Further, the boundaries given to the subject—the fall of man and the last judgment—rendered it coextensive with human consciousness of historical existence.</w:t>
      </w:r>
    </w:p>
    <w:p>
      <w:pPr>
        <w:pStyle w:val="BodyText"/>
      </w:pPr>
      <w:r>
        <w:t xml:space="preserve">Edwards' identification of master models or patterns of replication throughout the series also provided unity. These include such things as the pattern of a river, constituting with its tributaries an integrated system; the pattern of the great tree, extending from deep roots to remote branches; the pattern formed by wheels within wheels, identified with Ezekiel's vision as a biblical source but suggesting as well clocks and possibly the gears of elementary machines; the construction of buildings, from objective through design to execution; and</w:t>
      </w:r>
    </w:p>
    <w:p>
      <w:pPr>
        <w:pStyle w:val="SourcePage"/>
      </w:pPr>
      <w:r>
        <w:t xml:space="preserve">[p. 051]</w:t>
      </w:r>
    </w:p>
    <w:p>
      <w:pPr>
        <w:pStyle w:val="BodyText"/>
      </w:pPr>
      <w:r>
        <w:t xml:space="preserve">the pattern of raising an army and conducting war. Edwards advanced these great models or dynamic systemic unities taken from the world of nature and human communities as analogues for the whole of the divine Work of Redemption, and also as a means to identify parts within it.</w:t>
      </w:r>
    </w:p>
    <w:p>
      <w:pPr>
        <w:pStyle w:val="BodyText"/>
      </w:pPr>
      <w:r>
        <w:t xml:space="preserve">Edwards' notebook of essay-entries known as "Images or Shadows of Divine Things" provides important background to his use of these master models for comprehending God's relation to the world.</w:t>
      </w:r>
      <w:r>
        <w:rPr>
          <w:rStyle w:val="FootnoteReference"/>
        </w:rPr>
        <w:footnoteReference w:id="100"/>
      </w:r>
      <w:r>
        <w:t xml:space="preserve"> A series of entries which have been dated to late 1738 and early 1739 (when he was composing the Redemption Discourse) indicate that he was systematically thinking through these analogues.</w:t>
      </w:r>
      <w:r>
        <w:rPr>
          <w:rStyle w:val="FootnoteReference"/>
        </w:rPr>
        <w:footnoteReference w:id="101"/>
      </w:r>
      <w:r>
        <w:t xml:space="preserve"> No. 77 concerns the "wonderfull analogy between what is seen in RIVERS.… [and] how all things tend to one, even to God, the boundless ocean." No. 78 observes, "We see the reverse in TREES.… all comes from one common stock and is distributed into innumerable branches." No. 81 develops the analogy between a great empire and God's conduct of history: "The Roman triumph was a remarkable type of Christ's ascension." No. 89 likens "The providence of God [to] … a wheel, or a machine composed of wheels." That these entries coincide with use of these analogues in Edwards' account of the Work of Redemption not only indicates the coherence of his intellectual life but also suggests how his theological and literary reflections directly informed composition of the Redemption Discourse.</w:t>
      </w:r>
    </w:p>
    <w:p>
      <w:pPr>
        <w:pStyle w:val="BodyText"/>
      </w:pPr>
      <w:r>
        <w:t xml:space="preserve">No less does Edwards emphasize the differentiation of the narrative base. That base has a remarkably rich and variegated texture. The "history" of the Work of Redemption necessarily falls into the three periods already discussed. The first is one of preparation and extends from the fall of man to the coming of Christ. The second, so much the shortest in a human framework but much the most fundamental in theological terms, is that of the incarnation of Christ, during which the purchase of redemption was secured. The third extends from Christ's resurrection to the end of the world, and during it the Work of Redemption is finally and fully accomplished. While Christ and the Holy Spirit are both central in all three periods, their relation to each is different. The differentiation of the Work of</w:t>
      </w:r>
    </w:p>
    <w:p>
      <w:pPr>
        <w:pStyle w:val="SourcePage"/>
      </w:pPr>
      <w:r>
        <w:t xml:space="preserve">[p. 052]</w:t>
      </w:r>
    </w:p>
    <w:p>
      <w:pPr>
        <w:pStyle w:val="BodyText"/>
      </w:pPr>
      <w:r>
        <w:t xml:space="preserve">Redemption carries down into the special characteristics of each period.</w:t>
      </w:r>
    </w:p>
    <w:p>
      <w:pPr>
        <w:pStyle w:val="BodyText"/>
      </w:pPr>
      <w:r>
        <w:t xml:space="preserve">The first period is defined by giving a Christian rendering to the scriptural account of Israel's history. Edwards' six stages in this history provided a narrative that progressed toward the coming of Christ. Each stage was discrete, but each also incorporated what had gone before and focused it anew in a clearer delineation of the Work of Redemption. The theological achievements of each stage set it off and suggested interconnections between stages.</w:t>
      </w:r>
    </w:p>
    <w:p>
      <w:pPr>
        <w:pStyle w:val="BodyText"/>
      </w:pPr>
      <w:r>
        <w:t xml:space="preserve">From the fall of humanity to the flood, a beginning was made on the whole work, and the end or purpose was also revealed. Christ began his role as mediator. The gospel was disclosed. Central salvific ceremonies began (especially sacrifice as a mode of worship). God began to save souls. Mankind received the Spirit repeatedly. The first saint (Enoch) was chosen; he prophesied of the coming of Christ and was at last translated to heaven. Finally, apostasy narrowed to one family the possibility for the continued existence of humanity. In Edwards' view this first dispensation disclosed the meaning of the whole. The five subsequent stages confirmed and amplified this fundamental pattern.</w:t>
      </w:r>
    </w:p>
    <w:p>
      <w:pPr>
        <w:pStyle w:val="BodyText"/>
      </w:pPr>
      <w:r>
        <w:t xml:space="preserve">From the flood to the calling of Abraham there was a fuller disclosure of the redemptive process. The theme of destruction of the enemies of God's church mingled with that of preservation of the family from which the Redeemer would come. In Noah the covenant of grace between God and man was renewed, while in the destruction of the Tower of Babel and the dispersal of the people God's interest in true religion and hostility toward false were manifested.</w:t>
      </w:r>
    </w:p>
    <w:p>
      <w:pPr>
        <w:pStyle w:val="BodyText"/>
      </w:pPr>
      <w:r>
        <w:t xml:space="preserve">The third dispensation, from the call of Abraham to the youth of Moses, introduced new redemptive themes and included moves to separate the forebears of Christ from the rest of humanity. So, too, the renewal of the covenant with Isaac and Jacob, and also the preservation of the Redeemer's family in Joseph and through the Egyptian bondage, testified to the focus of the whole redemptive process in Israel. The destruction of Sodom and Gomorrah further signaled God's general wrath. Edwards argues that in important respects this dispensation marked the beginnings of God's church, which must be in but not of the world.</w:t>
      </w:r>
    </w:p>
    <w:p>
      <w:pPr>
        <w:pStyle w:val="BodyText"/>
      </w:pPr>
      <w:r>
        <w:t xml:space="preserve">With the fourth dispensation, the invisible church was rendered visible through Israel. In the era between Moses and David, God decisively selected Israel and rejected all other peoples. That nation</w:t>
      </w:r>
    </w:p>
    <w:p>
      <w:pPr>
        <w:pStyle w:val="SourcePage"/>
      </w:pPr>
      <w:r>
        <w:t xml:space="preserve">[p. 053]</w:t>
      </w:r>
    </w:p>
    <w:p>
      <w:pPr>
        <w:pStyle w:val="BodyText"/>
      </w:pPr>
      <w:r>
        <w:t xml:space="preserve">was blessed with law and the written word of God. It was preserved through its wilderness wanderings and freshened (revived) through the Spirit. Finally it was installed in its promised land, preserved against its enemies, and blessed with a succession of prophets.</w:t>
      </w:r>
    </w:p>
    <w:p>
      <w:pPr>
        <w:pStyle w:val="BodyText"/>
      </w:pPr>
      <w:r>
        <w:t xml:space="preserve">In the dispensation which ran from David to the Babylonian captivity, Israel's life was fully elaborated as that of a visible kingdom of God, completing the demonstration of this basic pattern for the securing of human redemption. The dialectical counterpart was Israel's defeat and captivity—an outcome which made it clear that this means of redemption was inadequate. The selection of kingly rulers (David and Solomon), the erection of a holy city (Jerusalem), and the augmenting of Scripture (the historical books) all had made it evident that a great work would be accomplished through this holy priest-people. But Israel's decline and defeat showed that, however complete the pattern, redemption had not yet come. The dispensation ended with clear and full prophecies of Christ by Isaiah and the other writing prophets.</w:t>
      </w:r>
    </w:p>
    <w:p>
      <w:pPr>
        <w:pStyle w:val="BodyText"/>
      </w:pPr>
      <w:r>
        <w:t xml:space="preserve">In the final dispensation, from the captivity to the coming of Christ, it was evident that Israel remained important to the redemptive work, for example, through preservation of the family through which the Redeemer was to come, through the receiving of prophecies (especially Daniel), and through infusions of the Spirit (Ezra). This dispensation was marked as well, however, by the preparation of the Gentile world for the Redeemer's arrival. The destruction of the Persian empire and the emergence of the Greek led to a universal language by means of which Israel's treasure could be offered to the world. The florescence of learning and philosophy paved the way for the dissemination of the message of redemption. And the peaceful rule of Rome quieted the turmoil of the world so that the Redeemer might come.</w:t>
      </w:r>
    </w:p>
    <w:p>
      <w:pPr>
        <w:pStyle w:val="BodyText"/>
      </w:pPr>
      <w:r>
        <w:t xml:space="preserve">Edwards set out the grand design of the first period of his "historical" account in these terms. We will return to it to note how he uses literary strategies to increase the significance of this period. But the organization of each of the remaining two periods of the "history" differed from that of the first.</w:t>
      </w:r>
    </w:p>
    <w:p>
      <w:pPr>
        <w:pStyle w:val="BodyText"/>
      </w:pPr>
      <w:r>
        <w:t xml:space="preserve">The middle period, while much the briefest and in some respects least rich phenomenally, is the central point, the pivot on which all turned. The temporal compass of the second period is the life of Christ, from his birth to his death. In treating this period, Edwards took it as a whole and did not use temporal distinctions to control his</w:t>
      </w:r>
    </w:p>
    <w:p>
      <w:pPr>
        <w:pStyle w:val="SourcePage"/>
      </w:pPr>
      <w:r>
        <w:t xml:space="preserve">[p. 054]</w:t>
      </w:r>
    </w:p>
    <w:p>
      <w:pPr>
        <w:pStyle w:val="BodyText"/>
      </w:pPr>
      <w:r>
        <w:t xml:space="preserve">account. For example, he might have explored the episodes of the private life which preceded the events of the public ministry. Instead, he framed the account in two sections. The first considered the incarnation, and particularly its theological necessity. Edwards essentially argued that the course of redemption traced in the first period required this Christ as its outcome. Christ as God-man was the natural completion of the preparation for redemption in Israel's history.</w:t>
      </w:r>
    </w:p>
    <w:p>
      <w:pPr>
        <w:pStyle w:val="BodyText"/>
      </w:pPr>
      <w:r>
        <w:t xml:space="preserve">The second section of Edwards' treatment of the middle period concerned how it was that Christ purchased redemption. What transactions accomplished this outcome? Edwards argued with relative brevity that through suffering and humiliation Christ satisfied divine justice, while through obedience and righteousness he merited happiness. So redemption rested upon both fulfilling justice and earning happiness. These two aspects are linked, indeed fused, in the discussion. Redemption was not to be understood as simply a return to the status quo ante, the conditions obtaining before the fall. Rather, Christ's purchase entailed a new creation, a new life in and with God. The work of Christ was seen as latent in the preceding period—that of the Old Testament—and patent for the following one—the life of the redeemed community in the Christian era.</w:t>
      </w:r>
    </w:p>
    <w:p>
      <w:pPr>
        <w:pStyle w:val="BodyText"/>
      </w:pPr>
      <w:r>
        <w:t xml:space="preserve">As important as this central period was—it is the nexus of the whole—Edwards treated it in three sermons only, and he applied it in a fourth. What deserves attention is his high and conventional Christology. In this he stood securely in the Calvinist tradition, and his Christocentric position is evident. He avoided the minutiae of federal theology, although he did explicitly identify covenantal aspects of the Old Testament materials. Finally, he did not attempt to exploit the human figure, Jesus, in subjective terms. While Christ manifested certain virtues as a part of his obedience, these were not significant as a pattern for faithful believers. Rather they were the means of securing the Work of Redemption. Edwards' second period was thus entirely dominated by his theological construction of the work of Christ in the purchase of redemption.</w:t>
      </w:r>
    </w:p>
    <w:p>
      <w:pPr>
        <w:pStyle w:val="BodyText"/>
      </w:pPr>
      <w:r>
        <w:t xml:space="preserve">From Edwards' perspective, redemption was assured by the close of the second period. The third period runs from the resurrection to the end of the world. In it he returned to a framework that is broadly based on events and organized as a narrative. But his account of the accomplishing of redemption was not simply a counterpart or mirror image of the preparation for it so thoroughly traced during the first period. While it does have a strong sequential cast, his exposition</w:t>
      </w:r>
    </w:p>
    <w:p>
      <w:pPr>
        <w:pStyle w:val="SourcePage"/>
      </w:pPr>
      <w:r>
        <w:t xml:space="preserve">[p. 055]</w:t>
      </w:r>
    </w:p>
    <w:p>
      <w:pPr>
        <w:pStyle w:val="BodyText"/>
      </w:pPr>
      <w:r>
        <w:t xml:space="preserve">of this period made use of certain other patterns as well. First, the resurrection of Christ established that the purchase was done, and its completion or accomplishment (centering in the church) would necessarily follow. For Edwards this was best understood through an analogy: as Christ, the God-man, came through and into Israel, the resurrected Christ would come to and for the church. Second, this construction served to shift the narrative to focus on the church as Christ's kingdom. Edwards brings into play a twofold distribution of the church's life. With the ascension of Christ the church would continue under grace until his return: with the appearance of Christ for the last judgment, the church would enter its life in glory.</w:t>
      </w:r>
    </w:p>
    <w:p>
      <w:pPr>
        <w:pStyle w:val="BodyText"/>
      </w:pPr>
      <w:r>
        <w:t xml:space="preserve">This twofold distribution in turn yields to a fourfold set of events, the first three a triad of suffering for the church under grace, the last a state of peace coincident with the church in glory's preparing to take leave of and transcend the earth. The four events have a complex relationship beyond their order in time. Each of the first three foreshadows the fourth. Each improves on any that precede it. Divine providence operates so as to connect them with each other. Finally, together they form one great comprehensive event, the completion of redemption.</w:t>
      </w:r>
    </w:p>
    <w:p>
      <w:pPr>
        <w:pStyle w:val="BodyText"/>
      </w:pPr>
      <w:r>
        <w:t xml:space="preserve">The first event, the destruction of Jerusalem, linked the establishment of the church to the end of the Old Testament dispensation given to a priest-people, a nation holy unto God. This was the comprehensive thrust of redemption through the gospel. The second event was the end of the heathen Roman empire, which opposed the gospel with superior knowledge and power. Edwards was so bold as to liken the revolution under Constantine to the coming of Christ. The third event will be the fall of Antichrist and the end of Satan's earthly kingdom. This event brings history to its climax and concludes Edwards' present time. He analyzes that event under four heads. First, Satan both corrupted the church with heresies and had some success in restoring paganism. Second, Antichrist rose within the church in the West in the growth of the papacy, paralleled in the East by the growth of Islam. The true church had a marginal existence under these circumstances until, third, the Reformation reasserted the claims of the gospel. Edwards viewed the intervening two hundred years, to his own time, as a mixture of gospel successes and failures. The fourth division extends from his present time to the fall of Antichrist. This period will climax with the coming of the kingdom of heaven on earth, a state of peace and prosperity for the redeemed</w:t>
      </w:r>
    </w:p>
    <w:p>
      <w:pPr>
        <w:pStyle w:val="SourcePage"/>
      </w:pPr>
      <w:r>
        <w:t xml:space="preserve">[p. 056]</w:t>
      </w:r>
    </w:p>
    <w:p>
      <w:pPr>
        <w:pStyle w:val="BodyText"/>
      </w:pPr>
      <w:r>
        <w:t xml:space="preserve">community which will last a thousand years, then be abruptly terminated by a final great apostasy before judgment day.</w:t>
      </w:r>
    </w:p>
    <w:p>
      <w:pPr>
        <w:pStyle w:val="BodyText"/>
      </w:pPr>
      <w:r>
        <w:t xml:space="preserve">The fourth event will be a summation of all these foregoing events as the church comes into glory. Christ will appear with angels, the dead will be raised, and saints will be spiritually transformed as, with Christ, the church is delivered into eternal blessedness. Concurrently the wicked will suffer their fates. Thus God's Work of Redemption will be completed, and its "history" will end.</w:t>
      </w:r>
    </w:p>
    <w:p>
      <w:pPr>
        <w:pStyle w:val="BodyText"/>
      </w:pPr>
      <w:r>
        <w:t xml:space="preserve">As strong and compelling as this narrative base turns out to be in its unitive and differential aspects, it does not exhaust the text. The literary strategies already identified are extraordinarily significant in giving texture and a complex content to the whole, and they transform what might be taken simply as a predominantly linear narrative into an analysis that comprehends all of time because it makes the temporal process a function of a far grander whole. In crucial respects eternity actually is brought within time (at points during the "history" and at its completion), and time is endowed with significance by being taken up into eternity. Above all, the Work of Redemption as the objective or divine side of the process invests the subjective or human side with cosmic significance.</w:t>
      </w:r>
    </w:p>
    <w:p>
      <w:pPr>
        <w:pStyle w:val="BodyText"/>
      </w:pPr>
      <w:r>
        <w:t xml:space="preserve">Edwards appropriated many different literary devices to effect interconnections within and between the fundamental segments in the narrative. The frequent implicit and explicit use of these devices gives the text great richness. The significance of the analysis of literary strategies is only in part that it is required for a full understanding of the text. Appreciation of these strategies is also necessary to reach an understanding of how, and why, Edwards' "history" proved so influential. Its special achievement was that it set up exceptionally long-lived and significant resonances within the popular culture.</w:t>
      </w:r>
    </w:p>
    <w:p>
      <w:pPr>
        <w:pStyle w:val="BodyText"/>
      </w:pPr>
      <w:r>
        <w:t xml:space="preserve">The broadest literary strategy knitting together the periodized segments of the "history" is emphasis upon resemblances between various episodes in the Work of Redemption. In this way Edwards argued for the coherence of the divine administration of the world. At a very general level this strategy includes emphasizing the linkage between the simultaneous growth or expansion of Satan's power and the purification of Christ's church and kingdom. This pattern is implicit in the aftermath of the fall and appears again and again right up to the last apostasy at the end of the millennium. A comparable pattern, repeatedly identified by Edwards, is that of revival, which occurs in the periods when Edwards charts influxes of the Spirit.</w:t>
      </w:r>
    </w:p>
    <w:p>
      <w:pPr>
        <w:pStyle w:val="SourcePage"/>
      </w:pPr>
      <w:r>
        <w:t xml:space="preserve">[p. 057]</w:t>
      </w:r>
    </w:p>
    <w:p>
      <w:pPr>
        <w:pStyle w:val="BodyText"/>
      </w:pPr>
      <w:r>
        <w:t xml:space="preserve">Like the wave action of an advancing tide, Spirit infusions recede and spiritual gains give way as consolidation occurs before a new advance takes place. Edwards makes even a segmented, differentiated process express one divine administration.</w:t>
      </w:r>
    </w:p>
    <w:p>
      <w:pPr>
        <w:pStyle w:val="BodyText"/>
      </w:pPr>
      <w:r>
        <w:t xml:space="preserve">As already mentioned, Edwards repeatedly uses the notion of shadows and images as a more specific literary device to connect events in the various periods of his study. An example or two will make this point. He holds that the Jewish church was at its highest external glory under Solomon. As such it "shadowed forth" the kingdom of Christ. This concept serves to connect the pre- and post-incarnational periods and to suggest how the latter, like the former, would be brought into being out of the materials of the Christian dispensation. In a comparable argument, he proposes that the earthly achievement of peace under the rule of the Roman empire is the (pale) image of the harmonious world of the millennium. Through use of such analogies he suggests the coherent impulse lying behind the whole of the drama of redemption and binding together otherwise unrelated actions. His preoccupation with shadows and images is attested by the separate notebook he kept, identified as an independent collection only forty years ago.</w:t>
      </w:r>
      <w:r>
        <w:rPr>
          <w:rStyle w:val="FootnoteReference"/>
        </w:rPr>
        <w:footnoteReference w:id="102"/>
      </w:r>
      <w:r>
        <w:t xml:space="preserve"> It is clear from this notebook that he thought the natural world, no less than historical events, capable of construction in this way. Turned in a philosophical direction, of course, this meant that he thought the Godhead was making use of the created world to communicate with the human subjects of redemption. At its limit this insight became the epistemological anchor for understanding God's work of redemption.</w:t>
      </w:r>
    </w:p>
    <w:p>
      <w:pPr>
        <w:pStyle w:val="BodyText"/>
      </w:pPr>
      <w:r>
        <w:t xml:space="preserve">Edwards identifies another degree of interconnectedness within the Scriptures by typological exegesis. Recent literary criticism has shown that this strategy developed, especially within the English Puritan tradition, as a means of elaborating upon the literal sense of Scripture which remained when the Protestant reformers abandoned the theory that there were many levels of meaning within the biblical text.</w:t>
      </w:r>
      <w:r>
        <w:rPr>
          <w:rStyle w:val="FootnoteReference"/>
        </w:rPr>
        <w:footnoteReference w:id="103"/>
      </w:r>
      <w:r>
        <w:t xml:space="preserve"> The conventional scheme posited, as we have seen, additional levels or frameworks of interpretation—allegorical, tropological, and anagogical. This fourfold pattern or variations of it, which sometimes established numerous other levels as well, were taken by the Protestants as evidence for the corruption of the Christian tradition by the Roman-dominated</w:t>
      </w:r>
    </w:p>
    <w:p>
      <w:pPr>
        <w:pStyle w:val="SourcePage"/>
      </w:pPr>
      <w:r>
        <w:t xml:space="preserve">[p. 058]</w:t>
      </w:r>
    </w:p>
    <w:p>
      <w:pPr>
        <w:pStyle w:val="BodyText"/>
      </w:pPr>
      <w:r>
        <w:t xml:space="preserve">church. But in directing attention back to the literal or historical sense of Scripture, of course, the Protestants faced the challenge of bringing order to the richness and confusion of the writing of ancient Israel that they took to be sacred.</w:t>
      </w:r>
    </w:p>
    <w:p>
      <w:pPr>
        <w:pStyle w:val="BodyText"/>
      </w:pPr>
      <w:r>
        <w:t xml:space="preserve">By insisting that the Old Testament foreshadowed Christ, Puritans took the decisive step of positing that Christ could be found in these materials. And through return to a mode of interpretation as old as Christianity itself, typology, the Protestant tradition (especially in England and Scotland) embarked in its own way on the projection of meaning upon the Scriptures. In particular, typology posited individuals and events in the Old Testament as types of Christ—distinct, if latent, images—that were developed or revealed by Christ himself. This device served to uncover meaning in the Old Testament and to elaborate and enrich the New. In rigorous versions of typology, types referred only to Christ. Looser constructions permitted reference to the church or redemption-related incidents. Edwards clearly accepted this general framework, and he devoted great energies to arranging typological readings of the Scriptures.</w:t>
      </w:r>
    </w:p>
    <w:p>
      <w:pPr>
        <w:pStyle w:val="BodyText"/>
      </w:pPr>
      <w:r>
        <w:t xml:space="preserve">At the looser end of the typological spectrum, Edwards interpreted the flood broadly, as a type of Christian baptism. While baptism is rendered a ceremony through the antitype of Christ's submission to John the Baptist, Edwards' reference was clearly to its location in the church as a continuing institution. He held that God's action at Mount Sinai was a type of the rule of law and, as such, was taken up in the law-gospel polemic derived from Paul. In this its typological function was negative—it showed a rejected means of salvation. Again, the exodus was offered as a type of the church, as was Jerusalem. In these instances, of course, the identification of the church with Christ is very strong, but still, in a technical sense, the antitype was not Christ but his corporate extension, the church. Joshua and the conquest of Canaan were held to be types of redemption. This is a still broader antitype. Finally, Edwards proposed that the skins in which Adam and Eve clothed themselves in the Garden of Eden to hide their nakedness were types of the righteousness of Christ in which Christians clothe themselves.</w:t>
      </w:r>
    </w:p>
    <w:p>
      <w:pPr>
        <w:pStyle w:val="BodyText"/>
      </w:pPr>
      <w:r>
        <w:t xml:space="preserve">In these and numerous other cases, Edwards identified Old Testament incidents and events as types of redemption through Christ. Reference to Christ is not absent—its presence is critical to establishing the antitype—but the antitype points more specifically to aspects of the church, or the life of Christians, than to Christ and his work</w:t>
      </w:r>
    </w:p>
    <w:p>
      <w:pPr>
        <w:pStyle w:val="SourcePage"/>
      </w:pPr>
      <w:r>
        <w:t xml:space="preserve">[p. 059]</w:t>
      </w:r>
    </w:p>
    <w:p>
      <w:pPr>
        <w:pStyle w:val="BodyText"/>
      </w:pPr>
      <w:r>
        <w:t xml:space="preserve">itself. In many ways these loosely constructed types were only very little more specific than the images or shadows that have already been discussed. They do appear sufficiently distinctive as a category, however, to merit special attention. More than the shadows or the images, their reference to an aspect of the redemptive process is tied to the role of Christ as Redeemer.</w:t>
      </w:r>
    </w:p>
    <w:p>
      <w:pPr>
        <w:pStyle w:val="BodyText"/>
      </w:pPr>
      <w:r>
        <w:t xml:space="preserve">Strict typology is also used in the Redemption Discourse. The references to sacrifice in Genesis are clear types of Christ, who completed his task precisely through himself becoming the final sacrifice. This antitype is also implicit in Noah's sacrifice and the paschal lamb. Again, the temple Israel built in Jerusalem was explicitly a type of Christ's human nature, but it also served, in a broader construction, as a type of the church and of heaven. Similarly, deliverers of ancient Israel in pre-Davidic times were explicit types, for Christ as antitype was the great deliverer of Israel.</w:t>
      </w:r>
    </w:p>
    <w:p>
      <w:pPr>
        <w:pStyle w:val="BodyText"/>
      </w:pPr>
      <w:r>
        <w:t xml:space="preserve">Edwards accepted certain conventional typological formulations. He proposes at one point that there are essentially three kinds of types of Christ. One kind, the institutional, has sacrifices as the great types and Christ with his church ordinances as the clear antitype. A second kind is providential: it consists of sequences of events that find their true meaning in Christ. Here the great type was the redemption of Israel out of Egypt, which finds its antitype in Christ's redeeming his church. The third kind is personal. Here David represented the fullest or most exclusive type of Christ; David as the king of Israel who brought integrity, peace, and prosperity to Israel. So Christ as antitype fulfills the Davidic type—as well as those personal types represented by Joshua, Moses, and Solomon among others.</w:t>
      </w:r>
    </w:p>
    <w:p>
      <w:pPr>
        <w:pStyle w:val="BodyText"/>
      </w:pPr>
      <w:r>
        <w:t xml:space="preserve">Through strict typological exegesis even more than through the looser version, Edwards builds up interconnections between the Old Testament and the several periods of redemption that go beyond even resemblances, shadows, and images in developing levels of meaning critical to portraying the Work of Redemption. Although the narrative is linear, the layered applications of typology make contiguous, indeed contemporaneous, signals and signposts of the Work of Redemption that otherwise would be discrete.</w:t>
      </w:r>
    </w:p>
    <w:p>
      <w:pPr>
        <w:pStyle w:val="BodyText"/>
      </w:pPr>
      <w:r>
        <w:t xml:space="preserve">As we might expect, Edwards uses the type-antitype framework extensively with respect to the first four of the periods into which the Old Testament is divided. From the fall through the establishment of Israel and the enrichment of her life, virtually all events can be construed as pointing directly to Christ. By the same token, the New</w:t>
      </w:r>
    </w:p>
    <w:p>
      <w:pPr>
        <w:pStyle w:val="SourcePage"/>
      </w:pPr>
      <w:r>
        <w:t xml:space="preserve">[p. 060]</w:t>
      </w:r>
    </w:p>
    <w:p>
      <w:pPr>
        <w:pStyle w:val="BodyText"/>
      </w:pPr>
      <w:r>
        <w:t xml:space="preserve">Testament accounts of Christ are implicitly antitypical. Even when not made explicit, the types (shadows, images, and so forth) that have been identified give definition to the whole in outline and in particular. With the sixth Old Testament period, the captivity of Israel in Babylon, more emphasis is given to another literary strategy, the role of prophecy in pointing to Christ—and beyond, to the end of the world. Prophets are types of Christ in foreshadowing the full disclosure of the eternal Word and world. But they also foreshadow Christ and his specific coming. These two functions are closely related: through the prophet (for example, Ezra) the Spirit of God is poured out, an action which stops with Christ's incarnation. The principle of explicit witness through the Spirit punctuates the earlier periods of the Old Testament. In the very first period of the Old Testament the Spirit is poured out on Enos. In Enoch a prophet of Christ is translated in the body to heaven. The principle of Spirit witness or presence becomes increasingly important in the third period (from the resurrection of Christ to the end of the world). There the Spirit is the great agent through whom the Work of Redemption—which Christ has finished—is developed and completed. In his exposition of this period, Edwards stresses how "history" confirms the prophetic schema which is fully given again in the early church, especially in Revelation. With the last stage—from Edwards' present to the end of the world—his account becomes wholly dependent upon the Spirit's utterances. The logic of this position is that prophecy becomes as pronounced in the last great period of the "history" as shadows, images, and types were in the first, but nowhere does he insist that these instruments are confined to certain periods or dispensations.</w:t>
      </w:r>
    </w:p>
    <w:p>
      <w:pPr>
        <w:pStyle w:val="BodyText"/>
      </w:pPr>
      <w:r>
        <w:t xml:space="preserve">We have already taken note of the role prophecy plays in the Old Testament dispensation as the manifestation of the Spirit. No less do types occasionally appear after Christ, but now they are used more loosely. Strictly, a type can point only toward an antitype in whose coming it is dissolved or fulfilled. But, to cite one example, Edwards identifies the revolution of the church in Constantine's era as a type of the day of judgment. Occasional instances make it clear that he uses typology as much as other devices throughout all three periods of his "history."</w:t>
      </w:r>
    </w:p>
    <w:p>
      <w:pPr>
        <w:pStyle w:val="BodyText"/>
      </w:pPr>
      <w:r>
        <w:t xml:space="preserve">The literary strategy that completes this series ties together the whole "history." Edwards very occasionally declares that, beyond any outpouring of the Spirit, Christ was actually present among his people in manifestations to Israel. No less does he assume that Christ is</w:t>
      </w:r>
    </w:p>
    <w:p>
      <w:pPr>
        <w:pStyle w:val="SourcePage"/>
      </w:pPr>
      <w:r>
        <w:t xml:space="preserve">[p. 061]</w:t>
      </w:r>
    </w:p>
    <w:p>
      <w:pPr>
        <w:pStyle w:val="BodyText"/>
      </w:pPr>
      <w:r>
        <w:t xml:space="preserve">present in his church among the faithful in the Christian era. In this assumption Edwards curves the straight line of his scheme around itself, so that Christ becomes present throughout "history." The basic images (the flowing of a river, the growing of a tree, the interconnection of wheels, the building of a structure, the conduct of a military campaign) express this same point in other ways. Christ </w:t>
      </w:r>
      <w:r>
        <w:rPr>
          <w:i/>
          <w:iCs/>
        </w:rPr>
        <w:t xml:space="preserve">is</w:t>
      </w:r>
      <w:r>
        <w:t xml:space="preserve"> redemption. Redemption </w:t>
      </w:r>
      <w:r>
        <w:rPr>
          <w:i/>
          <w:iCs/>
        </w:rPr>
        <w:t xml:space="preserve">is</w:t>
      </w:r>
      <w:r>
        <w:t xml:space="preserve"> Christ.</w:t>
      </w:r>
    </w:p>
    <w:p>
      <w:pPr>
        <w:pStyle w:val="BodyText"/>
      </w:pPr>
      <w:r>
        <w:t xml:space="preserve">The Redemption Discourse must be recognized as, at least implicitly a much more thoroughly developed literary document than has normally been thought. It may be more usefully compared with classical literary constructs than with traditional historical accounts like Cotton Mather's </w:t>
      </w:r>
      <w:r>
        <w:rPr>
          <w:i/>
          <w:iCs/>
        </w:rPr>
        <w:t xml:space="preserve">Magnalia</w:t>
      </w:r>
      <w:r>
        <w:t xml:space="preserve"> on the one hand or Bancroft's </w:t>
      </w:r>
      <w:r>
        <w:rPr>
          <w:i/>
          <w:iCs/>
        </w:rPr>
        <w:t xml:space="preserve">History of the United States</w:t>
      </w:r>
      <w:r>
        <w:t xml:space="preserve"> on the other. In this sense Herman Melville's </w:t>
      </w:r>
      <w:r>
        <w:rPr>
          <w:i/>
          <w:iCs/>
        </w:rPr>
        <w:t xml:space="preserve">Moby-Dick</w:t>
      </w:r>
      <w:r>
        <w:t xml:space="preserve"> may stand in as close a kinship to it as any other American text. The literary characteristics of the Redemption Discourse also help to explain the near-paradox one can see in conventional assessments. The enormous range and reach of the Discourse and its impact upon popular culture have been clear, but the materials of the book itself have appeared to be conventional and, philosophically speaking, scarcely worthy of a Jonathan Edwards. Viewing the Redemption Discourse as a literary construct, however, makes sense of the discrepant estimates of its importance.</w:t>
      </w:r>
    </w:p>
    <w:p>
      <w:pPr>
        <w:pStyle w:val="Heading3"/>
      </w:pPr>
      <w:bookmarkStart w:name="heading_the_projected_revision_of_th" w:id="20"/>
      <w:r>
        <w:t xml:space="preserve">The Projected Revision Of The Redemption Discourse</w:t>
      </w:r>
      <w:bookmarkEnd w:id="20"/>
    </w:p>
    <w:p>
      <w:pPr>
        <w:pStyle w:val="BodyText"/>
      </w:pPr>
      <w:r>
        <w:t xml:space="preserve">The literary characteristics of the Redemption Discourse clearly suggest that we can see it as a proto-treatise. Its form indicates that Edwards intended from the outset so to develop it. Recognizing its strengths as a literary document, and in particular the strategies its author deployed in its design and composition, compels us to ask how he would have revised and recast the project had he lived. There is no doubt about its centrality to his sense of his work as an author. Wilson Kimnach, who has studied Edwards' literary techniques intensively, believes he viewed it as the culmination of his work.</w:t>
      </w:r>
      <w:r>
        <w:rPr>
          <w:rStyle w:val="FootnoteReference"/>
        </w:rPr>
        <w:footnoteReference w:id="104"/>
      </w:r>
      <w:r>
        <w:t xml:space="preserve"> Furthermore, he offers the intriguing suggestion that Edwards had actually sorted through his general collection of sermons with a view to identifying those he would use in this large project. Kimnach's proposal rests on the presence of a symbol he takes to stand for "Redemption" on several hundred of the well over one thousand</w:t>
      </w:r>
    </w:p>
    <w:p>
      <w:pPr>
        <w:pStyle w:val="SourcePage"/>
      </w:pPr>
      <w:r>
        <w:t xml:space="preserve">[p. 062]</w:t>
      </w:r>
    </w:p>
    <w:p>
      <w:pPr>
        <w:pStyle w:val="BodyText"/>
      </w:pPr>
      <w:r>
        <w:t xml:space="preserve">manuscript sermons.</w:t>
      </w:r>
      <w:r>
        <w:rPr>
          <w:rStyle w:val="FootnoteReference"/>
        </w:rPr>
        <w:footnoteReference w:id="105"/>
      </w:r>
      <w:r>
        <w:t xml:space="preserve"> If correct, this is further evidence that, in his last years, Edwards was marshaling his resources to construct a major treatise on the Work of Redemption.</w:t>
      </w:r>
    </w:p>
    <w:p>
      <w:pPr>
        <w:pStyle w:val="BodyText"/>
      </w:pPr>
      <w:r>
        <w:t xml:space="preserve">It does seem evident that this project was for Edwards a central (if not </w:t>
      </w:r>
      <w:r>
        <w:rPr>
          <w:i/>
          <w:iCs/>
        </w:rPr>
        <w:t xml:space="preserve">the</w:t>
      </w:r>
      <w:r>
        <w:t xml:space="preserve"> central) intellectual concern at the time of his decision to accept the presidency of the College of New Jersey. His letter to the trustees makes that clear. Indeed, in the course of that letter he provided the most comprehensive formulation of his plans that we have. It is worth reprinting this paragraph:</w:t>
      </w:r>
    </w:p>
    <w:p>
      <w:pPr>
        <w:pStyle w:val="BlockQuote"/>
      </w:pPr>
      <w:r>
        <w:t xml:space="preserve">I have had on my mind and heart, (which I long ago began, not with any view to publication,) a great work, which I call a </w:t>
      </w:r>
      <w:r>
        <w:rPr>
          <w:i/>
          <w:iCs/>
        </w:rPr>
        <w:t xml:space="preserve">History of the Work of Redemption</w:t>
      </w:r>
      <w:r>
        <w:t xml:space="preserve">, a body of divinity in an entire new method, being thrown into the form of a history; considering the affair of Christian Theology, as the whole of it, in each part, stands in reference to the great work of redemption by Jesus Christ; which I suppose to be, of all others, the grand design of God, and the </w:t>
      </w:r>
      <w:r>
        <w:rPr>
          <w:i/>
          <w:iCs/>
        </w:rPr>
        <w:t xml:space="preserve">summum</w:t>
      </w:r>
      <w:r>
        <w:t xml:space="preserve"> and </w:t>
      </w:r>
      <w:r>
        <w:rPr>
          <w:i/>
          <w:iCs/>
        </w:rPr>
        <w:t xml:space="preserve">ultimum</w:t>
      </w:r>
      <w:r>
        <w:t xml:space="preserve"> of all the divine operations and decrees; particularly considering all parts of the grand scheme, in their historical order.—The order of their existence, or their being brought forth to view, in the course of divine dispensations, or the wonderful series of successive acts and events; beginning from eternity, and descending from thence to the great work and successive dispensations of the infinitely wise God, in time, considering the chief events coming to pass in the church of God, and revolutions in the world of mankind, affecting the state of the church and the affair of redemption, which we have an account of in history or prophecy; till at last, we come to the general resurrection, last judgment, and consummation of all things; when it shall be said, </w:t>
      </w:r>
      <w:r>
        <w:rPr>
          <w:i/>
          <w:iCs/>
        </w:rPr>
        <w:t xml:space="preserve">It is done. I am Alpha and Omega</w:t>
      </w:r>
      <w:r>
        <w:t xml:space="preserve">, </w:t>
      </w:r>
      <w:r>
        <w:rPr>
          <w:i/>
          <w:iCs/>
        </w:rPr>
        <w:t xml:space="preserve">the Beginning and the End</w:t>
      </w:r>
      <w:r>
        <w:t xml:space="preserve">.—Concluding my work, with the consideration of that perfect state of things, which shall be finally settled, to last for eternity.—This history will be carried on with regard to all three worlds, heaven, earth and hell; considering the connected, successive events and alterations in each, so far as the scriptures give any light; introducing all parts of divinity in that order which is most scriptural and most natural; a method which appears to me the most beautiful and entertaining, wherein every divine doctrine will appear to the greatest advantage, in the brightest light,</w:t>
      </w:r>
    </w:p>
    <w:p>
      <w:pPr>
        <w:pStyle w:val="SourcePage"/>
      </w:pPr>
      <w:r>
        <w:t xml:space="preserve">[p. 063]</w:t>
      </w:r>
    </w:p>
    <w:p>
      <w:pPr>
        <w:pStyle w:val="BodyText"/>
      </w:pPr>
      <w:r>
        <w:t xml:space="preserve">in the most striking manner, showing the admirable contexture and harmony of the whole.</w:t>
      </w:r>
      <w:r>
        <w:rPr>
          <w:rStyle w:val="FootnoteReference"/>
        </w:rPr>
        <w:footnoteReference w:id="106"/>
      </w:r>
    </w:p>
    <w:p>
      <w:pPr>
        <w:pStyle w:val="BodyText"/>
      </w:pPr>
      <w:r>
        <w:t xml:space="preserve">In addition to this statement we have the three working notebooks that Edwards used in apparent preparation for revision. All of them were elementary efforts and suggest that the project was still fluid in his mind as the Stockbridge period came to a close. A thorough analysis of these notebooks, including attention to the dating of the most important, is published as Appendix B. The shortest (Notebook B) represents little more than such random jottings as an author might keep as he began to prepare for a serious and sustained attack on a topic.</w:t>
      </w:r>
      <w:r>
        <w:rPr>
          <w:rStyle w:val="FootnoteReference"/>
        </w:rPr>
        <w:footnoteReference w:id="107"/>
      </w:r>
      <w:r>
        <w:t xml:space="preserve"> The most finished (Notebook C) is basically composed of quotations or references Edwards had culled in the course of his reading; these are materials that he apparently wished to have available, especially for his treatment of the papacy.</w:t>
      </w:r>
      <w:r>
        <w:rPr>
          <w:rStyle w:val="FootnoteReference"/>
        </w:rPr>
        <w:footnoteReference w:id="108"/>
      </w:r>
      <w:r>
        <w:t xml:space="preserve"> This notebook discloses very little, if anything, about his reflections on the whole project, except that it suggests he wanted to flesh out his discussion of the Christian era. In particular, he seems to have intended a more comprehensive discussion of the corruption that, he believed, had overwhelmed the Christian church after the Constantinian settlement.</w:t>
      </w:r>
    </w:p>
    <w:p>
      <w:pPr>
        <w:pStyle w:val="BodyText"/>
      </w:pPr>
      <w:r>
        <w:t xml:space="preserve">The remaining notebook (Notebook A) is of considerable significance for the insights it gives into Edwards' plans about the project in the last years of the Stockbridge period.</w:t>
      </w:r>
      <w:r>
        <w:rPr>
          <w:rStyle w:val="FootnoteReference"/>
        </w:rPr>
        <w:footnoteReference w:id="109"/>
      </w:r>
      <w:r>
        <w:t xml:space="preserve"> This is much the roughest of the three notebooks, and perhaps it is best described as a record of his reflections upon rereading his thirty lecture-sermons with a view toward revision. In its pages he recorded ideas as they came to him and marshaled scriptural citations that seemed relevant. He also tried out and recorded his thoughts about the structure and organization of the revised project, frequently under a heading he often used in this type of writing, "method." Through these and related entries it is possible to gauge his approach to developing the Work of Redemption project.</w:t>
      </w:r>
    </w:p>
    <w:p>
      <w:pPr>
        <w:pStyle w:val="BodyText"/>
      </w:pPr>
      <w:r>
        <w:t xml:space="preserve">The first substantial entry in Notebook A represents Edwards' initial step toward an outline for the whole.</w:t>
      </w:r>
      <w:r>
        <w:rPr>
          <w:rStyle w:val="FootnoteReference"/>
        </w:rPr>
        <w:footnoteReference w:id="110"/>
      </w:r>
      <w:r>
        <w:t xml:space="preserve"> He clearly posited a first</w:t>
      </w:r>
    </w:p>
    <w:p>
      <w:pPr>
        <w:pStyle w:val="SourcePage"/>
      </w:pPr>
      <w:r>
        <w:t xml:space="preserve">[p. 064]</w:t>
      </w:r>
    </w:p>
    <w:p>
      <w:pPr>
        <w:pStyle w:val="SourcePage"/>
      </w:pPr>
      <w:r>
        <w:t xml:space="preserve">[p. 065]</w:t>
      </w:r>
    </w:p>
    <w:p>
      <w:pPr>
        <w:pStyle w:val="SourcePage"/>
      </w:pPr>
      <w:r>
        <w:t xml:space="preserve">[p. 066]</w:t>
      </w:r>
    </w:p>
    <w:p>
      <w:pPr>
        <w:pStyle w:val="BodyText"/>
      </w:pPr>
      <w:r>
        <w:t xml:space="preserve">part composed of as many as five chapters. Each chapter would concern some general condition or significant aspect of the whole. Chapter 1 would concern God as "the great author and end of the Work of Redemption." Chapter 2 would discuss the "eternal contrivance and design of the Work of Redemption." In chapter 3 he would discuss "the general nature of the Work of Redemption" as "the greatest of God's works." Chapter 4 would address the question of "preparation for the Work of Redemption," for example, the "creation of angels, their trial, fall of some of them, the fall of man, etc." He projected that the fifth and concluding chapter of the introductory section would treat "the beginning of the Work of Redemption," but thought that this might better belong to the "second part." He thought that the second part should be concerned with "the preparation for … redemption and visible accomplishment of the work." This would take many chapters. Edwards broke off the draft outline with the comment that the first part might be titled "the original and foundation of the Work of Redemption," and the second "the performance of the Work of Redemption."</w:t>
      </w:r>
    </w:p>
    <w:p>
      <w:pPr>
        <w:pStyle w:val="BodyText"/>
      </w:pPr>
      <w:r>
        <w:t xml:space="preserve">"Notebook 10," pages 89–90. Beinecke Rare Book and Manuscript Library, Yale University.</w:t>
      </w:r>
    </w:p>
    <w:p>
      <w:pPr>
        <w:pStyle w:val="BodyText"/>
      </w:pPr>
      <w:r>
        <w:t xml:space="preserve">"Notebook 10," pages 101–02. Beinecke Rare Book and Manuscript Library, Yale University.</w:t>
      </w:r>
    </w:p>
    <w:p>
      <w:pPr>
        <w:pStyle w:val="BodyText"/>
      </w:pPr>
      <w:r>
        <w:t xml:space="preserve">In a series of later entries, Edwards continued the outline, with additional observations.</w:t>
      </w:r>
      <w:r>
        <w:rPr>
          <w:rStyle w:val="FootnoteReference"/>
        </w:rPr>
        <w:footnoteReference w:id="111"/>
      </w:r>
      <w:r>
        <w:t xml:space="preserve"> He reiterated the basic triadic structure of periods that was fundamental to the lecture-sermons in 1739. The life, death, and resurrection of Christ remained pivotal. He also reflected on the cumulative nature of the whole—"all things in the foregoing periods [are] preparation for the next." Further, he identified five scripturally warranted models of and for the Work of Redemption; these are the master models he explored in "Images or Shadows of Divine Things." One was "the revolutions of the wheel of a chariot"—the basic image was of machinery, perhaps especially the clock, although its scriptural derivation was from Ezekiel's vision of the wheels. A second was "the erecting of a great building," a favorite image for Edwards, in which he emphasized the organization of the whole from the architect's plans to the assembling of materials and workers and on to the completion of the building. (This undoubtedly reflected his own experience with the construction of the new meetinghouse in Northampton, which antedated the delivery of the sermon series.) The third model was "the growing of a tree," while the fourth was complementary, "the flowing of the water in a great river." In this model he laid great emphasis upon the many</w:t>
      </w:r>
    </w:p>
    <w:p>
      <w:pPr>
        <w:pStyle w:val="SourcePage"/>
      </w:pPr>
      <w:r>
        <w:t xml:space="preserve">[p. 067]</w:t>
      </w:r>
    </w:p>
    <w:p>
      <w:pPr>
        <w:pStyle w:val="BodyText"/>
      </w:pPr>
      <w:r>
        <w:t xml:space="preserve">tributaries that come together to form a river as it makes its way into great ocean, an image doubtless stimulated by his life along and in relationship to the Connecticut River. Finally, his fifth model was the "carrying on a war," with emphasis upon the complexity of its organization and the importance of timing the different elements. Of course, in historical terms, the Roman empire was the great exemplum of this model.</w:t>
      </w:r>
    </w:p>
    <w:p>
      <w:pPr>
        <w:pStyle w:val="BodyText"/>
      </w:pPr>
      <w:r>
        <w:t xml:space="preserve">Still reflecting on the second part of this projected organization, Edwards posited a chapter "with some things in general concerning the manner which the work or this fulfillment to it were carried on from the beginning of the world to the end. Here to show how carried on earth, and how in the invisible world, how among angels and man, how in heaven and hell." He also reflected on the proportion of the population that would be subject to God's commands in the glorious times of the millennium; it would represent "a hundred or perhaps a thousand to one of all other times put together." These conjectures are amplified and codified by Joseph Bellamy in his sermon on the millennium,</w:t>
      </w:r>
      <w:r>
        <w:rPr>
          <w:rStyle w:val="FootnoteReference"/>
        </w:rPr>
        <w:footnoteReference w:id="112"/>
      </w:r>
      <w:r>
        <w:t xml:space="preserve"> as well as by other New England authors. Which author is dependent on the other is not at all clear; perhaps it is futile to attempt to chart certain lines of dependence in the case of writers with strong mutual interests and the opportunity for frequent interaction like Edwards and Bellamy.</w:t>
      </w:r>
    </w:p>
    <w:p>
      <w:pPr>
        <w:pStyle w:val="BodyText"/>
      </w:pPr>
      <w:r>
        <w:t xml:space="preserve">Through additional random entries, it is clear that in many respects these notes on method are more the clarification, specification, and proposed amplification of the argument of the Redemption Discourse as already framed than significant departures from it—or proposed revisions that would transform it. That Edwards intended to make explicit much that was already implicit is clear, as is his commitment to make extensive additions to the corpus of the document. But his plans in the later Stockbridge years certainly did not include the development of a radically different project, as has sometimes been alleged by those commenting on his interest in history. Such a conventional estimate seems to have rested on a systematic undervaluation of the Redemption Discourse's literary complexity. The letter to the trustees, the last statement we have from him about it, can also be read as analytical reflection about a project that had been implicit in the Redemption Discourse twenty years earlier.</w:t>
      </w:r>
    </w:p>
    <w:p>
      <w:pPr>
        <w:pStyle w:val="SourcePage"/>
      </w:pPr>
      <w:r>
        <w:t xml:space="preserve">[p. 068]</w:t>
      </w:r>
    </w:p>
    <w:p>
      <w:pPr>
        <w:pStyle w:val="BodyText"/>
      </w:pPr>
      <w:r>
        <w:t xml:space="preserve">This judgment is confirmed by secondary sections in his notebook which return to the question of method or address the organization of specific sections. In one section Edwards suggests that he should argue for God's preoccupation with the work of creation under six particulars from "a continuing appointing it for eternity" to "the consummation of it." At this point he referred to a "miscellanies entry" about the "various steps and degrees" of the new creation.</w:t>
      </w:r>
      <w:r>
        <w:rPr>
          <w:rStyle w:val="FootnoteReference"/>
        </w:rPr>
        <w:footnoteReference w:id="113"/>
      </w:r>
      <w:r>
        <w:t xml:space="preserve"> In developing this theme, he introduced a sevenfold periodization for, or set of steps in, the new creation that was potentially a new organization for the third period (from Christ's resurrection to the end of the world). This is certainly a development, if relatively minor, of the summary formulation given in the 1739 sermon materials. The seven periods or steps are: "1. the work begun at Pentecost. 2. destruction of Jerusalem. 3. destruction of heathenish empire in Constantine's time. 4. the reformation. 5. the fall of Antichrist. 6. the overthrow of Judaism, Mahometanism and heathenism through the world. 7. the consummation of the end of the world."</w:t>
      </w:r>
      <w:r>
        <w:rPr>
          <w:rStyle w:val="FootnoteReference"/>
        </w:rPr>
        <w:footnoteReference w:id="114"/>
      </w:r>
      <w:r>
        <w:t xml:space="preserve"> While no further direct development of the scheme occurs in the notebook, Edwards was apparently thinking of replicating in the new creation the pattern he identified so fully in the old. These seven periods would mirror the creation plus six periods which he set out as the proper divisions of the scheme, or dispensations, from the fall of man to the coming of Christ. A slightly later entry suggests he considered developing the theme of balancing a new against the older covenants.</w:t>
      </w:r>
    </w:p>
    <w:p>
      <w:pPr>
        <w:pStyle w:val="BodyText"/>
      </w:pPr>
      <w:r>
        <w:t xml:space="preserve">Reflections of this kind about the structure of the whole work are buried within notes which more characteristically concern scriptural texts to be used to advantage, and readings and authors that merit notice. Nonscriptural references in particular seem random—"see Owen on Hebrews 11:5, page 24, place marked in the margin."</w:t>
      </w:r>
      <w:r>
        <w:rPr>
          <w:rStyle w:val="FootnoteReference"/>
        </w:rPr>
        <w:footnoteReference w:id="115"/>
      </w:r>
      <w:r>
        <w:t xml:space="preserve"> They do not indicate that Edwards was engaged in a sustained reading program on the redemption theme or offer evidence that he had identified a particular foil, like John Taylor in his work on </w:t>
      </w:r>
      <w:r>
        <w:rPr>
          <w:i/>
          <w:iCs/>
        </w:rPr>
        <w:t xml:space="preserve">Original Sin</w:t>
      </w:r>
      <w:r>
        <w:t xml:space="preserve">.</w:t>
      </w:r>
      <w:r>
        <w:rPr>
          <w:rStyle w:val="FootnoteReference"/>
        </w:rPr>
        <w:footnoteReference w:id="116"/>
      </w:r>
    </w:p>
    <w:p>
      <w:pPr>
        <w:pStyle w:val="BodyText"/>
      </w:pPr>
      <w:r>
        <w:t xml:space="preserve">As Edwards continued to make entries, he gave attention to subordinate points or technical details. Some concerned theological matters. As one example, he commented on the behavior of the angels</w:t>
      </w:r>
    </w:p>
    <w:p>
      <w:pPr>
        <w:pStyle w:val="SourcePage"/>
      </w:pPr>
      <w:r>
        <w:t xml:space="preserve">[p. 069]</w:t>
      </w:r>
    </w:p>
    <w:p>
      <w:pPr>
        <w:pStyle w:val="BodyText"/>
      </w:pPr>
      <w:r>
        <w:t xml:space="preserve">at the birth of Christ. Others concerned assumptions to be made, for example, about the pre-Mosaic era in Egyptian history. In these sections there is evidence that he had consulted a number of conventional historical accounts like "Dr. Winder … his </w:t>
      </w:r>
      <w:r>
        <w:rPr>
          <w:i/>
          <w:iCs/>
        </w:rPr>
        <w:t xml:space="preserve">History of Knowledge</w:t>
      </w:r>
      <w:r>
        <w:t xml:space="preserve">."</w:t>
      </w:r>
      <w:r>
        <w:rPr>
          <w:rStyle w:val="FootnoteReference"/>
        </w:rPr>
        <w:footnoteReference w:id="117"/>
      </w:r>
      <w:r>
        <w:t xml:space="preserve"> In a series of entries he recorded useful information he gleaned from Winder, but he also detailed points of disagreement and how he would appropriate such work to his own purposes.</w:t>
      </w:r>
      <w:r>
        <w:rPr>
          <w:rStyle w:val="FootnoteReference"/>
        </w:rPr>
        <w:footnoteReference w:id="118"/>
      </w:r>
    </w:p>
    <w:p>
      <w:pPr>
        <w:pStyle w:val="BodyText"/>
      </w:pPr>
      <w:r>
        <w:t xml:space="preserve">These entries are followed by notes about the development of particular sections, which in turn yield to more general reflections on method—the burden of which is the importance of making explicit, or opening to view, the procedures he will follow in each of the three great sections of his work.</w:t>
      </w:r>
      <w:r>
        <w:rPr>
          <w:rStyle w:val="FootnoteReference"/>
        </w:rPr>
        <w:footnoteReference w:id="119"/>
      </w:r>
      <w:r>
        <w:t xml:space="preserve"> These and related comments do not amount, however, to a proposed radical recasting of the whole. They simply indicate Edwards' awareness of the organization or literary structure already implicit in the 1739 Redemption Discourse. One entry explicitly links together this project and the essay "The End for which God Created the World": "First part concerning the cause of the Work of Redemption and of the Trinity that the happiness of God chiefly consists in love to himself. See my rough draft of discourse on the Last End of the Creation after part the papers sketched in at the left hand page second of those papers."</w:t>
      </w:r>
      <w:r>
        <w:rPr>
          <w:rStyle w:val="FootnoteReference"/>
        </w:rPr>
        <w:footnoteReference w:id="120"/>
      </w:r>
      <w:r>
        <w:t xml:space="preserve"> The significance of this entry is at least twofold. First, it places in perspective the limited focus of the earlier essay. Moreover, it establishes the point that Edwards did not view that essay as preempting his larger project on the Work of Redemption—for example, by describing its themes philosophically. The earlier essay was to be seen instead as a kind of prolegomenon, exploring the reasons for the grand summary inquiry he still intended to complete.</w:t>
      </w:r>
    </w:p>
    <w:p>
      <w:pPr>
        <w:pStyle w:val="BodyText"/>
      </w:pPr>
      <w:r>
        <w:t xml:space="preserve">An additional perspective on Edwards' work with the Redemption project is given by entries reflecting on the title. We know from his correspondence that the word </w:t>
      </w:r>
      <w:r>
        <w:rPr>
          <w:i/>
          <w:iCs/>
        </w:rPr>
        <w:t xml:space="preserve">history</w:t>
      </w:r>
      <w:r>
        <w:t xml:space="preserve"> remained useful in his thinking about the project. But it is also evident that he considered other terms and titles that would more appropriately capture his intended meaning. One was "the scheme and progress of the Work of Redemption."</w:t>
      </w:r>
      <w:r>
        <w:rPr>
          <w:rStyle w:val="FootnoteReference"/>
        </w:rPr>
        <w:footnoteReference w:id="121"/>
      </w:r>
    </w:p>
    <w:p>
      <w:pPr>
        <w:pStyle w:val="SourcePage"/>
      </w:pPr>
      <w:r>
        <w:t xml:space="preserve">[p. 070]</w:t>
      </w:r>
    </w:p>
    <w:p>
      <w:pPr>
        <w:pStyle w:val="BodyText"/>
      </w:pPr>
      <w:r>
        <w:t xml:space="preserve">Two other versions appear toward the end of the notebook: one is "A Scheme of a Treatise concerning Redemption, with practical improvements"; the other is "The Nature and History of the Work of Redemption."</w:t>
      </w:r>
      <w:r>
        <w:rPr>
          <w:rStyle w:val="FootnoteReference"/>
        </w:rPr>
        <w:footnoteReference w:id="122"/>
      </w:r>
      <w:r>
        <w:t xml:space="preserve"> He varied this latter title subsequently by referring to the work as "The Treatise of the Nature of Redemption."</w:t>
      </w:r>
      <w:r>
        <w:rPr>
          <w:rStyle w:val="FootnoteReference"/>
        </w:rPr>
        <w:footnoteReference w:id="123"/>
      </w:r>
    </w:p>
    <w:p>
      <w:pPr>
        <w:pStyle w:val="BodyText"/>
      </w:pPr>
      <w:r>
        <w:t xml:space="preserve">This last evidence leads to two conclusions. The first is that Edwards had not exactly settled or determined what title he would give to the project. He thought of such possibilities as "Work of Redemption" and "Nature of Redemption," among others. The second conclusion concerns the term </w:t>
      </w:r>
      <w:r>
        <w:rPr>
          <w:i/>
          <w:iCs/>
        </w:rPr>
        <w:t xml:space="preserve">history</w:t>
      </w:r>
      <w:r>
        <w:t xml:space="preserve">. While it is clear that he intended the treatise to be analytical, he did not identify his approach exclusively or even secondarily as historical, or in terms that establish that he was committed to historical writing as preeminent; two of the formulations he seriously considered as alternatives to history were scheme and nature. Beyond doubt, the Redemption project remained primarily a theological program in his mind. He most certainly did not conceive of it as an exercise in the writing of history in a more modern sense. At issue here is not whether the development of universal historiography in modern European cultures finally derived from Christian cultural assumptions about the world, but how far this particular treatise by Jonathan Edwards should be interpreted as if he were consciously, or even subconsciously, working toward such an ideal. The evidence seems clear that he had not moved as far along the road toward modernity in this respect as some interpreters have claimed.</w:t>
      </w:r>
      <w:r>
        <w:rPr>
          <w:rStyle w:val="FootnoteReference"/>
        </w:rPr>
        <w:footnoteReference w:id="124"/>
      </w:r>
    </w:p>
    <w:p>
      <w:pPr>
        <w:pStyle w:val="BodyText"/>
      </w:pPr>
      <w:r>
        <w:t xml:space="preserve">Apparently Edwards had reflected on the project to the point of imagining its format. "Let there be large marginal notes at the bottom of the page, and the reflection and doctrinal observations and disputations be in them."</w:t>
      </w:r>
      <w:r>
        <w:rPr>
          <w:rStyle w:val="FootnoteReference"/>
        </w:rPr>
        <w:footnoteReference w:id="125"/>
      </w:r>
      <w:r>
        <w:t xml:space="preserve"> He seemed to favor using Deuteronomy 33:26 in place of Isaiah 51:8 as the "text to be prefixed to the whole treatise" and used to anchor the "doctrine."</w:t>
      </w:r>
      <w:r>
        <w:rPr>
          <w:rStyle w:val="FootnoteReference"/>
        </w:rPr>
        <w:footnoteReference w:id="126"/>
      </w:r>
      <w:r>
        <w:t xml:space="preserve"> He continued to envision both a "historical part" and a "practical improvement"—that is, he believed he should retain sections for the benefit of his readers comparable to that application of the sermons that was a part of the delivery to his Northampton congregation, especially the summary improvement in</w:t>
      </w:r>
    </w:p>
    <w:p>
      <w:pPr>
        <w:pStyle w:val="SourcePage"/>
      </w:pPr>
      <w:r>
        <w:t xml:space="preserve">[p. 071]</w:t>
      </w:r>
    </w:p>
    <w:p>
      <w:pPr>
        <w:pStyle w:val="BodyText"/>
      </w:pPr>
      <w:r>
        <w:t xml:space="preserve">the last half of the twenty-ninth and the whole of the thirtieth sermon.</w:t>
      </w:r>
      <w:r>
        <w:rPr>
          <w:rStyle w:val="FootnoteReference"/>
        </w:rPr>
        <w:footnoteReference w:id="127"/>
      </w:r>
      <w:r>
        <w:t xml:space="preserve"> The final entry is a further reflection on method that recapitulates in part, and echoes in full, prior notes under this heading.</w:t>
      </w:r>
    </w:p>
    <w:p>
      <w:pPr>
        <w:pStyle w:val="BodyText"/>
      </w:pPr>
      <w:r>
        <w:t xml:space="preserve">Any discussion of what Edwards would have done in developing the Redemption sermon series into a mature treatise must be inconclusive. Our evidence suggests that the Redemption project was much on Edwards' mind in his last years even if, with respect to details, it remained protean. Its overall shape and internal direction seem to have been clear to him, in no small part because they maintained continuity with the 1739 sermon series. Questions about organization, and a myriad of details respecting development, still had to be worked through. Contrary to an assumption that has been rather widespread, however, it is not likely that the revised work would have departed radically from the substance of the sermons. As a treatise it would most probably have been a development of the original Redemption Discourse, bringing forward into the light much of what had been latent in those initial lecture-sermons for the pulpit. Edwards' late reflections on the project provide us with another justification for turning back to the sermons, and finding in the twelve preaching booklets a substantial and far more complex and sophisticated literary structure than has generally been appreciated. The notebooks Edwards made at the end of his life as much suggest the importance of reevaluating the nature of the 1739 text as they witness to the frustration of his plans to recast and develop it further.</w:t>
      </w:r>
    </w:p>
    <w:p>
      <w:pPr>
        <w:pStyle w:val="BodyText"/>
      </w:pPr>
      <w:r>
        <w:t xml:space="preserve">A general conclusion is that, if the literary characteristics or strategies discussed above are recognized as already present in the Redemption Discourse, Edwards' plans had not, at the time of his death, developed very far beyond that series of sermons as it stood when completed, certainly not to the degree ordinarily assumed. Recognizing the literary characteristics of the original sermons leads us to place less emphasis upon the presumptive changes and recasting that the passage from the letter to the trustees implies. This is not to deny that </w:t>
      </w:r>
      <w:r>
        <w:rPr>
          <w:i/>
          <w:iCs/>
        </w:rPr>
        <w:t xml:space="preserve">A History of the Work of Redemption</w:t>
      </w:r>
      <w:r>
        <w:t xml:space="preserve"> so perfected would have been significantly developed and enriched, but only to posit that it would have been recognizably derived from the 1739 sermon series, perhaps (as has already been suggested) in something of the way that </w:t>
      </w:r>
      <w:r>
        <w:rPr>
          <w:i/>
          <w:iCs/>
        </w:rPr>
        <w:t xml:space="preserve">Religious Affections</w:t>
      </w:r>
      <w:r>
        <w:t xml:space="preserve"> extended, refined, and amplified the position its author initially worked out in the commencement sermon at Yale in 1740 and</w:t>
      </w:r>
    </w:p>
    <w:p>
      <w:pPr>
        <w:pStyle w:val="SourcePage"/>
      </w:pPr>
      <w:r>
        <w:t xml:space="preserve">[p. 072]</w:t>
      </w:r>
    </w:p>
    <w:p>
      <w:pPr>
        <w:pStyle w:val="BodyText"/>
      </w:pPr>
      <w:r>
        <w:t xml:space="preserve">published in the next year as "The Distinguishing Marks."</w:t>
      </w:r>
      <w:r>
        <w:rPr>
          <w:rStyle w:val="FootnoteReference"/>
        </w:rPr>
        <w:footnoteReference w:id="128"/>
      </w:r>
      <w:r>
        <w:t xml:space="preserve"> In that case the concerns and consequences he set out remained identifiable, although their statement was refined and his analysis much extended and deepened. This seems to be the kind of development he would have given to the Redemption Discourse.</w:t>
      </w:r>
    </w:p>
    <w:p>
      <w:pPr>
        <w:pStyle w:val="Heading3"/>
      </w:pPr>
      <w:bookmarkStart w:name="heading_the_logical_structure_of_the" w:id="21"/>
      <w:r>
        <w:t xml:space="preserve">The Logical Structure Of The Redemption Discourse</w:t>
      </w:r>
      <w:bookmarkEnd w:id="21"/>
    </w:p>
    <w:p>
      <w:pPr>
        <w:pStyle w:val="BodyText"/>
      </w:pPr>
      <w:r>
        <w:t xml:space="preserve">The form of Edwards' Redemption Discourse is deeply influenced by its origin as material prepared for preaching. It is divided into thirty preaching units—which Edwards terms sermons—even though it could be argued that technically the thirty taken together stand as one complete sermon. At a deeper level the structure of the whole directly reflects the literary usages of Puritan preaching, with its conventional elements of text, doctrine and reasons, and application. The internal development of each part of this structure follows the principle of the hierarchical ordering of heads relentlessly. This pattern is carried into far more than the usual major divisions of the sermon form. John Erskine used a subordinate level of these heads to organize his 1774 edition of </w:t>
      </w:r>
      <w:r>
        <w:rPr>
          <w:i/>
          <w:iCs/>
        </w:rPr>
        <w:t xml:space="preserve">A History of the Work of Redemption</w:t>
      </w:r>
      <w:r>
        <w:t xml:space="preserve">, as can be seen from his table of contents.</w:t>
      </w:r>
      <w:r>
        <w:rPr>
          <w:rStyle w:val="FootnoteReference"/>
        </w:rPr>
        <w:footnoteReference w:id="129"/>
      </w:r>
      <w:r>
        <w:t xml:space="preserve"> Erskine's editorial decision obscured the significance of the sermon elements which are the framework of the series—however much Edwards had adapted their conventional relationships. Furthermore, by elevating to prominence the intermediate and more chronological levels of organization, Erskine to some extent veiled the degree of subordination of heads. One can see this clearly from tables 1 and 2.</w:t>
      </w:r>
    </w:p>
    <w:p>
      <w:pPr>
        <w:pStyle w:val="BodyText"/>
      </w:pPr>
      <w:r>
        <w:t xml:space="preserve">In table 1, major heads at the left of the page indicate how the sermon structure orders the whole of the treatise. In this connection note the insertion of improvements or applications so as to punctuate the development of the doctrine and subordinate propositions. In Erskine's reduction of the manuscript with an eye to suppressing divisions between preaching units and subordinating the conventional elements of the sermon, he generally moved to the second and third levels of organization. This effectively deemphasized the place of the opening text and especially the formal priority of the doctrine in its main divisions. Table 2 elevates this second level of structure so</w:t>
      </w:r>
    </w:p>
    <w:p>
      <w:pPr>
        <w:pStyle w:val="SourcePage"/>
      </w:pPr>
      <w:r>
        <w:t xml:space="preserve">[p. 073]</w:t>
      </w:r>
    </w:p>
    <w:p>
      <w:pPr>
        <w:pStyle w:val="BodyText"/>
      </w:pPr>
      <w:r>
        <w:t xml:space="preserve">that the "historical" or sequential stratum of organization stands out. Indeed, taken at this level the dominant pattern is that of the three great periods. Of course the "parts" of the second and third periods are less clearly defined in temporal terms than those of the first, although the third period has a temporal orientation at the third level of subordination—which concerns the church under grace that will be succeeded by the church under glory at the end of history. In any case, the overwhelming impression created by the published version was that of a historical treatment of the subject. So Erskine's suppression of the sermon form obscured Edwards' formal subordination of biblical and postbiblical materials to the edifying logic which derived from his use of that form in his original exposition.</w:t>
      </w:r>
    </w:p>
    <w:p>
      <w:pPr>
        <w:pStyle w:val="BodyText"/>
      </w:pPr>
      <w:r>
        <w:t xml:space="preserve">In particular, Erskine's treatment deemphasizes the thoroughness with which Edwards used the hierarchical principle of organization of material, or analysis by dichotomy, within the periods or parts. This is not so significant in the first period, for through the first four subperiods he used only one degree of subordination in discussing his material. In the fifth subperiod (from David to the Babylonian captivity), however, he used two degrees, while in the sixth (from the captivity to the coming of Christ), he used three. In the second and third periods, he used branching analysis even more extensively. In the second period (the incarnation) he reached to four further degrees of subordination to secure his points. Nine degrees of subordination beyond the broadly chronological were required for his analysis of the last period (from the resurrection of Christ to the end of the world).</w:t>
      </w:r>
    </w:p>
    <w:p>
      <w:pPr>
        <w:pStyle w:val="BodyText"/>
      </w:pPr>
      <w:r>
        <w:t xml:space="preserve">Of what significance is this to an understanding of the Redemption Discourse? The use of a branching structure, or the pattern of subordination of parts within the logical framework, is an index of the degree to which the Discourse was governed theologically. The point is not simply that Edwards' subject was the encompassing divine action in relation to the world. His controlling interpretation derived from theological premises rather than from empirical observation guided by hypotheses or from an explicitly developmental historical framework. This is the sense in which the Discourse, in spite of the title under which it was published, is profoundly unhistoriographical in any modern sense. In an earlier analogy I have suggested that Edwards was deeply committed to understanding the human saga as the production of a play that God had authored. His interest, moreover, was very much in the play's text as well as in its production. He</w:t>
      </w:r>
    </w:p>
    <w:p>
      <w:pPr>
        <w:pStyle w:val="SourcePage"/>
      </w:pPr>
      <w:r>
        <w:t xml:space="preserve">[p. 074]</w:t>
      </w:r>
    </w:p>
    <w:p>
      <w:pPr>
        <w:pStyle w:val="BodyText"/>
      </w:pPr>
      <w:r>
        <w:t xml:space="preserve">did not hold, with some modern criticism, that the play as produced is independent of the playwright, or that through its production the text takes on a life of its own. He did not have historiographic interests uppermost.</w:t>
      </w:r>
    </w:p>
    <w:p>
      <w:pPr>
        <w:pStyle w:val="BodyText"/>
      </w:pPr>
      <w:r>
        <w:t xml:space="preserve">This is a different dimension of the argument that the Redemption Discourse was a profoundly theological project. The whole has been easily misunderstood when read in editions deriving from Erskine's.</w:t>
      </w:r>
      <w:r>
        <w:rPr>
          <w:rStyle w:val="FootnoteReference"/>
        </w:rPr>
        <w:footnoteReference w:id="130"/>
      </w:r>
      <w:r>
        <w:t xml:space="preserve"> Having allowed secondary and tertiary levels of organization to emerge as controlling, Erskine deemphasized the continued branching of the discussion. Hierarchical subordination as a principle of organization was deeply congruent with specifically Ramist logic and ought to be seen in part as an expression of the dichotomizing tendencies in that mode of analysis. At issue in this discussion of how thoroughly the Redemption Discourse is organized through heads, however, is less the source or implication of the method than the degree of its control over the text. Branching analysis gives form to the whole. To put it most boldly, doctrine controls interpretation at all points. The result is a remarkable blending of rational analysis and biblical reference in which anything remotely resembling modern historiographical interests is hard to find.</w:t>
      </w:r>
    </w:p>
    <w:p>
      <w:pPr>
        <w:pStyle w:val="Heading3"/>
      </w:pPr>
      <w:bookmarkStart w:name="heading_table_i" w:id="22"/>
      <w:r>
        <w:t xml:space="preserve">Table I</w:t>
      </w:r>
      <w:bookmarkEnd w:id="22"/>
    </w:p>
    <w:p>
      <w:pPr>
        <w:pStyle w:val="BodyText"/>
      </w:pPr>
      <w:r>
        <w:t xml:space="preserve">Table I indicates the comprehensive logical structure of Edwards' Redemption Discourse in a purely schematic way. It shows how he used the sermon form conventional in his lifetime, including how freely he rearranged its elements. This table does not represent the length of each section, but it does indicate the degrees of hierarchical subordination or branching of the argument in each section as Edwards ordered it under a head or developed its branches. He explicitly noted each head and was consistent in observing the proper degree of subordination for each division and subdivision. Appendix A provides a full outline of the Redemption Discourse, indicating every heading and subheading. In this edition, the printed text retains Edwards' numbering. The notes order the discussion according to the plan in Appendix A.</w:t>
      </w:r>
    </w:p>
    <w:p>
      <w:pPr>
        <w:pStyle w:val="SourcePage"/>
      </w:pPr>
      <w:r>
        <w:t xml:space="preserve">[p. 075]</w:t>
      </w:r>
    </w:p>
    <w:p>
      <w:pPr>
        <w:pStyle w:val="SourcePage"/>
      </w:pPr>
      <w:r>
        <w:t xml:space="preserve">[p. 076]</w:t>
      </w:r>
    </w:p>
    <w:p>
      <w:pPr>
        <w:pStyle w:val="SourcePage"/>
      </w:pPr>
      <w:r>
        <w:t xml:space="preserve">[p. 077]</w:t>
      </w:r>
    </w:p>
    <w:p>
      <w:pPr>
        <w:pStyle w:val="OutlineRow"/>
        <w:ind w:left="1440"/>
      </w:pPr>
      <w:r>
        <w:t xml:space="preserve">TEXT</w:t>
      </w:r>
    </w:p>
    <w:p>
      <w:pPr>
        <w:pStyle w:val="OutlineRow"/>
        <w:ind w:left="0"/>
      </w:pPr>
      <w:r>
        <w:t xml:space="preserve">1.</w:t>
      </w:r>
    </w:p>
    <w:p>
      <w:pPr>
        <w:pStyle w:val="OutlineRow"/>
        <w:ind w:left="288"/>
      </w:pPr>
      <w:r>
        <w:t xml:space="preserve">(1.)</w:t>
      </w:r>
    </w:p>
    <w:p>
      <w:pPr>
        <w:pStyle w:val="OutlineRow"/>
        <w:ind w:left="1440"/>
      </w:pPr>
      <w:r>
        <w:t xml:space="preserve">DOCTRINE</w:t>
      </w:r>
    </w:p>
    <w:p>
      <w:pPr>
        <w:pStyle w:val="OutlineRow"/>
        <w:ind w:left="0"/>
      </w:pPr>
      <w:r>
        <w:t xml:space="preserve">I.</w:t>
      </w:r>
    </w:p>
    <w:p>
      <w:pPr>
        <w:pStyle w:val="OutlineRow"/>
        <w:ind w:left="288"/>
      </w:pPr>
      <w:r>
        <w:t xml:space="preserve">First.</w:t>
      </w:r>
    </w:p>
    <w:p>
      <w:pPr>
        <w:pStyle w:val="OutlineRow"/>
        <w:ind w:left="576"/>
      </w:pPr>
      <w:r>
        <w:t xml:space="preserve">1.</w:t>
      </w:r>
    </w:p>
    <w:p>
      <w:pPr>
        <w:pStyle w:val="OutlineRow"/>
        <w:ind w:left="864"/>
      </w:pPr>
      <w:r>
        <w:t xml:space="preserve">a.</w:t>
      </w:r>
    </w:p>
    <w:p>
      <w:pPr>
        <w:pStyle w:val="OutlineRow"/>
        <w:ind w:left="0"/>
      </w:pPr>
      <w:r>
        <w:t xml:space="preserve">III.</w:t>
      </w:r>
      <w:r>
        <w:t xml:space="preserve"> — </w:t>
      </w:r>
      <w:r>
        <w:t xml:space="preserve">Three periods; three propositions</w:t>
      </w:r>
    </w:p>
    <w:p>
      <w:pPr>
        <w:pStyle w:val="OutlineRow"/>
        <w:ind w:left="1440"/>
      </w:pPr>
      <w:r>
        <w:t xml:space="preserve">First. PROPOSITION</w:t>
      </w:r>
    </w:p>
    <w:p>
      <w:pPr>
        <w:pStyle w:val="OutlineRow"/>
        <w:ind w:left="576"/>
      </w:pPr>
      <w:r>
        <w:t xml:space="preserve">1.</w:t>
      </w:r>
    </w:p>
    <w:p>
      <w:pPr>
        <w:pStyle w:val="OutlineRow"/>
        <w:ind w:left="864"/>
      </w:pPr>
      <w:r>
        <w:t xml:space="preserve">a.</w:t>
      </w:r>
    </w:p>
    <w:p>
      <w:pPr>
        <w:pStyle w:val="OutlineRow"/>
        <w:ind w:left="1152"/>
      </w:pPr>
      <w:r>
        <w:t xml:space="preserve">(1.)</w:t>
      </w:r>
    </w:p>
    <w:p>
      <w:pPr>
        <w:pStyle w:val="OutlineRow"/>
        <w:ind w:left="1440"/>
      </w:pPr>
      <w:r>
        <w:t xml:space="preserve">OBSERVATIONS</w:t>
      </w:r>
    </w:p>
    <w:p>
      <w:pPr>
        <w:pStyle w:val="OutlineRow"/>
        <w:ind w:left="0"/>
      </w:pPr>
      <w:r>
        <w:t xml:space="preserve">I.</w:t>
      </w:r>
    </w:p>
    <w:p>
      <w:pPr>
        <w:pStyle w:val="OutlineRow"/>
        <w:ind w:left="864"/>
      </w:pPr>
      <w:r>
        <w:t xml:space="preserve">a.</w:t>
      </w:r>
    </w:p>
    <w:p>
      <w:pPr>
        <w:pStyle w:val="OutlineRow"/>
        <w:ind w:left="1152"/>
      </w:pPr>
      <w:r>
        <w:t xml:space="preserve">(1.)</w:t>
      </w:r>
    </w:p>
    <w:p>
      <w:pPr>
        <w:pStyle w:val="OutlineRow"/>
        <w:ind w:left="1440"/>
      </w:pPr>
      <w:r>
        <w:t xml:space="preserve">(a.)</w:t>
      </w:r>
    </w:p>
    <w:p>
      <w:pPr>
        <w:pStyle w:val="OutlineRow"/>
        <w:ind w:left="1440"/>
      </w:pPr>
      <w:r>
        <w:t xml:space="preserve">IMPROVEMENT</w:t>
      </w:r>
    </w:p>
    <w:p>
      <w:pPr>
        <w:pStyle w:val="OutlineRow"/>
        <w:ind w:left="0"/>
      </w:pPr>
      <w:r>
        <w:t xml:space="preserve">I.</w:t>
      </w:r>
    </w:p>
    <w:p>
      <w:pPr>
        <w:pStyle w:val="OutlineRow"/>
        <w:ind w:left="1440"/>
      </w:pPr>
      <w:r>
        <w:t xml:space="preserve">Second. PROPOSITION</w:t>
      </w:r>
    </w:p>
    <w:p>
      <w:pPr>
        <w:pStyle w:val="OutlineRow"/>
        <w:ind w:left="576"/>
      </w:pPr>
      <w:r>
        <w:t xml:space="preserve">1.</w:t>
      </w:r>
    </w:p>
    <w:p>
      <w:pPr>
        <w:pStyle w:val="OutlineRow"/>
        <w:ind w:left="864"/>
      </w:pPr>
      <w:r>
        <w:t xml:space="preserve">a.</w:t>
      </w:r>
    </w:p>
    <w:p>
      <w:pPr>
        <w:pStyle w:val="OutlineRow"/>
        <w:ind w:left="1152"/>
      </w:pPr>
      <w:r>
        <w:t xml:space="preserve">(1.)</w:t>
      </w:r>
    </w:p>
    <w:p>
      <w:pPr>
        <w:pStyle w:val="OutlineRow"/>
        <w:ind w:left="1440"/>
      </w:pPr>
      <w:r>
        <w:t xml:space="preserve">(a.)</w:t>
      </w:r>
    </w:p>
    <w:p>
      <w:pPr>
        <w:pStyle w:val="OutlineRow"/>
        <w:ind w:left="1440"/>
      </w:pPr>
      <w:r>
        <w:t xml:space="preserve">1.</w:t>
      </w:r>
    </w:p>
    <w:p>
      <w:pPr>
        <w:pStyle w:val="OutlineRow"/>
        <w:ind w:left="1440"/>
      </w:pPr>
      <w:r>
        <w:t xml:space="preserve">a.</w:t>
      </w:r>
    </w:p>
    <w:p>
      <w:pPr>
        <w:pStyle w:val="OutlineRow"/>
        <w:ind w:left="1440"/>
      </w:pPr>
      <w:r>
        <w:t xml:space="preserve">(1.)</w:t>
      </w:r>
    </w:p>
    <w:p>
      <w:pPr>
        <w:pStyle w:val="OutlineRow"/>
        <w:ind w:left="1440"/>
      </w:pPr>
      <w:r>
        <w:t xml:space="preserve">(a.)</w:t>
      </w:r>
    </w:p>
    <w:p>
      <w:pPr>
        <w:pStyle w:val="OutlineRow"/>
        <w:ind w:left="1440"/>
      </w:pPr>
      <w:r>
        <w:t xml:space="preserve">APPLICATION</w:t>
      </w:r>
    </w:p>
    <w:p>
      <w:pPr>
        <w:pStyle w:val="OutlineRow"/>
        <w:ind w:left="0"/>
      </w:pPr>
      <w:r>
        <w:t xml:space="preserve">I.</w:t>
      </w:r>
    </w:p>
    <w:p>
      <w:pPr>
        <w:pStyle w:val="OutlineRow"/>
        <w:ind w:left="288"/>
      </w:pPr>
      <w:r>
        <w:t xml:space="preserve">First.</w:t>
      </w:r>
    </w:p>
    <w:p>
      <w:pPr>
        <w:pStyle w:val="OutlineRow"/>
        <w:ind w:left="576"/>
      </w:pPr>
      <w:r>
        <w:t xml:space="preserve">1.</w:t>
      </w:r>
    </w:p>
    <w:p>
      <w:pPr>
        <w:pStyle w:val="OutlineRow"/>
        <w:ind w:left="1440"/>
      </w:pPr>
      <w:r>
        <w:t xml:space="preserve">Third. PROPOSITION</w:t>
      </w:r>
    </w:p>
    <w:p>
      <w:pPr>
        <w:pStyle w:val="OutlineRow"/>
        <w:ind w:left="576"/>
      </w:pPr>
      <w:r>
        <w:t xml:space="preserve">1.</w:t>
      </w:r>
    </w:p>
    <w:p>
      <w:pPr>
        <w:pStyle w:val="OutlineRow"/>
        <w:ind w:left="864"/>
      </w:pPr>
      <w:r>
        <w:t xml:space="preserve">a.</w:t>
      </w:r>
    </w:p>
    <w:p>
      <w:pPr>
        <w:pStyle w:val="OutlineRow"/>
        <w:ind w:left="1152"/>
      </w:pPr>
      <w:r>
        <w:t xml:space="preserve">(1.)</w:t>
      </w:r>
    </w:p>
    <w:p>
      <w:pPr>
        <w:pStyle w:val="OutlineRow"/>
        <w:ind w:left="1440"/>
      </w:pPr>
      <w:r>
        <w:t xml:space="preserve">INQUIRY</w:t>
      </w:r>
    </w:p>
    <w:p>
      <w:pPr>
        <w:pStyle w:val="OutlineRow"/>
        <w:ind w:left="0"/>
      </w:pPr>
      <w:r>
        <w:t xml:space="preserve">I.</w:t>
      </w:r>
    </w:p>
    <w:p>
      <w:pPr>
        <w:pStyle w:val="OutlineRow"/>
        <w:ind w:left="576"/>
      </w:pPr>
      <w:r>
        <w:t xml:space="preserve">2.</w:t>
      </w:r>
    </w:p>
    <w:p>
      <w:pPr>
        <w:pStyle w:val="OutlineRow"/>
        <w:ind w:left="864"/>
      </w:pPr>
      <w:r>
        <w:t xml:space="preserve">a.</w:t>
      </w:r>
    </w:p>
    <w:p>
      <w:pPr>
        <w:pStyle w:val="OutlineRow"/>
        <w:ind w:left="1152"/>
      </w:pPr>
      <w:r>
        <w:t xml:space="preserve">(1.)</w:t>
      </w:r>
    </w:p>
    <w:p>
      <w:pPr>
        <w:pStyle w:val="OutlineRow"/>
        <w:ind w:left="1440"/>
      </w:pPr>
      <w:r>
        <w:t xml:space="preserve">(a.)</w:t>
      </w:r>
    </w:p>
    <w:p>
      <w:pPr>
        <w:pStyle w:val="OutlineRow"/>
        <w:ind w:left="1440"/>
      </w:pPr>
      <w:r>
        <w:t xml:space="preserve">1.</w:t>
      </w:r>
    </w:p>
    <w:p>
      <w:pPr>
        <w:pStyle w:val="OutlineRow"/>
        <w:ind w:left="1440"/>
      </w:pPr>
      <w:r>
        <w:t xml:space="preserve">a.</w:t>
      </w:r>
    </w:p>
    <w:p>
      <w:pPr>
        <w:pStyle w:val="OutlineRow"/>
        <w:ind w:left="1440"/>
      </w:pPr>
      <w:r>
        <w:t xml:space="preserve">(1.)</w:t>
      </w:r>
    </w:p>
    <w:p>
      <w:pPr>
        <w:pStyle w:val="OutlineRow"/>
        <w:ind w:left="1440"/>
      </w:pPr>
      <w:r>
        <w:t xml:space="preserve">(a.)</w:t>
      </w:r>
    </w:p>
    <w:p>
      <w:pPr>
        <w:pStyle w:val="OutlineRow"/>
        <w:ind w:left="1440"/>
      </w:pPr>
      <w:r>
        <w:t xml:space="preserve">IMPROVEMENT</w:t>
      </w:r>
    </w:p>
    <w:p>
      <w:pPr>
        <w:pStyle w:val="OutlineRow"/>
        <w:ind w:left="0"/>
      </w:pPr>
      <w:r>
        <w:t xml:space="preserve">I.</w:t>
      </w:r>
    </w:p>
    <w:p>
      <w:pPr>
        <w:pStyle w:val="OutlineRow"/>
        <w:ind w:left="288"/>
      </w:pPr>
      <w:r>
        <w:t xml:space="preserve">First.</w:t>
      </w:r>
    </w:p>
    <w:p>
      <w:pPr>
        <w:pStyle w:val="OutlineRow"/>
        <w:ind w:left="1440"/>
      </w:pPr>
      <w:r>
        <w:t xml:space="preserve">c.</w:t>
      </w:r>
    </w:p>
    <w:p>
      <w:pPr>
        <w:pStyle w:val="OutlineRow"/>
        <w:ind w:left="1440"/>
      </w:pPr>
      <w:r>
        <w:t xml:space="preserve">(1.)</w:t>
      </w:r>
    </w:p>
    <w:p>
      <w:pPr>
        <w:pStyle w:val="OutlineRow"/>
        <w:ind w:left="1440"/>
      </w:pPr>
      <w:r>
        <w:t xml:space="preserve">(a.)</w:t>
      </w:r>
    </w:p>
    <w:p>
      <w:pPr>
        <w:pStyle w:val="OutlineRow"/>
        <w:ind w:left="1440"/>
      </w:pPr>
      <w:r>
        <w:t xml:space="preserve">1.</w:t>
      </w:r>
    </w:p>
    <w:p>
      <w:pPr>
        <w:pStyle w:val="OutlineRow"/>
        <w:ind w:left="1440"/>
      </w:pPr>
      <w:r>
        <w:t xml:space="preserve">a.</w:t>
      </w:r>
    </w:p>
    <w:p>
      <w:pPr>
        <w:pStyle w:val="OutlineRow"/>
        <w:ind w:left="1440"/>
      </w:pPr>
      <w:r>
        <w:t xml:space="preserve">IMPROVEMENT</w:t>
      </w:r>
    </w:p>
    <w:p>
      <w:pPr>
        <w:pStyle w:val="OutlineRow"/>
        <w:ind w:left="0"/>
      </w:pPr>
      <w:r>
        <w:t xml:space="preserve">I.</w:t>
      </w:r>
    </w:p>
    <w:p>
      <w:pPr>
        <w:pStyle w:val="OutlineRow"/>
        <w:ind w:left="288"/>
      </w:pPr>
      <w:r>
        <w:t xml:space="preserve">First.</w:t>
      </w:r>
    </w:p>
    <w:p>
      <w:pPr>
        <w:pStyle w:val="OutlineRow"/>
        <w:ind w:left="576"/>
      </w:pPr>
      <w:r>
        <w:t xml:space="preserve">1.</w:t>
      </w:r>
    </w:p>
    <w:p>
      <w:pPr>
        <w:pStyle w:val="OutlineRow"/>
        <w:ind w:left="1440"/>
      </w:pPr>
      <w:r>
        <w:t xml:space="preserve">(4.)</w:t>
      </w:r>
    </w:p>
    <w:p>
      <w:pPr>
        <w:pStyle w:val="OutlineRow"/>
        <w:ind w:left="1440"/>
      </w:pPr>
      <w:r>
        <w:t xml:space="preserve">(a.)</w:t>
      </w:r>
    </w:p>
    <w:p>
      <w:pPr>
        <w:pStyle w:val="OutlineRow"/>
        <w:ind w:left="1440"/>
      </w:pPr>
      <w:r>
        <w:t xml:space="preserve">1.</w:t>
      </w:r>
    </w:p>
    <w:p>
      <w:pPr>
        <w:pStyle w:val="OutlineRow"/>
        <w:ind w:left="1440"/>
      </w:pPr>
      <w:r>
        <w:t xml:space="preserve">a.</w:t>
      </w:r>
    </w:p>
    <w:p>
      <w:pPr>
        <w:pStyle w:val="OutlineRow"/>
        <w:ind w:left="1440"/>
      </w:pPr>
      <w:r>
        <w:t xml:space="preserve">(1.)</w:t>
      </w:r>
    </w:p>
    <w:p>
      <w:pPr>
        <w:pStyle w:val="OutlineRow"/>
        <w:ind w:left="1440"/>
      </w:pPr>
      <w:r>
        <w:t xml:space="preserve">APPLICATION OF THE WHOLE</w:t>
      </w:r>
    </w:p>
    <w:p>
      <w:pPr>
        <w:pStyle w:val="OutlineRow"/>
        <w:ind w:left="0"/>
      </w:pPr>
      <w:r>
        <w:t xml:space="preserve">I.</w:t>
      </w:r>
    </w:p>
    <w:p>
      <w:pPr>
        <w:pStyle w:val="OutlineRow"/>
        <w:ind w:left="288"/>
      </w:pPr>
      <w:r>
        <w:t xml:space="preserve">First.</w:t>
      </w:r>
    </w:p>
    <w:p>
      <w:pPr>
        <w:pStyle w:val="OutlineRow"/>
        <w:ind w:left="1440"/>
      </w:pPr>
      <w:r>
        <w:t xml:space="preserve">FINIS</w:t>
      </w:r>
    </w:p>
    <w:p>
      <w:pPr>
        <w:pStyle w:val="BodyText"/>
      </w:pPr>
      <w:r>
        <w:t xml:space="preserve">Table 2</w:t>
      </w:r>
    </w:p>
    <w:p>
      <w:pPr>
        <w:pStyle w:val="BodyText"/>
      </w:pPr>
      <w:r>
        <w:t xml:space="preserve">Table 2 indicates the historical divisions of the Redemption Discourse. The first division is rigidly periodized, while the second is treated analytically. The third is progressive in that the positive accomplishments of each era are incorporated into the successive ones, (Appendix A provides the inclusive outline of the Redemption Discourse.) The scheme shown here was used by Erskine as the outline for his edition of </w:t>
      </w:r>
      <w:r>
        <w:rPr>
          <w:i/>
          <w:iCs/>
        </w:rPr>
        <w:t xml:space="preserve">A History of the Work of Redemption</w:t>
      </w:r>
      <w:r>
        <w:t xml:space="preserve">, which forms the basis for all editions antedating this book.</w:t>
      </w:r>
    </w:p>
    <w:p>
      <w:pPr>
        <w:pStyle w:val="SourcePage"/>
      </w:pPr>
      <w:r>
        <w:t xml:space="preserve">[p. 078]</w:t>
      </w:r>
    </w:p>
    <w:p>
      <w:pPr>
        <w:pStyle w:val="SourcePage"/>
      </w:pPr>
      <w:r>
        <w:t xml:space="preserve">[p. 079]</w:t>
      </w:r>
    </w:p>
    <w:p>
      <w:pPr>
        <w:pStyle w:val="OutlineRow"/>
        <w:ind w:left="1440"/>
      </w:pPr>
      <w:r>
        <w:t xml:space="preserve">TEXT</w:t>
      </w:r>
    </w:p>
    <w:p>
      <w:pPr>
        <w:pStyle w:val="OutlineRow"/>
        <w:ind w:left="1440"/>
      </w:pPr>
      <w:r>
        <w:t xml:space="preserve">DOCTRINE</w:t>
      </w:r>
    </w:p>
    <w:p>
      <w:pPr>
        <w:pStyle w:val="OutlineRow"/>
        <w:ind w:left="0"/>
      </w:pPr>
      <w:r>
        <w:t xml:space="preserve">I.</w:t>
      </w:r>
      <w:r>
        <w:t xml:space="preserve"> — </w:t>
      </w:r>
      <w:r>
        <w:t xml:space="preserve">Three periods</w:t>
      </w:r>
    </w:p>
    <w:p>
      <w:pPr>
        <w:pStyle w:val="OutlineRow"/>
        <w:ind w:left="288"/>
      </w:pPr>
      <w:r>
        <w:t xml:space="preserve">First.</w:t>
      </w:r>
      <w:r>
        <w:t xml:space="preserve"> — </w:t>
      </w:r>
      <w:r>
        <w:t xml:space="preserve">Fall to Incarnation</w:t>
      </w:r>
    </w:p>
    <w:p>
      <w:pPr>
        <w:pStyle w:val="OutlineRow"/>
        <w:ind w:left="288"/>
      </w:pPr>
      <w:r>
        <w:t xml:space="preserve">1.</w:t>
      </w:r>
      <w:r>
        <w:t xml:space="preserve"> — </w:t>
      </w:r>
      <w:r>
        <w:t xml:space="preserve">Fall to flood</w:t>
      </w:r>
    </w:p>
    <w:p>
      <w:pPr>
        <w:pStyle w:val="OutlineRow"/>
        <w:ind w:left="288"/>
      </w:pPr>
      <w:r>
        <w:t xml:space="preserve">2.</w:t>
      </w:r>
      <w:r>
        <w:t xml:space="preserve"> — </w:t>
      </w:r>
      <w:r>
        <w:t xml:space="preserve">Flood to Abraham</w:t>
      </w:r>
    </w:p>
    <w:p>
      <w:pPr>
        <w:pStyle w:val="OutlineRow"/>
        <w:ind w:left="288"/>
      </w:pPr>
      <w:r>
        <w:t xml:space="preserve">3.</w:t>
      </w:r>
      <w:r>
        <w:t xml:space="preserve"> — </w:t>
      </w:r>
      <w:r>
        <w:t xml:space="preserve">Abraham to Moses</w:t>
      </w:r>
    </w:p>
    <w:p>
      <w:pPr>
        <w:pStyle w:val="OutlineRow"/>
        <w:ind w:left="288"/>
      </w:pPr>
      <w:r>
        <w:t xml:space="preserve">4.</w:t>
      </w:r>
      <w:r>
        <w:t xml:space="preserve"> — </w:t>
      </w:r>
      <w:r>
        <w:t xml:space="preserve">Moses to David</w:t>
      </w:r>
    </w:p>
    <w:p>
      <w:pPr>
        <w:pStyle w:val="OutlineRow"/>
        <w:ind w:left="288"/>
      </w:pPr>
      <w:r>
        <w:t xml:space="preserve">5.</w:t>
      </w:r>
      <w:r>
        <w:t xml:space="preserve"> — </w:t>
      </w:r>
      <w:r>
        <w:t xml:space="preserve">David to captivity</w:t>
      </w:r>
    </w:p>
    <w:p>
      <w:pPr>
        <w:pStyle w:val="OutlineRow"/>
        <w:ind w:left="288"/>
      </w:pPr>
      <w:r>
        <w:t xml:space="preserve">6.</w:t>
      </w:r>
      <w:r>
        <w:t xml:space="preserve"> — </w:t>
      </w:r>
      <w:r>
        <w:t xml:space="preserve">Captivity to Christ</w:t>
      </w:r>
    </w:p>
    <w:p>
      <w:pPr>
        <w:pStyle w:val="OutlineRow"/>
        <w:ind w:left="288"/>
      </w:pPr>
      <w:r>
        <w:t xml:space="preserve">Second.</w:t>
      </w:r>
      <w:r>
        <w:t xml:space="preserve"> — </w:t>
      </w:r>
      <w:r>
        <w:t xml:space="preserve">Purchase of Redemption</w:t>
      </w:r>
    </w:p>
    <w:p>
      <w:pPr>
        <w:pStyle w:val="OutlineRow"/>
        <w:ind w:left="288"/>
      </w:pPr>
      <w:r>
        <w:t xml:space="preserve">1.</w:t>
      </w:r>
      <w:r>
        <w:t xml:space="preserve"> — </w:t>
      </w:r>
      <w:r>
        <w:t xml:space="preserve">Incarnation</w:t>
      </w:r>
    </w:p>
    <w:p>
      <w:pPr>
        <w:pStyle w:val="OutlineRow"/>
        <w:ind w:left="288"/>
      </w:pPr>
      <w:r>
        <w:t xml:space="preserve">2.</w:t>
      </w:r>
      <w:r>
        <w:t xml:space="preserve"> — </w:t>
      </w:r>
      <w:r>
        <w:t xml:space="preserve">Purchase</w:t>
      </w:r>
    </w:p>
    <w:p>
      <w:pPr>
        <w:pStyle w:val="OutlineRow"/>
        <w:ind w:left="288"/>
      </w:pPr>
      <w:r>
        <w:t xml:space="preserve">Third.</w:t>
      </w:r>
      <w:r>
        <w:t xml:space="preserve"> — </w:t>
      </w:r>
      <w:r>
        <w:t xml:space="preserve">Resurrection to the End of the World</w:t>
      </w:r>
    </w:p>
    <w:p>
      <w:pPr>
        <w:pStyle w:val="OutlineRow"/>
        <w:ind w:left="288"/>
      </w:pPr>
      <w:r>
        <w:t xml:space="preserve">1.</w:t>
      </w:r>
      <w:r>
        <w:t xml:space="preserve"> — </w:t>
      </w:r>
      <w:r>
        <w:t xml:space="preserve">General observations</w:t>
      </w:r>
    </w:p>
    <w:p>
      <w:pPr>
        <w:pStyle w:val="OutlineRow"/>
        <w:ind w:left="288"/>
      </w:pPr>
      <w:r>
        <w:t xml:space="preserve">2.</w:t>
      </w:r>
      <w:r>
        <w:t xml:space="preserve"> — </w:t>
      </w:r>
      <w:r>
        <w:t xml:space="preserve">Particular events</w:t>
      </w:r>
    </w:p>
    <w:p>
      <w:pPr>
        <w:pStyle w:val="OutlineRow"/>
        <w:ind w:left="576"/>
      </w:pPr>
      <w:r>
        <w:t xml:space="preserve">a.</w:t>
      </w:r>
      <w:r>
        <w:t xml:space="preserve"> — </w:t>
      </w:r>
      <w:r>
        <w:t xml:space="preserve">Works of Christ</w:t>
      </w:r>
    </w:p>
    <w:p>
      <w:pPr>
        <w:pStyle w:val="OutlineRow"/>
        <w:ind w:left="864"/>
      </w:pPr>
      <w:r>
        <w:t xml:space="preserve">(1.)</w:t>
      </w:r>
      <w:r>
        <w:t xml:space="preserve"> — </w:t>
      </w:r>
      <w:r>
        <w:t xml:space="preserve">Under grace</w:t>
      </w:r>
    </w:p>
    <w:p>
      <w:pPr>
        <w:pStyle w:val="OutlineRow"/>
        <w:ind w:left="1152"/>
      </w:pPr>
      <w:r>
        <w:t xml:space="preserve">(a.)</w:t>
      </w:r>
      <w:r>
        <w:t xml:space="preserve"> — </w:t>
      </w:r>
      <w:r>
        <w:t xml:space="preserve">Means of success</w:t>
      </w:r>
    </w:p>
    <w:p>
      <w:pPr>
        <w:pStyle w:val="OutlineRow"/>
        <w:ind w:left="1152"/>
      </w:pPr>
      <w:r>
        <w:t xml:space="preserve">(b.)</w:t>
      </w:r>
      <w:r>
        <w:t xml:space="preserve"> — </w:t>
      </w:r>
      <w:r>
        <w:t xml:space="preserve">How carried on in suffering state of the church</w:t>
      </w:r>
    </w:p>
    <w:p>
      <w:pPr>
        <w:pStyle w:val="OutlineRow"/>
        <w:ind w:left="1440"/>
      </w:pPr>
      <w:r>
        <w:t xml:space="preserve">1.</w:t>
      </w:r>
      <w:r>
        <w:t xml:space="preserve"> — </w:t>
      </w:r>
      <w:r>
        <w:t xml:space="preserve">From Christ's resurrection to fall of Antichrist</w:t>
      </w:r>
    </w:p>
    <w:p>
      <w:pPr>
        <w:pStyle w:val="OutlineRow"/>
        <w:ind w:left="1440"/>
      </w:pPr>
      <w:r>
        <w:t xml:space="preserve">a.</w:t>
      </w:r>
      <w:r>
        <w:t xml:space="preserve"> — </w:t>
      </w:r>
      <w:r>
        <w:t xml:space="preserve">To destruction of Jerusalem</w:t>
      </w:r>
    </w:p>
    <w:p>
      <w:pPr>
        <w:pStyle w:val="OutlineRow"/>
        <w:ind w:left="1440"/>
      </w:pPr>
      <w:r>
        <w:t xml:space="preserve">b.</w:t>
      </w:r>
      <w:r>
        <w:t xml:space="preserve"> — </w:t>
      </w:r>
      <w:r>
        <w:t xml:space="preserve">To destruction of Rome</w:t>
      </w:r>
    </w:p>
    <w:p>
      <w:pPr>
        <w:pStyle w:val="OutlineRow"/>
        <w:ind w:left="1440"/>
      </w:pPr>
      <w:r>
        <w:t xml:space="preserve">c.</w:t>
      </w:r>
      <w:r>
        <w:t xml:space="preserve"> — </w:t>
      </w:r>
      <w:r>
        <w:t xml:space="preserve">To fall of Antichrist</w:t>
      </w:r>
    </w:p>
    <w:p>
      <w:pPr>
        <w:pStyle w:val="OutlineRow"/>
        <w:ind w:left="1440"/>
      </w:pPr>
      <w:r>
        <w:t xml:space="preserve">(1.)</w:t>
      </w:r>
      <w:r>
        <w:t xml:space="preserve"> — </w:t>
      </w:r>
      <w:r>
        <w:t xml:space="preserve">Fall of Rome to rise of Antichrist</w:t>
      </w:r>
    </w:p>
    <w:p>
      <w:pPr>
        <w:pStyle w:val="OutlineRow"/>
        <w:ind w:left="1440"/>
      </w:pPr>
      <w:r>
        <w:t xml:space="preserve">(2.)</w:t>
      </w:r>
      <w:r>
        <w:t xml:space="preserve"> — </w:t>
      </w:r>
      <w:r>
        <w:t xml:space="preserve">Rise of Antichrist to Luther</w:t>
      </w:r>
    </w:p>
    <w:p>
      <w:pPr>
        <w:pStyle w:val="OutlineRow"/>
        <w:ind w:left="1440"/>
      </w:pPr>
      <w:r>
        <w:t xml:space="preserve">(3.)</w:t>
      </w:r>
      <w:r>
        <w:t xml:space="preserve"> — </w:t>
      </w:r>
      <w:r>
        <w:t xml:space="preserve">Reformation to present time</w:t>
      </w:r>
    </w:p>
    <w:p>
      <w:pPr>
        <w:pStyle w:val="OutlineRow"/>
        <w:ind w:left="1440"/>
      </w:pPr>
      <w:r>
        <w:t xml:space="preserve">(a.)</w:t>
      </w:r>
      <w:r>
        <w:t xml:space="preserve"> — </w:t>
      </w:r>
      <w:r>
        <w:t xml:space="preserve">Reformation</w:t>
      </w:r>
    </w:p>
    <w:p>
      <w:pPr>
        <w:pStyle w:val="OutlineRow"/>
        <w:ind w:left="1440"/>
      </w:pPr>
      <w:r>
        <w:t xml:space="preserve">(b.)</w:t>
      </w:r>
      <w:r>
        <w:t xml:space="preserve"> — </w:t>
      </w:r>
      <w:r>
        <w:t xml:space="preserve">Opposition</w:t>
      </w:r>
    </w:p>
    <w:p>
      <w:pPr>
        <w:pStyle w:val="OutlineRow"/>
        <w:ind w:left="1440"/>
      </w:pPr>
      <w:r>
        <w:t xml:space="preserve">(c.)</w:t>
      </w:r>
      <w:r>
        <w:t xml:space="preserve"> — </w:t>
      </w:r>
      <w:r>
        <w:t xml:space="preserve">Success</w:t>
      </w:r>
    </w:p>
    <w:p>
      <w:pPr>
        <w:pStyle w:val="OutlineRow"/>
        <w:ind w:left="1440"/>
      </w:pPr>
      <w:r>
        <w:t xml:space="preserve">(d.)</w:t>
      </w:r>
      <w:r>
        <w:t xml:space="preserve"> — </w:t>
      </w:r>
      <w:r>
        <w:t xml:space="preserve">Current state</w:t>
      </w:r>
    </w:p>
    <w:p>
      <w:pPr>
        <w:pStyle w:val="OutlineRow"/>
        <w:ind w:left="1440"/>
      </w:pPr>
      <w:r>
        <w:t xml:space="preserve">(4.)</w:t>
      </w:r>
      <w:r>
        <w:t xml:space="preserve"> — </w:t>
      </w:r>
      <w:r>
        <w:t xml:space="preserve">End of Satan's kingdom</w:t>
      </w:r>
    </w:p>
    <w:p>
      <w:pPr>
        <w:pStyle w:val="OutlineRow"/>
        <w:ind w:left="1440"/>
      </w:pPr>
      <w:r>
        <w:t xml:space="preserve">2.</w:t>
      </w:r>
      <w:r>
        <w:t xml:space="preserve"> — </w:t>
      </w:r>
      <w:r>
        <w:t xml:space="preserve">Era of peace and prosperity after the fall of Antichrist</w:t>
      </w:r>
    </w:p>
    <w:p>
      <w:pPr>
        <w:pStyle w:val="OutlineRow"/>
        <w:ind w:left="1440"/>
      </w:pPr>
      <w:r>
        <w:t xml:space="preserve">a.</w:t>
      </w:r>
      <w:r>
        <w:t xml:space="preserve"> — </w:t>
      </w:r>
      <w:r>
        <w:t xml:space="preserve">Prosperous state</w:t>
      </w:r>
    </w:p>
    <w:p>
      <w:pPr>
        <w:pStyle w:val="OutlineRow"/>
        <w:ind w:left="1440"/>
      </w:pPr>
      <w:r>
        <w:t xml:space="preserve">b.</w:t>
      </w:r>
      <w:r>
        <w:t xml:space="preserve"> — </w:t>
      </w:r>
      <w:r>
        <w:t xml:space="preserve">Final apostasy</w:t>
      </w:r>
    </w:p>
    <w:p>
      <w:pPr>
        <w:pStyle w:val="OutlineRow"/>
        <w:ind w:left="864"/>
      </w:pPr>
      <w:r>
        <w:t xml:space="preserve">(2.)</w:t>
      </w:r>
      <w:r>
        <w:t xml:space="preserve"> — </w:t>
      </w:r>
      <w:r>
        <w:t xml:space="preserve">Works under glory</w:t>
      </w:r>
    </w:p>
    <w:p>
      <w:pPr>
        <w:pStyle w:val="OutlineRow"/>
        <w:ind w:left="1440"/>
      </w:pPr>
      <w:r>
        <w:t xml:space="preserve">FINIS</w:t>
      </w:r>
    </w:p>
    <w:p>
      <w:pPr>
        <w:pStyle w:val="Heading2"/>
      </w:pPr>
      <w:bookmarkStart w:name="heading_contents_2" w:id="23"/>
      <w:r>
        <w:t xml:space="preserve">CONTENTS</w:t>
      </w:r>
      <w:bookmarkEnd w:id="23"/>
    </w:p>
    <w:p>
      <w:pPr>
        <w:pStyle w:val="ListText"/>
        <w:numPr>
          <w:ilvl w:val="0"/>
          <w:numId w:val="2"/>
        </w:numPr>
      </w:pPr>
      <w:r>
        <w:t xml:space="preserve">LIST OF ILLUSTRATIONS</w:t>
      </w:r>
    </w:p>
    <w:p>
      <w:pPr>
        <w:pStyle w:val="ListText"/>
        <w:numPr>
          <w:ilvl w:val="0"/>
          <w:numId w:val="2"/>
        </w:numPr>
      </w:pPr>
      <w:r>
        <w:t xml:space="preserve">EDITOR'S INTRODUCTION</w:t>
      </w:r>
    </w:p>
    <w:p>
      <w:pPr>
        <w:pStyle w:val="ListText"/>
        <w:numPr>
          <w:ilvl w:val="1"/>
          <w:numId w:val="2"/>
        </w:numPr>
      </w:pPr>
      <w:r>
        <w:t xml:space="preserve">The Setting Of The Redemption Discourse</w:t>
      </w:r>
    </w:p>
    <w:p>
      <w:pPr>
        <w:pStyle w:val="ListText"/>
        <w:numPr>
          <w:ilvl w:val="1"/>
          <w:numId w:val="2"/>
        </w:numPr>
      </w:pPr>
      <w:r>
        <w:t xml:space="preserve">The Composition Of The Redemption Discourse</w:t>
      </w:r>
    </w:p>
    <w:p>
      <w:pPr>
        <w:pStyle w:val="ListText"/>
        <w:numPr>
          <w:ilvl w:val="1"/>
          <w:numId w:val="2"/>
        </w:numPr>
      </w:pPr>
      <w:r>
        <w:t xml:space="preserve">The "History" Project</w:t>
      </w:r>
    </w:p>
    <w:p>
      <w:pPr>
        <w:pStyle w:val="ListText"/>
        <w:numPr>
          <w:ilvl w:val="1"/>
          <w:numId w:val="2"/>
        </w:numPr>
      </w:pPr>
      <w:r>
        <w:t xml:space="preserve">The Redemption Discourse And The "Miscellanies"</w:t>
      </w:r>
    </w:p>
    <w:p>
      <w:pPr>
        <w:pStyle w:val="ListText"/>
        <w:numPr>
          <w:ilvl w:val="1"/>
          <w:numId w:val="2"/>
        </w:numPr>
      </w:pPr>
      <w:r>
        <w:t xml:space="preserve">The Fate Of The Sermon Manuscripts</w:t>
      </w:r>
    </w:p>
    <w:p>
      <w:pPr>
        <w:pStyle w:val="ListText"/>
        <w:numPr>
          <w:ilvl w:val="1"/>
          <w:numId w:val="2"/>
        </w:numPr>
      </w:pPr>
      <w:r>
        <w:t xml:space="preserve">The Publication Of The Redemption Discourse</w:t>
      </w:r>
    </w:p>
    <w:p>
      <w:pPr>
        <w:pStyle w:val="ListText"/>
        <w:numPr>
          <w:ilvl w:val="1"/>
          <w:numId w:val="2"/>
        </w:numPr>
      </w:pPr>
      <w:r>
        <w:t xml:space="preserve">The Published Versions Of A History Of The Work Of Redemption</w:t>
      </w:r>
    </w:p>
    <w:p>
      <w:pPr>
        <w:pStyle w:val="ListText"/>
        <w:numPr>
          <w:ilvl w:val="1"/>
          <w:numId w:val="2"/>
        </w:numPr>
      </w:pPr>
      <w:r>
        <w:t xml:space="preserve">Redemption As A Theological Preoccupation In The New England Puritan Tradition</w:t>
      </w:r>
    </w:p>
    <w:p>
      <w:pPr>
        <w:pStyle w:val="ListText"/>
        <w:numPr>
          <w:ilvl w:val="1"/>
          <w:numId w:val="2"/>
        </w:numPr>
      </w:pPr>
      <w:r>
        <w:t xml:space="preserve">The Redemption Discourse And The Transformation Of The Sermon Form</w:t>
      </w:r>
    </w:p>
    <w:p>
      <w:pPr>
        <w:pStyle w:val="ListText"/>
        <w:numPr>
          <w:ilvl w:val="1"/>
          <w:numId w:val="2"/>
        </w:numPr>
      </w:pPr>
      <w:r>
        <w:t xml:space="preserve">Typology In Protestantism And Puritanism And In The Redemption Discourse</w:t>
      </w:r>
    </w:p>
    <w:p>
      <w:pPr>
        <w:pStyle w:val="ListText"/>
        <w:numPr>
          <w:ilvl w:val="1"/>
          <w:numId w:val="2"/>
        </w:numPr>
      </w:pPr>
      <w:r>
        <w:t xml:space="preserve">The Literary Structure Of The Redemption Discourse</w:t>
      </w:r>
    </w:p>
    <w:p>
      <w:pPr>
        <w:pStyle w:val="ListText"/>
        <w:numPr>
          <w:ilvl w:val="1"/>
          <w:numId w:val="2"/>
        </w:numPr>
      </w:pPr>
      <w:r>
        <w:t xml:space="preserve">The Projected Revision Of The Redemption Discourse</w:t>
      </w:r>
    </w:p>
    <w:p>
      <w:pPr>
        <w:pStyle w:val="ListText"/>
        <w:numPr>
          <w:ilvl w:val="1"/>
          <w:numId w:val="2"/>
        </w:numPr>
      </w:pPr>
      <w:r>
        <w:t xml:space="preserve">The Logical Structure Of The Redemption Discourse</w:t>
      </w:r>
    </w:p>
    <w:p>
      <w:pPr>
        <w:pStyle w:val="ListText"/>
        <w:numPr>
          <w:ilvl w:val="1"/>
          <w:numId w:val="2"/>
        </w:numPr>
      </w:pPr>
      <w:r>
        <w:t xml:space="preserve">Table I</w:t>
      </w:r>
    </w:p>
    <w:p>
      <w:pPr>
        <w:pStyle w:val="ListText"/>
        <w:numPr>
          <w:ilvl w:val="1"/>
          <w:numId w:val="2"/>
        </w:numPr>
      </w:pPr>
      <w:r>
        <w:t xml:space="preserve">Introduction</w:t>
      </w:r>
    </w:p>
    <w:p>
      <w:pPr>
        <w:pStyle w:val="ListText"/>
        <w:numPr>
          <w:ilvl w:val="1"/>
          <w:numId w:val="2"/>
        </w:numPr>
      </w:pPr>
      <w:r>
        <w:t xml:space="preserve">Critical Reception Of A History Of The Work Of Redemption</w:t>
      </w:r>
    </w:p>
    <w:p>
      <w:pPr>
        <w:pStyle w:val="ListText"/>
        <w:numPr>
          <w:ilvl w:val="1"/>
          <w:numId w:val="2"/>
        </w:numPr>
      </w:pPr>
      <w:r>
        <w:t xml:space="preserve">A History Of The Work Of Redemption And Nineteenth-Century Religion In America</w:t>
      </w:r>
    </w:p>
    <w:p>
      <w:pPr>
        <w:pStyle w:val="ListText"/>
        <w:numPr>
          <w:ilvl w:val="1"/>
          <w:numId w:val="2"/>
        </w:numPr>
      </w:pPr>
      <w:r>
        <w:t xml:space="preserve">Modern Appreciation For A History Of The Work Of Redemption</w:t>
      </w:r>
    </w:p>
    <w:p>
      <w:pPr>
        <w:pStyle w:val="ListText"/>
        <w:numPr>
          <w:ilvl w:val="1"/>
          <w:numId w:val="2"/>
        </w:numPr>
      </w:pPr>
      <w:r>
        <w:t xml:space="preserve">The Text Of The Redemption Discourse And Its Presentation In The Yale Edition</w:t>
      </w:r>
    </w:p>
    <w:p>
      <w:pPr>
        <w:pStyle w:val="ListText"/>
        <w:numPr>
          <w:ilvl w:val="1"/>
          <w:numId w:val="2"/>
        </w:numPr>
      </w:pPr>
      <w:r>
        <w:t xml:space="preserve">Acknowledgments</w:t>
      </w:r>
    </w:p>
    <w:p>
      <w:pPr>
        <w:pStyle w:val="ListText"/>
        <w:numPr>
          <w:ilvl w:val="2"/>
          <w:numId w:val="2"/>
        </w:numPr>
      </w:pPr>
      <w:r>
        <w:t xml:space="preserve">DOCTRINE</w:t>
      </w:r>
    </w:p>
    <w:p>
      <w:pPr>
        <w:pStyle w:val="ListText"/>
        <w:numPr>
          <w:ilvl w:val="1"/>
          <w:numId w:val="2"/>
        </w:numPr>
      </w:pPr>
      <w:r>
        <w:t xml:space="preserve">SERMON TWO</w:t>
      </w:r>
    </w:p>
    <w:p>
      <w:pPr>
        <w:pStyle w:val="ListText"/>
        <w:numPr>
          <w:ilvl w:val="2"/>
          <w:numId w:val="2"/>
        </w:numPr>
      </w:pPr>
      <w:r>
        <w:t xml:space="preserve">DOCTRINE</w:t>
      </w:r>
    </w:p>
    <w:p>
      <w:pPr>
        <w:pStyle w:val="ListText"/>
        <w:numPr>
          <w:ilvl w:val="1"/>
          <w:numId w:val="2"/>
        </w:numPr>
      </w:pPr>
      <w:r>
        <w:t xml:space="preserve">SERMON THREE</w:t>
      </w:r>
    </w:p>
    <w:p>
      <w:pPr>
        <w:pStyle w:val="ListText"/>
        <w:numPr>
          <w:ilvl w:val="1"/>
          <w:numId w:val="2"/>
        </w:numPr>
      </w:pPr>
      <w:r>
        <w:t xml:space="preserve">No. 2: SERMON FOUR</w:t>
      </w:r>
    </w:p>
    <w:p>
      <w:pPr>
        <w:pStyle w:val="ListText"/>
        <w:numPr>
          <w:ilvl w:val="2"/>
          <w:numId w:val="2"/>
        </w:numPr>
      </w:pPr>
      <w:r>
        <w:t xml:space="preserve">DOCTRINE</w:t>
      </w:r>
    </w:p>
    <w:p>
      <w:pPr>
        <w:pStyle w:val="ListText"/>
        <w:numPr>
          <w:ilvl w:val="2"/>
          <w:numId w:val="2"/>
        </w:numPr>
      </w:pPr>
      <w:r>
        <w:t xml:space="preserve">[DOCTRINE]</w:t>
      </w:r>
    </w:p>
    <w:p>
      <w:pPr>
        <w:pStyle w:val="ListText"/>
        <w:numPr>
          <w:ilvl w:val="1"/>
          <w:numId w:val="2"/>
        </w:numPr>
      </w:pPr>
      <w:r>
        <w:t xml:space="preserve">SERMON SIX</w:t>
      </w:r>
    </w:p>
    <w:p>
      <w:pPr>
        <w:pStyle w:val="ListText"/>
        <w:numPr>
          <w:ilvl w:val="2"/>
          <w:numId w:val="2"/>
        </w:numPr>
      </w:pPr>
      <w:r>
        <w:t xml:space="preserve">DOCTRINE</w:t>
      </w:r>
    </w:p>
    <w:p>
      <w:pPr>
        <w:pStyle w:val="ListText"/>
        <w:numPr>
          <w:ilvl w:val="2"/>
          <w:numId w:val="2"/>
        </w:numPr>
      </w:pPr>
      <w:r>
        <w:t xml:space="preserve">[DOCTRINE]</w:t>
      </w:r>
    </w:p>
    <w:p>
      <w:pPr>
        <w:pStyle w:val="ListText"/>
        <w:numPr>
          <w:ilvl w:val="1"/>
          <w:numId w:val="2"/>
        </w:numPr>
      </w:pPr>
      <w:r>
        <w:t xml:space="preserve">SERMON EIGHT</w:t>
      </w:r>
    </w:p>
    <w:p>
      <w:pPr>
        <w:pStyle w:val="ListText"/>
        <w:numPr>
          <w:ilvl w:val="2"/>
          <w:numId w:val="2"/>
        </w:numPr>
      </w:pPr>
      <w:r>
        <w:t xml:space="preserve">DOCTRINE</w:t>
      </w:r>
    </w:p>
    <w:p>
      <w:pPr>
        <w:pStyle w:val="ListText"/>
        <w:numPr>
          <w:ilvl w:val="1"/>
          <w:numId w:val="2"/>
        </w:numPr>
      </w:pPr>
      <w:r>
        <w:t xml:space="preserve">SERMON NINE</w:t>
      </w:r>
    </w:p>
    <w:p>
      <w:pPr>
        <w:pStyle w:val="ListText"/>
        <w:numPr>
          <w:ilvl w:val="2"/>
          <w:numId w:val="2"/>
        </w:numPr>
      </w:pPr>
      <w:r>
        <w:t xml:space="preserve">DOCTRINE</w:t>
      </w:r>
    </w:p>
    <w:p>
      <w:pPr>
        <w:pStyle w:val="ListText"/>
        <w:numPr>
          <w:ilvl w:val="2"/>
          <w:numId w:val="2"/>
        </w:numPr>
      </w:pPr>
      <w:r>
        <w:t xml:space="preserve">DOCTRINE</w:t>
      </w:r>
    </w:p>
    <w:p>
      <w:pPr>
        <w:pStyle w:val="ListText"/>
        <w:numPr>
          <w:ilvl w:val="1"/>
          <w:numId w:val="2"/>
        </w:numPr>
      </w:pPr>
      <w:r>
        <w:t xml:space="preserve">SERMON ELEVEN</w:t>
      </w:r>
    </w:p>
    <w:p>
      <w:pPr>
        <w:pStyle w:val="ListText"/>
        <w:numPr>
          <w:ilvl w:val="2"/>
          <w:numId w:val="2"/>
        </w:numPr>
      </w:pPr>
      <w:r>
        <w:t xml:space="preserve">DOCTRINE</w:t>
      </w:r>
    </w:p>
    <w:p>
      <w:pPr>
        <w:pStyle w:val="ListText"/>
        <w:numPr>
          <w:ilvl w:val="1"/>
          <w:numId w:val="2"/>
        </w:numPr>
      </w:pPr>
      <w:r>
        <w:t xml:space="preserve">No. 4: SERMON TWELVE</w:t>
      </w:r>
    </w:p>
    <w:p>
      <w:pPr>
        <w:pStyle w:val="ListText"/>
        <w:numPr>
          <w:ilvl w:val="2"/>
          <w:numId w:val="2"/>
        </w:numPr>
      </w:pPr>
      <w:r>
        <w:t xml:space="preserve">DOCTRINE</w:t>
      </w:r>
    </w:p>
    <w:p>
      <w:pPr>
        <w:pStyle w:val="ListText"/>
        <w:numPr>
          <w:ilvl w:val="1"/>
          <w:numId w:val="2"/>
        </w:numPr>
      </w:pPr>
      <w:r>
        <w:t xml:space="preserve">SERMON THIRTEEN</w:t>
      </w:r>
    </w:p>
    <w:p>
      <w:pPr>
        <w:pStyle w:val="ListText"/>
        <w:numPr>
          <w:ilvl w:val="2"/>
          <w:numId w:val="2"/>
        </w:numPr>
      </w:pPr>
      <w:r>
        <w:t xml:space="preserve">[DOCTRINE]</w:t>
      </w:r>
    </w:p>
    <w:p>
      <w:pPr>
        <w:pStyle w:val="ListText"/>
        <w:numPr>
          <w:ilvl w:val="1"/>
          <w:numId w:val="2"/>
        </w:numPr>
      </w:pPr>
      <w:r>
        <w:t xml:space="preserve">No. 5: SERMON FOURTEEN</w:t>
      </w:r>
    </w:p>
    <w:p>
      <w:pPr>
        <w:pStyle w:val="ListText"/>
        <w:numPr>
          <w:ilvl w:val="2"/>
          <w:numId w:val="2"/>
        </w:numPr>
      </w:pPr>
      <w:r>
        <w:t xml:space="preserve">DOCTRINE</w:t>
      </w:r>
    </w:p>
    <w:p>
      <w:pPr>
        <w:pStyle w:val="ListText"/>
        <w:numPr>
          <w:ilvl w:val="1"/>
          <w:numId w:val="2"/>
        </w:numPr>
      </w:pPr>
      <w:r>
        <w:t xml:space="preserve">SERMON FIFTEEN</w:t>
      </w:r>
    </w:p>
    <w:p>
      <w:pPr>
        <w:pStyle w:val="ListText"/>
        <w:numPr>
          <w:ilvl w:val="2"/>
          <w:numId w:val="2"/>
        </w:numPr>
      </w:pPr>
      <w:r>
        <w:t xml:space="preserve">[DOCTRINE]</w:t>
      </w:r>
    </w:p>
    <w:p>
      <w:pPr>
        <w:pStyle w:val="ListText"/>
        <w:numPr>
          <w:ilvl w:val="2"/>
          <w:numId w:val="2"/>
        </w:numPr>
      </w:pPr>
      <w:r>
        <w:t xml:space="preserve">[DOCTRINE]</w:t>
      </w:r>
    </w:p>
    <w:p>
      <w:pPr>
        <w:pStyle w:val="ListText"/>
        <w:numPr>
          <w:ilvl w:val="1"/>
          <w:numId w:val="2"/>
        </w:numPr>
      </w:pPr>
      <w:r>
        <w:t xml:space="preserve">SERMON SEVENTEEN</w:t>
      </w:r>
    </w:p>
    <w:p>
      <w:pPr>
        <w:pStyle w:val="ListText"/>
        <w:numPr>
          <w:ilvl w:val="2"/>
          <w:numId w:val="2"/>
        </w:numPr>
      </w:pPr>
      <w:r>
        <w:t xml:space="preserve">[DOCTRINE]</w:t>
      </w:r>
    </w:p>
    <w:p>
      <w:pPr>
        <w:pStyle w:val="ListText"/>
        <w:numPr>
          <w:ilvl w:val="2"/>
          <w:numId w:val="2"/>
        </w:numPr>
      </w:pPr>
      <w:r>
        <w:t xml:space="preserve">DOCTRINE</w:t>
      </w:r>
    </w:p>
    <w:p>
      <w:pPr>
        <w:pStyle w:val="ListText"/>
        <w:numPr>
          <w:ilvl w:val="2"/>
          <w:numId w:val="2"/>
        </w:numPr>
      </w:pPr>
      <w:r>
        <w:t xml:space="preserve">[DOCTRINE]</w:t>
      </w:r>
    </w:p>
    <w:p>
      <w:pPr>
        <w:pStyle w:val="ListText"/>
        <w:numPr>
          <w:ilvl w:val="2"/>
          <w:numId w:val="2"/>
        </w:numPr>
      </w:pPr>
      <w:r>
        <w:t xml:space="preserve">[DOCTRINE]</w:t>
      </w:r>
    </w:p>
    <w:p>
      <w:pPr>
        <w:pStyle w:val="ListText"/>
        <w:numPr>
          <w:ilvl w:val="1"/>
          <w:numId w:val="2"/>
        </w:numPr>
      </w:pPr>
      <w:r>
        <w:t xml:space="preserve">SERMON TWENTY-ONE</w:t>
      </w:r>
    </w:p>
    <w:p>
      <w:pPr>
        <w:pStyle w:val="ListText"/>
        <w:numPr>
          <w:ilvl w:val="2"/>
          <w:numId w:val="2"/>
        </w:numPr>
      </w:pPr>
      <w:r>
        <w:t xml:space="preserve">DOCTRINE</w:t>
      </w:r>
    </w:p>
    <w:p>
      <w:pPr>
        <w:pStyle w:val="ListText"/>
        <w:numPr>
          <w:ilvl w:val="2"/>
          <w:numId w:val="2"/>
        </w:numPr>
      </w:pPr>
      <w:r>
        <w:t xml:space="preserve">DOCTRINE</w:t>
      </w:r>
    </w:p>
    <w:p>
      <w:pPr>
        <w:pStyle w:val="ListText"/>
        <w:numPr>
          <w:ilvl w:val="2"/>
          <w:numId w:val="2"/>
        </w:numPr>
      </w:pPr>
      <w:r>
        <w:t xml:space="preserve">[DOCTRINE]</w:t>
      </w:r>
    </w:p>
    <w:p>
      <w:pPr>
        <w:pStyle w:val="ListText"/>
        <w:numPr>
          <w:ilvl w:val="2"/>
          <w:numId w:val="2"/>
        </w:numPr>
      </w:pPr>
      <w:r>
        <w:t xml:space="preserve">DOCTRINE</w:t>
      </w:r>
    </w:p>
    <w:p>
      <w:pPr>
        <w:pStyle w:val="ListText"/>
        <w:numPr>
          <w:ilvl w:val="2"/>
          <w:numId w:val="2"/>
        </w:numPr>
      </w:pPr>
      <w:r>
        <w:t xml:space="preserve">DOCTRINE</w:t>
      </w:r>
    </w:p>
    <w:p>
      <w:pPr>
        <w:pStyle w:val="ListText"/>
        <w:numPr>
          <w:ilvl w:val="2"/>
          <w:numId w:val="2"/>
        </w:numPr>
      </w:pPr>
      <w:r>
        <w:t xml:space="preserve">DOCTRINE</w:t>
      </w:r>
    </w:p>
    <w:p>
      <w:pPr>
        <w:pStyle w:val="ListText"/>
        <w:numPr>
          <w:ilvl w:val="2"/>
          <w:numId w:val="2"/>
        </w:numPr>
      </w:pPr>
      <w:r>
        <w:t xml:space="preserve">PROPOSITION</w:t>
      </w:r>
    </w:p>
    <w:p>
      <w:pPr>
        <w:pStyle w:val="ListText"/>
        <w:numPr>
          <w:ilvl w:val="2"/>
          <w:numId w:val="2"/>
        </w:numPr>
      </w:pPr>
      <w:r>
        <w:t xml:space="preserve">[DOCTRINE]</w:t>
      </w:r>
    </w:p>
    <w:p>
      <w:pPr>
        <w:pStyle w:val="ListText"/>
        <w:numPr>
          <w:ilvl w:val="2"/>
          <w:numId w:val="2"/>
        </w:numPr>
      </w:pPr>
      <w:r>
        <w:t xml:space="preserve">DOCTRINE</w:t>
      </w:r>
    </w:p>
    <w:p>
      <w:pPr>
        <w:pStyle w:val="ListText"/>
        <w:numPr>
          <w:ilvl w:val="2"/>
          <w:numId w:val="2"/>
        </w:numPr>
      </w:pPr>
      <w:r>
        <w:t xml:space="preserve">PROPOSITION</w:t>
      </w:r>
    </w:p>
    <w:p>
      <w:pPr>
        <w:pStyle w:val="ListText"/>
        <w:numPr>
          <w:ilvl w:val="2"/>
          <w:numId w:val="2"/>
        </w:numPr>
      </w:pPr>
      <w:r>
        <w:t xml:space="preserve">DOCTRINE</w:t>
      </w:r>
    </w:p>
    <w:p>
      <w:pPr>
        <w:pStyle w:val="ListText"/>
        <w:numPr>
          <w:ilvl w:val="2"/>
          <w:numId w:val="2"/>
        </w:numPr>
      </w:pPr>
      <w:r>
        <w:t xml:space="preserve">PROPOSITION</w:t>
      </w:r>
    </w:p>
    <w:p>
      <w:pPr>
        <w:pStyle w:val="ListText"/>
        <w:numPr>
          <w:ilvl w:val="2"/>
          <w:numId w:val="2"/>
        </w:numPr>
      </w:pPr>
      <w:r>
        <w:t xml:space="preserve">DOCTRINE</w:t>
      </w:r>
    </w:p>
    <w:p>
      <w:pPr>
        <w:pStyle w:val="ListText"/>
        <w:numPr>
          <w:ilvl w:val="0"/>
          <w:numId w:val="2"/>
        </w:numPr>
      </w:pPr>
      <w:r>
        <w:t xml:space="preserve">APPENDIXES</w:t>
      </w:r>
    </w:p>
    <w:p>
      <w:pPr>
        <w:pStyle w:val="ListText"/>
        <w:numPr>
          <w:ilvl w:val="1"/>
          <w:numId w:val="2"/>
        </w:numPr>
      </w:pPr>
      <w:r>
        <w:t xml:space="preserve">APPENDIX A: OUTLINE OF THE REDEMPTION DISCOURSE</w:t>
      </w:r>
    </w:p>
    <w:p>
      <w:pPr>
        <w:pStyle w:val="ListText"/>
        <w:numPr>
          <w:ilvl w:val="1"/>
          <w:numId w:val="2"/>
        </w:numPr>
      </w:pPr>
      <w:r>
        <w:t xml:space="preserve">APPENDIX B: JONATHAN EDWARDS' NOTEBOOKS FOR A HISTORY OF THE WORK OF REDEMPTION</w:t>
      </w:r>
    </w:p>
    <w:p>
      <w:pPr>
        <w:pStyle w:val="Heading1"/>
        <w:pageBreakBefore/>
      </w:pPr>
      <w:bookmarkStart w:name="heading_3_reception_influence_and_in" w:id="24"/>
      <w:r>
        <w:t xml:space="preserve">3. Reception, Influence, and Interpretation of A History of the Work of Redemption</w:t>
      </w:r>
      <w:bookmarkEnd w:id="24"/>
    </w:p>
    <w:p>
      <w:pPr>
        <w:pStyle w:val="Heading2"/>
      </w:pPr>
      <w:bookmarkStart w:name="heading_introduction" w:id="25"/>
      <w:r>
        <w:t xml:space="preserve">Introduction</w:t>
      </w:r>
      <w:bookmarkEnd w:id="25"/>
    </w:p>
    <w:p>
      <w:pPr>
        <w:pStyle w:val="BodyText"/>
      </w:pPr>
      <w:r>
        <w:t xml:space="preserve">To turn from questions about the composition, text, and structure of Jonathan Edwards' Redemption Discourse to the issue of the reception accorded </w:t>
      </w:r>
      <w:r>
        <w:rPr>
          <w:i/>
          <w:iCs/>
        </w:rPr>
        <w:t xml:space="preserve">A History of the Work of Redemption</w:t>
      </w:r>
      <w:r>
        <w:t xml:space="preserve"> and consideration of its subsequent influence is a dramatic shift. The first questions are largely certain and essentially determinate, while the others are typically problematic and unbounded. When there remain serious questions about a text, or problems in reconstructing techniques of composition, we can stipulate what evidence would put us in a position to resolve an issue, or at least to define it correctly. The question of influence is far more subtle, and must be framed in different ways depending, for example, upon whether the type of writing and the kind of influence are technical or popular.</w:t>
      </w:r>
    </w:p>
    <w:p>
      <w:pPr>
        <w:pStyle w:val="BodyText"/>
      </w:pPr>
      <w:r>
        <w:t xml:space="preserve">In the case of his technical theological writing, Edwards frequently cast his work in polemical terms. As a polemicist, he mercilessly attacked a position or an individual whose writings brought a particular issue into focus. Thus his discussion of freedom of the will was basically cast as a refutation of contemporary Arminianism and was a sustained criticism of Thomas Chubb, Daniel Whitby, and Isaac Watts.</w:t>
      </w:r>
      <w:r>
        <w:rPr>
          <w:rStyle w:val="FootnoteReference"/>
        </w:rPr>
        <w:footnoteReference w:id="131"/>
      </w:r>
      <w:r>
        <w:t xml:space="preserve"> Similarly his analysis of original sin was organized as a sustained</w:t>
      </w:r>
    </w:p>
    <w:p>
      <w:pPr>
        <w:pStyle w:val="SourcePage"/>
      </w:pPr>
      <w:r>
        <w:t xml:space="preserve">[p. 080]</w:t>
      </w:r>
    </w:p>
    <w:p>
      <w:pPr>
        <w:pStyle w:val="BodyText"/>
      </w:pPr>
      <w:r>
        <w:t xml:space="preserve">refutation of John Taylor's </w:t>
      </w:r>
      <w:r>
        <w:rPr>
          <w:i/>
          <w:iCs/>
        </w:rPr>
        <w:t xml:space="preserve">Scripture-Doctrine of Original Sin</w:t>
      </w:r>
      <w:r>
        <w:t xml:space="preserve">.</w:t>
      </w:r>
      <w:r>
        <w:rPr>
          <w:rStyle w:val="FootnoteReference"/>
        </w:rPr>
        <w:footnoteReference w:id="132"/>
      </w:r>
      <w:r>
        <w:t xml:space="preserve"> Of Edwards' major treatises, only his discussion of the </w:t>
      </w:r>
      <w:r>
        <w:rPr>
          <w:i/>
          <w:iCs/>
        </w:rPr>
        <w:t xml:space="preserve">Religious Affections</w:t>
      </w:r>
      <w:r>
        <w:t xml:space="preserve"> was not explicitly structured by reflection upon and disagreement with contemporaries' positions, although it took account of them implicitly.</w:t>
      </w:r>
      <w:r>
        <w:rPr>
          <w:rStyle w:val="FootnoteReference"/>
        </w:rPr>
        <w:footnoteReference w:id="133"/>
      </w:r>
      <w:r>
        <w:t xml:space="preserve"> Of course, shorter pieces, like selected entries in the "Miscellanies" and several longer essays like those posthumously published as </w:t>
      </w:r>
      <w:r>
        <w:rPr>
          <w:i/>
          <w:iCs/>
        </w:rPr>
        <w:t xml:space="preserve">Two Dissertations</w:t>
      </w:r>
      <w:r>
        <w:t xml:space="preserve">, were also much less polemical than such tracts as </w:t>
      </w:r>
      <w:r>
        <w:rPr>
          <w:i/>
          <w:iCs/>
        </w:rPr>
        <w:t xml:space="preserve">Freedom of the Will</w:t>
      </w:r>
      <w:r>
        <w:t xml:space="preserve"> and </w:t>
      </w:r>
      <w:r>
        <w:rPr>
          <w:i/>
          <w:iCs/>
        </w:rPr>
        <w:t xml:space="preserve">Original Sin</w:t>
      </w:r>
      <w:r>
        <w:t xml:space="preserve">. Furthermore, Edwards' protégés often developed his points, or his defenders and detractors engaged in continued exchanges. Indeed, the development of the technical points of Edwardsean theology across several generations provided the subject for Frank Hugh Foster's ambitious </w:t>
      </w:r>
      <w:r>
        <w:rPr>
          <w:i/>
          <w:iCs/>
        </w:rPr>
        <w:t xml:space="preserve">A Genetic History of the New England Theology</w:t>
      </w:r>
      <w:r>
        <w:t xml:space="preserve">, modeled on German historicist scholarship.</w:t>
      </w:r>
      <w:r>
        <w:rPr>
          <w:rStyle w:val="FootnoteReference"/>
        </w:rPr>
        <w:footnoteReference w:id="134"/>
      </w:r>
      <w:r>
        <w:t xml:space="preserve"> Foster was especially successful in tracing the extension of controversy and was thus able to chronicle, to some degree, the influence of Edwards and his work. We have, therefore, a means to assess Edwards' influence as it derived from his writings as a controversialist.</w:t>
      </w:r>
    </w:p>
    <w:p>
      <w:pPr>
        <w:pStyle w:val="BodyText"/>
      </w:pPr>
      <w:r>
        <w:t xml:space="preserve">No such possibilities exist with respect to assessing Edwards' influence upon popular religious culture. Here his writings were on the whole very much less explicitly shaped as polemical exchanges. Most were derived from sermons. In his actual preaching Edwards did not fail to address "hard sayings" to those potentially without faith, but the sermons were in general developed in terms of the structural pattern of text, doctrine, and application devoted to building up the faithful. Accordingly, the medium in which </w:t>
      </w:r>
      <w:r>
        <w:rPr>
          <w:i/>
          <w:iCs/>
        </w:rPr>
        <w:t xml:space="preserve">A History of the Work of Redemption</w:t>
      </w:r>
      <w:r>
        <w:t xml:space="preserve"> was cast removed it from the kind of attention that might have led to responses or placed it at the center of controversy.</w:t>
      </w:r>
    </w:p>
    <w:p>
      <w:pPr>
        <w:pStyle w:val="BodyText"/>
      </w:pPr>
      <w:r>
        <w:t xml:space="preserve">Additional difficulty in tracing the influence of </w:t>
      </w:r>
      <w:r>
        <w:rPr>
          <w:i/>
          <w:iCs/>
        </w:rPr>
        <w:t xml:space="preserve">Work of Redemption</w:t>
      </w:r>
      <w:r>
        <w:t xml:space="preserve"> arises from the accidents of its presentation to the public. It was developed as a series of sermons extending over half a year. There is no evidence that Edwards preached any of these thirty sermons again, individually or in subsets. Occasional visitors may have been present at one or even several of the particular occasions on which the lecture-discourses were given. But it is most improbable that, for</w:t>
      </w:r>
    </w:p>
    <w:p>
      <w:pPr>
        <w:pStyle w:val="SourcePage"/>
      </w:pPr>
      <w:r>
        <w:t xml:space="preserve">[p. 081]</w:t>
      </w:r>
    </w:p>
    <w:p>
      <w:pPr>
        <w:pStyle w:val="BodyText"/>
      </w:pPr>
      <w:r>
        <w:t xml:space="preserve">example, any other clergyman heard many (or even any) of them. It is possible that a student (living in the Edwards household while studying divinity) might have been present for the series, but if so, no records or reports have been located.</w:t>
      </w:r>
      <w:r>
        <w:rPr>
          <w:rStyle w:val="FootnoteReference"/>
        </w:rPr>
        <w:footnoteReference w:id="135"/>
      </w:r>
      <w:r>
        <w:t xml:space="preserve"> There is no conclusive evidence that a protégé like Samuel Hopkins (or indeed Joseph Bellamy) read the manuscript sermons. Jonathan Edwards, Jr., who transcribed them, </w:t>
      </w:r>
      <w:r>
        <w:rPr>
          <w:i/>
          <w:iCs/>
        </w:rPr>
        <w:t xml:space="preserve">may</w:t>
      </w:r>
      <w:r>
        <w:t xml:space="preserve"> have been the first to read them—and that well after his father's death.</w:t>
      </w:r>
    </w:p>
    <w:p>
      <w:pPr>
        <w:pStyle w:val="BodyText"/>
      </w:pPr>
      <w:r>
        <w:t xml:space="preserve">Furthermore, the Redemption Discourse was finally published some thirty-five years after its initial presentation from the pulpit, and approximately fifteen years after its author's death. At that point the initiative for issuing the sermons came from John Erskine, the New-World Edwardseans having failed to discover sufficient interest in publication of even selected literary remains of Edwards to make this much larger project feasible. The intervening period was also marked by decisive events—frontier violence as a part of the Seven Years' War, tariff struggles with England, controversies over political questions, the possibility of resistance to the English crown. No doubt in that kind of world the sermon series seemed far removed in cultural space as well as in time from the issues of moment in the last quarter of the eighteenth century. These factors (we should not exclude others) help to explain why there was a general lack of attention to—indeed a lack of interest in—Edwards' writings from shortly after his unexpected death. These circumstances affected reception of </w:t>
      </w:r>
      <w:r>
        <w:rPr>
          <w:i/>
          <w:iCs/>
        </w:rPr>
        <w:t xml:space="preserve">Work of Redemption</w:t>
      </w:r>
      <w:r>
        <w:t xml:space="preserve"> at least as much as they did the other writings published in his lifetime or shortly thereafter. It is difficult, if not impossible, to isolate the influence of </w:t>
      </w:r>
      <w:r>
        <w:rPr>
          <w:i/>
          <w:iCs/>
        </w:rPr>
        <w:t xml:space="preserve">Work of Redemption</w:t>
      </w:r>
      <w:r>
        <w:t xml:space="preserve"> from the question of Edwardsean influence generally.</w:t>
      </w:r>
    </w:p>
    <w:p>
      <w:pPr>
        <w:pStyle w:val="BodyText"/>
      </w:pPr>
      <w:r>
        <w:t xml:space="preserve">In the context of the broader Edwardsean legacy, Edwards' specific emphasis upon the Work of Redemption experienced a variety of fates. With respect to elite culture, little was done by his followers and protégés to continue his theological preoccupation with redemption as the grand and encompassing doctrine of the Christian religion. At most Edwards' interest in the millennium received renewed attention in the 1790s, and this was but a part or aspect of the broader redemption theme. Where explicit theological responses occurred in England they were largely critical (not to say hostile) in circles beyond</w:t>
      </w:r>
    </w:p>
    <w:p>
      <w:pPr>
        <w:pStyle w:val="SourcePage"/>
      </w:pPr>
      <w:r>
        <w:t xml:space="preserve">[p. 082]</w:t>
      </w:r>
    </w:p>
    <w:p>
      <w:pPr>
        <w:pStyle w:val="BodyText"/>
      </w:pPr>
      <w:r>
        <w:t xml:space="preserve">the evangelical camp that found his position congenial. Interestingly enough, more secular figures like George Bancroft and Harriet Beecher Stowe recognized, at a somewhat later date, that </w:t>
      </w:r>
      <w:r>
        <w:rPr>
          <w:i/>
          <w:iCs/>
        </w:rPr>
        <w:t xml:space="preserve">Work of Redemption</w:t>
      </w:r>
      <w:r>
        <w:t xml:space="preserve"> had both set the framework for American collective self-understanding and fostered the remarkable flowering of religious and theological discussion of the nineteenth century.</w:t>
      </w:r>
    </w:p>
    <w:p>
      <w:pPr>
        <w:pStyle w:val="BodyText"/>
      </w:pPr>
      <w:r>
        <w:t xml:space="preserve">With respect to popular culture, on the other hand, </w:t>
      </w:r>
      <w:r>
        <w:rPr>
          <w:i/>
          <w:iCs/>
        </w:rPr>
        <w:t xml:space="preserve">A History of the Work of Redemption</w:t>
      </w:r>
      <w:r>
        <w:t xml:space="preserve"> clearly had enormous influence. It was a manual of Calvinistic theology suited for lay readers and popular preachers. Here it influenced in a general way the millenarianism which was diffused throughout the culture. But it also nurtured the numerous religious groups, movements, and subcultures making claims to instant or living redemption that so flourished in the antebellum years. It may not be too much to suggest that Edwards' history was as influential as any other single book in fixing the cultural parameters of nineteenth-century American Protestant culture. It securely anchored American experience in a cosmic setting, locating it by means of reference to sacred Scripture and investing it with preeminent significance for concluding the drama of Christian redemption. It legitimated the social experiment that was the new American culture.</w:t>
      </w:r>
    </w:p>
    <w:p>
      <w:pPr>
        <w:pStyle w:val="BodyText"/>
      </w:pPr>
      <w:r>
        <w:rPr>
          <w:i/>
          <w:iCs/>
        </w:rPr>
        <w:t xml:space="preserve">Work of Redemption</w:t>
      </w:r>
      <w:r>
        <w:t xml:space="preserve"> made a mark in four different stages or separate settings. First, an immediate consequence of Edwards' virtual exile at Stockbridge and early death after moving to New Jersey was the contraction of debate and discussion about his work and a general diminution of his influence. Close associates like Joseph Bellamy and Samuel Hopkins (to identify certainly the most prominent clergymen who had personal ties to him) continued in close contact with him throughout the Stockbridge years (1750–57). It is also clear that these men deferred to him and looked to him as their intellectual mentor. Furthermore, he seems to have cultivated and maintained correspondence with individuals in the Middle Colonies (a prominent example being Aaron Burr, who wooed and married his daughter Esther) as well as in Scotland (where a figure as prominent as John Erskine clearly looked to him as a significant theological figure). But the kind of leadership Edwards continued to exercise in the last decade of his life was much less focused and effective in political and ecclesiastical terms than the role he had played earlier while in Northampton. There, through the Hampshire Association, he had represented Connecticut Valley religious interests against the Bay region and had emerged as spokesman for—while yet a discriminating</w:t>
      </w:r>
    </w:p>
    <w:p>
      <w:pPr>
        <w:pStyle w:val="SourcePage"/>
      </w:pPr>
      <w:r>
        <w:t xml:space="preserve">[p. 083]</w:t>
      </w:r>
    </w:p>
    <w:p>
      <w:pPr>
        <w:pStyle w:val="BodyText"/>
      </w:pPr>
      <w:r>
        <w:t xml:space="preserve">critic of the excesses manifested in—the Great Awakening. His social and political influence waned substantially in the last decade of his life, even if his powers as a controversialist, in more strictly theological circles, were at their height. At no point in this period did the subject of the Redemption Discourse receive extensive attention.</w:t>
      </w:r>
    </w:p>
    <w:p>
      <w:pPr>
        <w:pStyle w:val="BodyText"/>
      </w:pPr>
      <w:r>
        <w:t xml:space="preserve">In the years after Edwards' death, his work had its effect in two different areas, namely, the technical (theological) and the popular. Among theologians, he set the terms in which discussions, debates, and controversies moved toward progressive refinement of certain positions, for example, the freedom of the will. He defined the issues from which friends and foes alike began to argue out positions both nearer to and further from his own. But in this process his genius seems to take leave of the discussion. His way with a disputed point, like the terms in which the will is free, embodied an openness and vitality that marked it off from the narrowly conceived technical discussions in which his successors elaborated it. Something of the same constriction can be seen when Samuel Hopkins and Joseph Bellamy discuss the millennium by focusing on a particular question or questions to the neglect of the cosmic framework of redemption which marked Edwards' consideration of the matter. So in the narrower and technical sense, the Edwardsean legacy tended to be diminished even while being carried forward in the New Divinity Movement.</w:t>
      </w:r>
    </w:p>
    <w:p>
      <w:pPr>
        <w:pStyle w:val="BodyText"/>
      </w:pPr>
      <w:r>
        <w:t xml:space="preserve">Simultaneously, in its setting at the more popular level, the grand theme of God's Work of Redemption underwent another development. The broader program of revitalization that Edwards sought to root in the correct understanding of the divine ground and source of all things became so diffused that it scarcely retained any connections with its sources in his thought. By contrast with the increasingly arcane, even precious, discussions over technical points among ecclesiastics, the impulse he had done so much to initiate soon lost any particular identification with him and took on a life of its own as a virtually Lockean "new simple idea" of America, in which many innovative things were possible, and most things could flourish. It is very important to recognize this bifurcation between the two settings in which Edwards' influence developed. One was an increasingly restricted and technical legacy explicitly descending from him, while the other was a much broader cultural influence that received decisive impetus from his initiatives (and which appropriated his thought to issues and contexts he would scarcely have recognized, let alone approved). The distinction helps to explain why Edwards remains so</w:t>
      </w:r>
    </w:p>
    <w:p>
      <w:pPr>
        <w:pStyle w:val="SourcePage"/>
      </w:pPr>
      <w:r>
        <w:t xml:space="preserve">[p. 084]</w:t>
      </w:r>
    </w:p>
    <w:p>
      <w:pPr>
        <w:pStyle w:val="BodyText"/>
      </w:pPr>
      <w:r>
        <w:t xml:space="preserve">significant for American culture even while he seems to fade and disappear from it in the course of the nineteenth century.</w:t>
      </w:r>
      <w:r>
        <w:rPr>
          <w:rStyle w:val="FootnoteReference"/>
        </w:rPr>
        <w:footnoteReference w:id="136"/>
      </w:r>
    </w:p>
    <w:p>
      <w:pPr>
        <w:pStyle w:val="BodyText"/>
      </w:pPr>
      <w:r>
        <w:t xml:space="preserve">Edwards' self-proclaimed technical followers dealt in a version of his position so close to caricature that it would cease to be identified with him. Only someone as knowledgeable as Harriet Beecher Stowe would be able to identify the true extent of his influence as "a man who united in himself the natures of both a poet and a metaphysician, all whose experiences and feelings were as much more intense than those of common men as Dante's or Milton's."</w:t>
      </w:r>
      <w:r>
        <w:rPr>
          <w:rStyle w:val="FootnoteReference"/>
        </w:rPr>
        <w:footnoteReference w:id="137"/>
      </w:r>
      <w:r>
        <w:t xml:space="preserve"> She even interpreted those who radically rejected the New England system he sought to perfect—for example, the transcendentalists—as no less formed by his casting of the issues, a casting which had as one of its consequences the appearance "in the very bosom of the New England Church [of] a set of young people who were not merely indifferent to religion, but who hated it with the whole energy of their being."</w:t>
      </w:r>
      <w:r>
        <w:rPr>
          <w:rStyle w:val="FootnoteReference"/>
        </w:rPr>
        <w:footnoteReference w:id="138"/>
      </w:r>
      <w:r>
        <w:t xml:space="preserve"> Henry May conjectures that Perry Miller's insight about the connection between Edwards' thought and even the pantheistic heresies of Ralph Waldo Emerson and Theodore Parker may have been derived from Harriet Beecher Stowe's keen understanding.</w:t>
      </w:r>
      <w:r>
        <w:rPr>
          <w:rStyle w:val="FootnoteReference"/>
        </w:rPr>
        <w:footnoteReference w:id="139"/>
      </w:r>
      <w:r>
        <w:t xml:space="preserve"> The one shortcoming of this interpretation is that it deals with the question of his influence in high or literate culture only, failing to focus upon the depth and breadth to which he released "the whole waters of discussion."</w:t>
      </w:r>
      <w:r>
        <w:rPr>
          <w:rStyle w:val="FootnoteReference"/>
        </w:rPr>
        <w:footnoteReference w:id="140"/>
      </w:r>
      <w:r>
        <w:t xml:space="preserve"> Beyond Emerson and Parker, Edwards' imprint can be seen on religious figures as diverse as John Humphrey Noyes, Joseph Smith, Jr., and Mary Baker Eddy. It is clear, therefore, that not only did his influence pass beyond strictly religious circles into the culture at large, but also that, even within those circles, it reached far beyond the New Divinity party.</w:t>
      </w:r>
    </w:p>
    <w:p>
      <w:pPr>
        <w:pStyle w:val="BodyText"/>
      </w:pPr>
      <w:r>
        <w:t xml:space="preserve">Yet this diffusion of Edwards' legacy (as noted earlier) dissipated it so broadly that distinctive Edwardsean traits ceased to be obvious. It is extraordinary that while continued efforts were made to reissue his works, indeed to issue additional sermons and transcriptions of manuscripts, and even to begin inclusive collections, his direct influence declined. He must be counted obscure and little known, except</w:t>
      </w:r>
    </w:p>
    <w:p>
      <w:pPr>
        <w:pStyle w:val="SourcePage"/>
      </w:pPr>
      <w:r>
        <w:t xml:space="preserve">[p. 085]</w:t>
      </w:r>
    </w:p>
    <w:p>
      <w:pPr>
        <w:pStyle w:val="BodyText"/>
      </w:pPr>
      <w:r>
        <w:t xml:space="preserve">perhaps as a negative reference point, from the mid-nineteenth century at least until after the First World War. And even then such attention as was given to him, for example, in Vernon L. Parrington's review of American literature, amounted to a perfection of the caricature invited by his protégés.</w:t>
      </w:r>
      <w:r>
        <w:rPr>
          <w:rStyle w:val="FootnoteReference"/>
        </w:rPr>
        <w:footnoteReference w:id="141"/>
      </w:r>
    </w:p>
    <w:p>
      <w:pPr>
        <w:pStyle w:val="BodyText"/>
      </w:pPr>
      <w:r>
        <w:t xml:space="preserve">The fourth and final stage or setting is renewed appreciation for Edwards' stature. It has come only in the course of the twentieth century and has derived from several sources. One was the germination of systematic interest in the American tradition of philosophy. Herbert Wallace Schneider in particular established a context and major lines of development for interpreting philosophy in colonial America. In this Edwards inevitably loomed large.</w:t>
      </w:r>
      <w:r>
        <w:rPr>
          <w:rStyle w:val="FootnoteReference"/>
        </w:rPr>
        <w:footnoteReference w:id="142"/>
      </w:r>
      <w:r>
        <w:t xml:space="preserve"> A second source was in more strictly theological circles. The brilliant exposition by H. Richard Niebuhr in </w:t>
      </w:r>
      <w:r>
        <w:rPr>
          <w:i/>
          <w:iCs/>
        </w:rPr>
        <w:t xml:space="preserve">The Kingdom of God in America</w:t>
      </w:r>
      <w:r>
        <w:t xml:space="preserve"> pointed to Edwards' central role in the distinctive development of American theology.</w:t>
      </w:r>
      <w:r>
        <w:rPr>
          <w:rStyle w:val="FootnoteReference"/>
        </w:rPr>
        <w:footnoteReference w:id="143"/>
      </w:r>
      <w:r>
        <w:t xml:space="preserve"> More important yet, Perry Miller's work on colonial intellectual history necessarily singled him out as culmination and transformer of his own culture.</w:t>
      </w:r>
      <w:r>
        <w:rPr>
          <w:rStyle w:val="FootnoteReference"/>
        </w:rPr>
        <w:footnoteReference w:id="144"/>
      </w:r>
      <w:r>
        <w:t xml:space="preserve"> Of course, numerous other scholars contributed to this renewed appreciation of Edwards; among the early studies were Joseph Haroutunian's </w:t>
      </w:r>
      <w:r>
        <w:rPr>
          <w:i/>
          <w:iCs/>
        </w:rPr>
        <w:t xml:space="preserve">Piety versus Moralism</w:t>
      </w:r>
      <w:r>
        <w:t xml:space="preserve"> and Ola Winslow's painstaking biography, as well as the unusually durable collection of readings (with a fine introduction) issued by Clarence Faust and Thomas Johnson.</w:t>
      </w:r>
      <w:r>
        <w:rPr>
          <w:rStyle w:val="FootnoteReference"/>
        </w:rPr>
        <w:footnoteReference w:id="145"/>
      </w:r>
      <w:r>
        <w:t xml:space="preserve"> By the mid-twentieth century, Edwards had emerged from a long period of scholarly neglect. This neglect had started with his untimely death and the frustration of so many early projects to publish his writings posthumously, but it was fixed by the great separation between his influence in technical and in</w:t>
      </w:r>
    </w:p>
    <w:p>
      <w:pPr>
        <w:pStyle w:val="SourcePage"/>
      </w:pPr>
      <w:r>
        <w:t xml:space="preserve">[p. 086]</w:t>
      </w:r>
    </w:p>
    <w:p>
      <w:pPr>
        <w:pStyle w:val="BodyText"/>
      </w:pPr>
      <w:r>
        <w:t xml:space="preserve">popular circles. What will be evident is that, however much Edwards may have considered his Redemption project to be the sum and substance of his theological program, the Redemption Discourse as published was never received in those terms.</w:t>
      </w:r>
    </w:p>
    <w:p>
      <w:pPr>
        <w:pStyle w:val="Heading2"/>
      </w:pPr>
      <w:bookmarkStart w:name="heading_critical_reception_of_a_hist" w:id="26"/>
      <w:r>
        <w:t xml:space="preserve">Critical Reception Of A History Of The Work Of Redemption</w:t>
      </w:r>
      <w:bookmarkEnd w:id="26"/>
    </w:p>
    <w:p>
      <w:pPr>
        <w:pStyle w:val="BodyText"/>
      </w:pPr>
      <w:r>
        <w:t xml:space="preserve">While </w:t>
      </w:r>
      <w:r>
        <w:rPr>
          <w:i/>
          <w:iCs/>
        </w:rPr>
        <w:t xml:space="preserve">Work of Redemption</w:t>
      </w:r>
      <w:r>
        <w:t xml:space="preserve"> had its greatest influence in popular circles in the nineteenth century, from the year of its publication some writers criticized it extensively. Soon after the book appeared, the </w:t>
      </w:r>
      <w:r>
        <w:rPr>
          <w:i/>
          <w:iCs/>
        </w:rPr>
        <w:t xml:space="preserve">Monthly Review</w:t>
      </w:r>
      <w:r>
        <w:t xml:space="preserve"> carried an anonymous essay which suggests the British cultural elite's view of Edwards' explication of the Work of Redemption.</w:t>
      </w:r>
      <w:r>
        <w:rPr>
          <w:rStyle w:val="FootnoteReference"/>
        </w:rPr>
        <w:footnoteReference w:id="146"/>
      </w:r>
      <w:r>
        <w:t xml:space="preserve"> The review began with sarcastic reference to the subtitle of the book: "In a method </w:t>
      </w:r>
      <w:r>
        <w:rPr>
          <w:i/>
          <w:iCs/>
        </w:rPr>
        <w:t xml:space="preserve">entirely new</w:t>
      </w:r>
      <w:r>
        <w:t xml:space="preserve">!"</w:t>
      </w:r>
    </w:p>
    <w:p>
      <w:pPr>
        <w:pStyle w:val="BlockQuote"/>
      </w:pPr>
      <w:r>
        <w:t xml:space="preserve">With respect to these outlines of a </w:t>
      </w:r>
      <w:r>
        <w:rPr>
          <w:i/>
          <w:iCs/>
        </w:rPr>
        <w:t xml:space="preserve">new</w:t>
      </w:r>
      <w:r>
        <w:t xml:space="preserve"> body of divinity, as something will doubtless be expected from us concerning the Work, we must declare it—a long, laboured, dull, confused rhapsody; and far from being in a method entirely new, it is merely an attempt to revive the old mystical divinity that distracted the last age with pious conundrums: and which, having, long ago, emigrated to America, we have no reason to wish should ever be imported back again.</w:t>
      </w:r>
      <w:r>
        <w:rPr>
          <w:rStyle w:val="FootnoteReference"/>
        </w:rPr>
        <w:footnoteReference w:id="147"/>
      </w:r>
    </w:p>
    <w:p>
      <w:pPr>
        <w:pStyle w:val="BodyText"/>
      </w:pPr>
      <w:r>
        <w:t xml:space="preserve">The review clearly identified apocalyptic speculation as central to Edwards' work: "He has enriched his history with every thing that could be suggested by the most unbridled imagination."</w:t>
      </w:r>
      <w:r>
        <w:rPr>
          <w:rStyle w:val="FootnoteReference"/>
        </w:rPr>
        <w:footnoteReference w:id="148"/>
      </w:r>
      <w:r>
        <w:t xml:space="preserve"> It also took him to task for interpolations in his treatment of the scriptural account, seeing him as an "intoxicated visionary presuming to see the will of God." The review pronounced that, "When a visionary has once sufficiently intoxicated himself with pious reveries, it is wonderful to observe how important he becomes and how presumptuously familiar with his Maker!"</w:t>
      </w:r>
      <w:r>
        <w:rPr>
          <w:rStyle w:val="FootnoteReference"/>
        </w:rPr>
        <w:footnoteReference w:id="149"/>
      </w:r>
      <w:r>
        <w:t xml:space="preserve"> The review went on to chastise Edwards as "irreverent" for his predictions about the fulfillment of divine intentions in contingent events.</w:t>
      </w:r>
      <w:r>
        <w:rPr>
          <w:rStyle w:val="FootnoteReference"/>
        </w:rPr>
        <w:footnoteReference w:id="150"/>
      </w:r>
      <w:r>
        <w:t xml:space="preserve"> In addition, it taxed him with "extravagances," for instance, in providing details about the life of Christ</w:t>
      </w:r>
    </w:p>
    <w:p>
      <w:pPr>
        <w:pStyle w:val="SourcePage"/>
      </w:pPr>
      <w:r>
        <w:t xml:space="preserve">[p. 087]</w:t>
      </w:r>
    </w:p>
    <w:p>
      <w:pPr>
        <w:pStyle w:val="BodyText"/>
      </w:pPr>
      <w:r>
        <w:t xml:space="preserve">that did not exist in Scripture. Finally, he was pronounced a "poor departed enthusiast" and his treatise "nonsense."</w:t>
      </w:r>
      <w:r>
        <w:rPr>
          <w:rStyle w:val="FootnoteReference"/>
        </w:rPr>
        <w:footnoteReference w:id="151"/>
      </w:r>
    </w:p>
    <w:p>
      <w:pPr>
        <w:pStyle w:val="BodyText"/>
      </w:pPr>
      <w:r>
        <w:t xml:space="preserve">The author of this review has not been identified—and that is not important for our purposes. For the response does make clear just how anachronistic </w:t>
      </w:r>
      <w:r>
        <w:rPr>
          <w:i/>
          <w:iCs/>
        </w:rPr>
        <w:t xml:space="preserve">A History of the Work of Redemption</w:t>
      </w:r>
      <w:r>
        <w:t xml:space="preserve"> appeared in the more sophisticated cultural climate of London. (It may also be one index of the lack of sympathy for colonials on the eve of their war for independence.) In fact, it is noteworthy that such an extensive discussion was printed. Perhaps it was as much intended to be an indirect critique of Erskine and the Scottish evangelicals (who were more sympathetic to the colonials) as it was a review of Edwards' posthumously published sermon series. There does not appear to have been, however, a comparable response on the other side of the Atlantic, either to the initial publication or to reprintings.</w:t>
      </w:r>
    </w:p>
    <w:p>
      <w:pPr>
        <w:pStyle w:val="BodyText"/>
      </w:pPr>
      <w:r>
        <w:t xml:space="preserve">Another explicit discussion of </w:t>
      </w:r>
      <w:r>
        <w:rPr>
          <w:i/>
          <w:iCs/>
        </w:rPr>
        <w:t xml:space="preserve">Work of Redemption</w:t>
      </w:r>
      <w:r>
        <w:t xml:space="preserve">, while critical, is evidence for the more general influence the book had achieved in the popular religious culture within a half century. Edward W. Grinfield published </w:t>
      </w:r>
      <w:r>
        <w:rPr>
          <w:i/>
          <w:iCs/>
        </w:rPr>
        <w:t xml:space="preserve">The Nature and Extent of the Christian Dispensation with Reference to the Salvability of the Heathen</w:t>
      </w:r>
      <w:r>
        <w:t xml:space="preserve"> in 1827.</w:t>
      </w:r>
      <w:r>
        <w:rPr>
          <w:rStyle w:val="FootnoteReference"/>
        </w:rPr>
        <w:footnoteReference w:id="152"/>
      </w:r>
      <w:r>
        <w:t xml:space="preserve"> His book was dedicated to the Society for the Propagation of the Gospel in Foreign Parts and undertook to provide a theological basis for Christian missionary activities: "It is the general object and design of the present work to shew, that the principles of Christianity, as a divine dispensation, coincide with the acknowledged principles of moral science."</w:t>
      </w:r>
      <w:r>
        <w:rPr>
          <w:rStyle w:val="FootnoteReference"/>
        </w:rPr>
        <w:footnoteReference w:id="153"/>
      </w:r>
      <w:r>
        <w:t xml:space="preserve"> In particular, Grinfield argued that "Christ, in his office, as our Creator, Redeemer, and Judge, bears the same universal and impartial relation to all mankind, whether they are acquainted or not with the history of our redemption."</w:t>
      </w:r>
      <w:r>
        <w:rPr>
          <w:rStyle w:val="FootnoteReference"/>
        </w:rPr>
        <w:footnoteReference w:id="154"/>
      </w:r>
    </w:p>
    <w:p>
      <w:pPr>
        <w:pStyle w:val="BodyText"/>
      </w:pPr>
      <w:r>
        <w:t xml:space="preserve">Grinfield divided his tract into five parts—which in itself begins to suggest the emergence of the dispensationalist framework that, once developed, was soon extended to popular circles.</w:t>
      </w:r>
      <w:r>
        <w:rPr>
          <w:rStyle w:val="FootnoteReference"/>
        </w:rPr>
        <w:footnoteReference w:id="155"/>
      </w:r>
      <w:r>
        <w:t xml:space="preserve"> He used this format to summarize the changing administration of divine justice through the stages of the world's history. His first period was the antediluvian, the second the patriarchal, and the third "the Jewish economy." The fourth concerned the life of Christ. Grinfield proposed that "his character</w:t>
      </w:r>
    </w:p>
    <w:p>
      <w:pPr>
        <w:pStyle w:val="SourcePage"/>
      </w:pPr>
      <w:r>
        <w:t xml:space="preserve">[p. 088]</w:t>
      </w:r>
    </w:p>
    <w:p>
      <w:pPr>
        <w:pStyle w:val="BodyText"/>
      </w:pPr>
      <w:r>
        <w:t xml:space="preserve">and mission have a universal reference to the human race."</w:t>
      </w:r>
      <w:r>
        <w:rPr>
          <w:rStyle w:val="FootnoteReference"/>
        </w:rPr>
        <w:footnoteReference w:id="156"/>
      </w:r>
      <w:r>
        <w:t xml:space="preserve"> Finally, as the last stage, the apostolic writings were interpreted as warranting the salvability of the heathen. He argued for the universalism of Christianity in the following terms: "I would hope, that hereafter it will be no more doubted, that the general system of doctrine which they exhibit has a universal reference to the human race; than it is now doubted, that the principles of the Newtonian philosophy hold good to the world at large, whether believed in or not by the majority of mankind."</w:t>
      </w:r>
      <w:r>
        <w:rPr>
          <w:rStyle w:val="FootnoteReference"/>
        </w:rPr>
        <w:footnoteReference w:id="157"/>
      </w:r>
    </w:p>
    <w:p>
      <w:pPr>
        <w:pStyle w:val="BodyText"/>
      </w:pPr>
      <w:r>
        <w:t xml:space="preserve">In connection with offering this justification for mission activity, Grinfield felt moved to add an appendix to his treatise which responded explicitly to Edwards' more traditional and orthodox position. He characterized </w:t>
      </w:r>
      <w:r>
        <w:rPr>
          <w:i/>
          <w:iCs/>
        </w:rPr>
        <w:t xml:space="preserve">Work of Redemption</w:t>
      </w:r>
      <w:r>
        <w:t xml:space="preserve"> as "one of the most popular manuals of Calvinistic Theology," and noted that it was "peculiarly adapted for contrast with our argument, as it so nearly corresponds in its formal divisions, whilst it totally differs in its object and tendency."</w:t>
      </w:r>
      <w:r>
        <w:rPr>
          <w:rStyle w:val="FootnoteReference"/>
        </w:rPr>
        <w:footnoteReference w:id="158"/>
      </w:r>
      <w:r>
        <w:t xml:space="preserve"> Grinfield reviewed Edwards' argument in some thirty pages, disagreeing with him on particular points, but seeking to appropriate his universal framework of redemption as the fundamental work of God to his own position on the "salvability of the heathen."</w:t>
      </w:r>
    </w:p>
    <w:p>
      <w:pPr>
        <w:pStyle w:val="BodyText"/>
      </w:pPr>
      <w:r>
        <w:t xml:space="preserve">Grinfield's argument need not concern us in detail. His extensive discussion of </w:t>
      </w:r>
      <w:r>
        <w:rPr>
          <w:i/>
          <w:iCs/>
        </w:rPr>
        <w:t xml:space="preserve">Work of Redemption</w:t>
      </w:r>
      <w:r>
        <w:t xml:space="preserve"> does, however, point to two noteworthy issues. First, the use of the book as a foil indicates that it had become widely used as a guide to "Calvinistic Theology." This evidence confirms that its great effect and influence was, as John Erskine had intended, within the popular culture and thus upon common thought and experience. Doubtless it was staple reading for clergy, and its ideas had a continuing life on both sides of the Atlantic in sermons rather than essays, or in discussions rather than in literary codifications. It may also have served laity and their reading interests well, for it explained a cultural world even as it helped to bring it into existence and sustain it.</w:t>
      </w:r>
      <w:r>
        <w:rPr>
          <w:rStyle w:val="FootnoteReference"/>
        </w:rPr>
        <w:footnoteReference w:id="159"/>
      </w:r>
    </w:p>
    <w:p>
      <w:pPr>
        <w:pStyle w:val="SourcePage"/>
      </w:pPr>
      <w:r>
        <w:t xml:space="preserve">[p. 089]</w:t>
      </w:r>
    </w:p>
    <w:p>
      <w:pPr>
        <w:pStyle w:val="BodyText"/>
      </w:pPr>
      <w:r>
        <w:t xml:space="preserve">Another issue is more technical. There is no doubt that professedly Edwards moved wholly within Calvinism—that is, his scenario for the end of history anticipated a last judgment, the destruction of the wicked, and an end to this world. So in one sense Christ's atonement was limited in its effect. Yet beside these grim notes he sounded the theme that redemption would reconcile the whole creation to God as the means of his glorification. In this he displayed an incipient universalism that appears more as a tone of exultation and rejoicing than as a clear claim, at least in his published works. This suggests that Grinfield, perhaps unbeknownst to himself, while overtly criticizing Edwards' position, was simultaneously attempting to draw out implications from </w:t>
      </w:r>
      <w:r>
        <w:rPr>
          <w:i/>
          <w:iCs/>
        </w:rPr>
        <w:t xml:space="preserve">Work of Redemption</w:t>
      </w:r>
      <w:r>
        <w:t xml:space="preserve">, implications that existed as theological possibilities more than as developed points.</w:t>
      </w:r>
    </w:p>
    <w:p>
      <w:pPr>
        <w:pStyle w:val="BodyText"/>
      </w:pPr>
      <w:r>
        <w:t xml:space="preserve">A third, though brief, explicit discussion of </w:t>
      </w:r>
      <w:r>
        <w:rPr>
          <w:i/>
          <w:iCs/>
        </w:rPr>
        <w:t xml:space="preserve">Work of Redemption</w:t>
      </w:r>
      <w:r>
        <w:t xml:space="preserve">, first generally published in 1834, made even higher claims for its importance, while at the same time suggesting how a more secular and national reading of its significance had developed in the new United States. At the conclusion of the third volume of his </w:t>
      </w:r>
      <w:r>
        <w:rPr>
          <w:i/>
          <w:iCs/>
        </w:rPr>
        <w:t xml:space="preserve">History of the United States</w:t>
      </w:r>
      <w:r>
        <w:t xml:space="preserve"> (which marked the summary of his discussion of the era of colonization), George Bancroft permitted himself to reflect upon the deeper import and meaning of historiography.</w:t>
      </w:r>
      <w:r>
        <w:rPr>
          <w:rStyle w:val="FootnoteReference"/>
        </w:rPr>
        <w:footnoteReference w:id="160"/>
      </w:r>
      <w:r>
        <w:t xml:space="preserve"> He argued that "exact observation" is necessary for the "historic enquirer" but that the true meaning of the activity lies "behind" the observations: "Facts faithfully ascertained, and placed in proper contiguity, become of themselves the firm links of a brightly burnished chain, connecting events with their causes, and marking the line along which the electric power of truth is conveyed from generation to generation."</w:t>
      </w:r>
      <w:r>
        <w:rPr>
          <w:rStyle w:val="FootnoteReference"/>
        </w:rPr>
        <w:footnoteReference w:id="161"/>
      </w:r>
      <w:r>
        <w:t xml:space="preserve"> His point is that "historic truth" should "establish itself as a science." When it does, it will "become the highest demonstration of the superintending providence of God."</w:t>
      </w:r>
      <w:r>
        <w:rPr>
          <w:rStyle w:val="FootnoteReference"/>
        </w:rPr>
        <w:footnoteReference w:id="162"/>
      </w:r>
    </w:p>
    <w:p>
      <w:pPr>
        <w:pStyle w:val="BodyText"/>
      </w:pPr>
      <w:r>
        <w:t xml:space="preserve">This striking position leads Bancroft to affirm a belief in "progress in human affairs." Indeed, he sees universal history as an attempt "to relate 'the sum of all God's works of providence,'" and in so quoting Edwards credits him with this decisive formulation.</w:t>
      </w:r>
    </w:p>
    <w:p>
      <w:pPr>
        <w:pStyle w:val="BlockQuote"/>
      </w:pPr>
      <w:r>
        <w:t xml:space="preserve">In America, the first conception of its office, in the mind of Jonathan Edwards, though still cramped and perverted by theological</w:t>
      </w:r>
    </w:p>
    <w:p>
      <w:pPr>
        <w:pStyle w:val="SourcePage"/>
      </w:pPr>
      <w:r>
        <w:t xml:space="preserve">[p. 090]</w:t>
      </w:r>
    </w:p>
    <w:p>
      <w:pPr>
        <w:pStyle w:val="BodyText"/>
      </w:pPr>
      <w:r>
        <w:t xml:space="preserve">forms not derived from observation, was nobler than the theory of Vico: more grand and general than the method of Bossuet, it embraced in its outline the whole "work of redemption,"—the history of the influence of all moral truth in the gradual regeneration of humanity.</w:t>
      </w:r>
      <w:r>
        <w:rPr>
          <w:rStyle w:val="FootnoteReference"/>
        </w:rPr>
        <w:footnoteReference w:id="163"/>
      </w:r>
    </w:p>
    <w:p>
      <w:pPr>
        <w:pStyle w:val="BodyText"/>
      </w:pPr>
      <w:r>
        <w:t xml:space="preserve">No doubt Bancroft was in part being autobiographical in tracing to Edwards his own discovery of an inclusive conception to undergird his conviction that the birth of the American nation was a decisive event in world history. His testimony to Edwards' influence should certainly be joined to that of Harriet Beecher Stowe. Bancroft insists that a transposition occurred; Edwards' idea had its real significance in a context not his own. His theological approach had to give way, Bancroft suggests, to the science of history. So both Bancroft and Stowe support the more fundamental point that the decisive influence of </w:t>
      </w:r>
      <w:r>
        <w:rPr>
          <w:i/>
          <w:iCs/>
        </w:rPr>
        <w:t xml:space="preserve">Work of Redemption</w:t>
      </w:r>
      <w:r>
        <w:t xml:space="preserve"> appears as it is transformed in its contribution to nineteenth-century American culture. We might even argue that in this transformation it was fundamentally secularized.</w:t>
      </w:r>
    </w:p>
    <w:p>
      <w:pPr>
        <w:pStyle w:val="Heading2"/>
      </w:pPr>
      <w:bookmarkStart w:name="heading_a_history_of_the_work_of_red" w:id="27"/>
      <w:r>
        <w:t xml:space="preserve">A History Of The Work Of Redemption And Nineteenth-Century Religion In America</w:t>
      </w:r>
      <w:bookmarkEnd w:id="27"/>
    </w:p>
    <w:p>
      <w:pPr>
        <w:pStyle w:val="BodyText"/>
      </w:pPr>
      <w:r>
        <w:t xml:space="preserve">To discuss the secularization of Edwards' influence is certainly beyond the scope of this edition of </w:t>
      </w:r>
      <w:r>
        <w:rPr>
          <w:i/>
          <w:iCs/>
        </w:rPr>
        <w:t xml:space="preserve">Work of Redemption</w:t>
      </w:r>
      <w:r>
        <w:t xml:space="preserve">. He had, however, another kind of influence that must be reviewed. This was the direct or indirect effect of his embracing conception of the divine redemption of the world on more strictly popular religious developments, among them millenarianism.</w:t>
      </w:r>
    </w:p>
    <w:p>
      <w:pPr>
        <w:pStyle w:val="BodyText"/>
      </w:pPr>
      <w:r>
        <w:t xml:space="preserve">For the last quarter century, the subject of millenarianism in the development of nineteenth-century American culture has drawn extensive scholarly inquiry. At the center of this inquiry is the great division that occurred in thinking about the millennium in the nineteenth-century American context—a division which produced two separate subcultures. The expressed issue separating these parties was narrow and theological, namely whether a literal return of Christ was expected before the last judgment and the ensuing millennium, or whether the return would come spiritually in the course of the millennial period. This distinction is connected to markedly different conceptions of history, the nature of politics, and the place of religion in American society.</w:t>
      </w:r>
    </w:p>
    <w:p>
      <w:pPr>
        <w:pStyle w:val="SourcePage"/>
      </w:pPr>
      <w:r>
        <w:t xml:space="preserve">[p. 091]</w:t>
      </w:r>
    </w:p>
    <w:p>
      <w:pPr>
        <w:pStyle w:val="BodyText"/>
      </w:pPr>
      <w:r>
        <w:t xml:space="preserve">Adherents of the premillennial scheme, who expected Christ to return and reign more or less literally before the last judgment, took a dark view of human nature, emphasizing the role of evil in the world and the necessity for divine intervention to achieve its redemption. Such beliefs appealed to those unsympathetic to and critical of modern culture, whether expressed in a rational form derived from the Enlightenment or in an antirationalist Romantic version. This subculture or party tended to be populist, and those who espoused it were critical of high culture and its secularizing trends.</w:t>
      </w:r>
    </w:p>
    <w:p>
      <w:pPr>
        <w:pStyle w:val="BodyText"/>
      </w:pPr>
      <w:r>
        <w:t xml:space="preserve">The alternative subculture had affinities to modern notions of progress. The millennium, as the summary period of human history, was imagined as developing out of prior epochs, serving as their culmination. There would be no radical transformation of the world because none would be needed. The return of Christ, if such were required, would come during or even at the end of the millennium. In strict terms, the return of Christ would be postmillennial. The links between this position and both rational and antirational forms of modernism are clear.</w:t>
      </w:r>
    </w:p>
    <w:p>
      <w:pPr>
        <w:pStyle w:val="BodyText"/>
      </w:pPr>
      <w:r>
        <w:t xml:space="preserve">How does Jonathan Edwards, and more specifically his </w:t>
      </w:r>
      <w:r>
        <w:rPr>
          <w:i/>
          <w:iCs/>
        </w:rPr>
        <w:t xml:space="preserve">Work of Redemption</w:t>
      </w:r>
      <w:r>
        <w:t xml:space="preserve">, relate to this division within nineteenth-century American religion and culture? In an article published in 1959, Clarence C. Goen claimed that Edwards bore a particular responsibility for the development of the postmillenarian or millennialist position.</w:t>
      </w:r>
      <w:r>
        <w:rPr>
          <w:rStyle w:val="FootnoteReference"/>
        </w:rPr>
        <w:footnoteReference w:id="164"/>
      </w:r>
      <w:r>
        <w:t xml:space="preserve"> Indeed, in Goen's view, especially through the influence of </w:t>
      </w:r>
      <w:r>
        <w:rPr>
          <w:i/>
          <w:iCs/>
        </w:rPr>
        <w:t xml:space="preserve">Work of Redemption</w:t>
      </w:r>
      <w:r>
        <w:t xml:space="preserve">, Edwards himself began the new and progressive interpretation of the millennium so important in the nineteenth century.</w:t>
      </w:r>
    </w:p>
    <w:p>
      <w:pPr>
        <w:pStyle w:val="BodyText"/>
      </w:pPr>
      <w:r>
        <w:t xml:space="preserve">Serious questions can be raised with respect to the particular claim that Goen advanced. It is not at all clear that prior to Edwards interpretations of the millennium within Puritanism (either in England or America) were rigidly premillenarian in the way Goen supposed. Rather, one of the characteristics of millenarianism in seventeenth-century England, and later in the Colonies, was equivocation on just this point.</w:t>
      </w:r>
      <w:r>
        <w:rPr>
          <w:rStyle w:val="FootnoteReference"/>
        </w:rPr>
        <w:footnoteReference w:id="165"/>
      </w:r>
      <w:r>
        <w:t xml:space="preserve"> The two claims as to whether Christ would physically</w:t>
      </w:r>
    </w:p>
    <w:p>
      <w:pPr>
        <w:pStyle w:val="SourcePage"/>
      </w:pPr>
      <w:r>
        <w:t xml:space="preserve">[p. 092]</w:t>
      </w:r>
    </w:p>
    <w:p>
      <w:pPr>
        <w:pStyle w:val="BodyText"/>
      </w:pPr>
      <w:r>
        <w:t xml:space="preserve">return before or after the millennium featured more as complementary moods than mutually exclusive propositions in the literature of those centuries. Depending upon context and purpose, the same clerical figure, or contemporary figures in both the Old World and the New, could construe the millennium in ways that suggested one or the other without excluding the alternative. In many respects Edwards seems to continue to give voice to this equivocation, although he clearly emphasized the postmillenarian version.</w:t>
      </w:r>
    </w:p>
    <w:p>
      <w:pPr>
        <w:pStyle w:val="BodyText"/>
      </w:pPr>
      <w:r>
        <w:t xml:space="preserve">It is also not so evident that the distinction between pre- and post-millennialism which became current and led to alternative and (increasingly) mutually exclusive visions of the millennium derived so directly from Edwards. Probably this distinction became fully operative as a result of the revival of interest in eschatology that occurred in the 1790s. This revival has been summarized usefully by Ruth H. Bloch in a study titled </w:t>
      </w:r>
      <w:r>
        <w:rPr>
          <w:i/>
          <w:iCs/>
        </w:rPr>
        <w:t xml:space="preserve">Visionary Republic</w:t>
      </w:r>
      <w:r>
        <w:t xml:space="preserve">.</w:t>
      </w:r>
      <w:r>
        <w:rPr>
          <w:rStyle w:val="FootnoteReference"/>
        </w:rPr>
        <w:footnoteReference w:id="166"/>
      </w:r>
      <w:r>
        <w:t xml:space="preserve"> Her sixth chapter, "Exegesis," concerns what she terms the "eschatological revival of the 1790's," and notes the singular renewal of interest in such themes that took place in that decade. It was, for instance, marked by the republication of </w:t>
      </w:r>
      <w:r>
        <w:rPr>
          <w:i/>
          <w:iCs/>
        </w:rPr>
        <w:t xml:space="preserve">A History of the Work of Redemption</w:t>
      </w:r>
      <w:r>
        <w:t xml:space="preserve">, as well as by the reprinting of Joseph Bellamy's 1758 work on the millennium and the issuing of Samuel Hopkins' </w:t>
      </w:r>
      <w:r>
        <w:rPr>
          <w:i/>
          <w:iCs/>
        </w:rPr>
        <w:t xml:space="preserve">A Treatise on the Millennium</w:t>
      </w:r>
      <w:r>
        <w:t xml:space="preserve">—and also by actions as bizarre as David Austin's actual preparation for the great event.</w:t>
      </w:r>
      <w:r>
        <w:rPr>
          <w:rStyle w:val="FootnoteReference"/>
        </w:rPr>
        <w:footnoteReference w:id="167"/>
      </w:r>
      <w:r>
        <w:t xml:space="preserve"> Contemporary treatises by other authors indicate the scope of interest in this issue in the very early years of the new nation. Rather than the work of one or more writers, it was probably the extraordinary general interest in the millennium during this decade that gave currency to the alternatives of post- and premillenarianism.</w:t>
      </w:r>
      <w:r>
        <w:rPr>
          <w:rStyle w:val="FootnoteReference"/>
        </w:rPr>
        <w:footnoteReference w:id="168"/>
      </w:r>
    </w:p>
    <w:p>
      <w:pPr>
        <w:pStyle w:val="SourcePage"/>
      </w:pPr>
      <w:r>
        <w:t xml:space="preserve">[p. 093]</w:t>
      </w:r>
    </w:p>
    <w:p>
      <w:pPr>
        <w:pStyle w:val="BodyText"/>
      </w:pPr>
      <w:r>
        <w:t xml:space="preserve">Goen's article can be criticized for its specific claims, but it served a catalyst for a number of studies that explored the important theme of millenarianism as it developed out of the Great Awakening and into the period of the Revolution. Nathan O. Hatch has traced the evolution among the clerical generation of the war era of an emerging "civil millenarianism" that formed a bridge from religious conviction to political action. Alan Heimert made a suggestion with yet longer-term implications that the yearning for the millennium that was expressed in the Great Awakening issued finally in Jacksonian democracy.</w:t>
      </w:r>
      <w:r>
        <w:rPr>
          <w:rStyle w:val="FootnoteReference"/>
        </w:rPr>
        <w:footnoteReference w:id="169"/>
      </w:r>
      <w:r>
        <w:t xml:space="preserve"> Goen's posing of the problem thus offered a way to trace religious impulses of the Great Awakening into the revolutionary epoch and beyond; eschatological yearnings were seen to translate into the progressive achievements of the political order.</w:t>
      </w:r>
    </w:p>
    <w:p>
      <w:pPr>
        <w:pStyle w:val="BodyText"/>
      </w:pPr>
      <w:r>
        <w:t xml:space="preserve">This literature and the subject underlying it both signal the influence of </w:t>
      </w:r>
      <w:r>
        <w:rPr>
          <w:i/>
          <w:iCs/>
        </w:rPr>
        <w:t xml:space="preserve">Work of Redemption</w:t>
      </w:r>
      <w:r>
        <w:t xml:space="preserve"> in the religious and cultural development of the new republic. Its publication in the 1770s helped to fuel the transference of religious convictions into the political realm that became so important with the war effort. Edwards seemed to be speaking from the grave, even though he could not return to participate in the struggle in person. Of course, </w:t>
      </w:r>
      <w:r>
        <w:rPr>
          <w:i/>
          <w:iCs/>
        </w:rPr>
        <w:t xml:space="preserve">Work of Redemption</w:t>
      </w:r>
      <w:r>
        <w:t xml:space="preserve"> spoke in a religious idiom. It portrayed God's people, revitalized through the Spirit, as a part of God's work through Christ to redeem the entire creation. From its perspective, the founding of the American republic could be at best a foreshadowing of the renewal of God's people at the millennium. While the Work of Redemption would not be completed in America, for after the last judgment God's people could expect to be taken up to heaven with Christ, the young republic might be the setting for a new life of the Spirit in the same way that the Roman empire was the context for the first bodily coming of Christ. Viewed in mundane terms, republic and empire alike might be seen as instrumental with respect to development of the spiritual realm. But seen in the framework of divine redemption of the world, of course, each would appear as but a secondary setting for a decisive infusion of the Spirit.</w:t>
      </w:r>
    </w:p>
    <w:p>
      <w:pPr>
        <w:pStyle w:val="SourcePage"/>
      </w:pPr>
      <w:r>
        <w:t xml:space="preserve">[p. 094]</w:t>
      </w:r>
    </w:p>
    <w:p>
      <w:pPr>
        <w:pStyle w:val="BodyText"/>
      </w:pPr>
      <w:r>
        <w:t xml:space="preserve">In this context, the cultural effect of </w:t>
      </w:r>
      <w:r>
        <w:rPr>
          <w:i/>
          <w:iCs/>
        </w:rPr>
        <w:t xml:space="preserve">Work of Redemption</w:t>
      </w:r>
      <w:r>
        <w:t xml:space="preserve"> was to legitimate and foster popular expressions of religious spirituality that ranged sufficiently widely to compass the Shakers as they developed Ann Lee's visions,</w:t>
      </w:r>
      <w:r>
        <w:rPr>
          <w:rStyle w:val="FootnoteReference"/>
        </w:rPr>
        <w:footnoteReference w:id="170"/>
      </w:r>
      <w:r>
        <w:t xml:space="preserve"> Joseph Smith, Jr., and the Latter-day Saints, John Humphrey Noyes and his Perfectionists, increasingly strident dispensationalists who marked out special administrations of divine agency in specific periods of redemption, and even the remarkable Mary Baker Eddy with her claims to transcendental healing. One unfortunate by-product of emphasis upon the two versions of millenarianism has been to deflect attention from the more general and profound religious themes which Edwards' writings had a part in shaping and which coursed through the popular religious culture of the nineteenth century. In this area the impact of his popular treatise on Calvinism deserves sustained and imaginative attention.</w:t>
      </w:r>
    </w:p>
    <w:p>
      <w:pPr>
        <w:pStyle w:val="Heading2"/>
      </w:pPr>
      <w:bookmarkStart w:name="heading_modern_appreciation_for_a_hi" w:id="28"/>
      <w:r>
        <w:t xml:space="preserve">Modern Appreciation For A History Of The Work Of Redemption</w:t>
      </w:r>
      <w:bookmarkEnd w:id="28"/>
    </w:p>
    <w:p>
      <w:pPr>
        <w:pStyle w:val="BodyText"/>
      </w:pPr>
      <w:r>
        <w:t xml:space="preserve">In the course of the last fifty years Edwards, and especially his </w:t>
      </w:r>
      <w:r>
        <w:rPr>
          <w:i/>
          <w:iCs/>
        </w:rPr>
        <w:t xml:space="preserve">Work of Redemption</w:t>
      </w:r>
      <w:r>
        <w:t xml:space="preserve">, have received critical recognition for their significance in American culture. No introduction to a new edition of that book would be complete without at least a brief discussion of how the magnum opus that he envisioned but never achieved has been interpreted in Edwards' reclamation from obscurity.</w:t>
      </w:r>
    </w:p>
    <w:p>
      <w:pPr>
        <w:pStyle w:val="BodyText"/>
      </w:pPr>
      <w:r>
        <w:t xml:space="preserve">In his 1930 study, </w:t>
      </w:r>
      <w:r>
        <w:rPr>
          <w:i/>
          <w:iCs/>
        </w:rPr>
        <w:t xml:space="preserve">The Puritan Mind</w:t>
      </w:r>
      <w:r>
        <w:t xml:space="preserve">, Herbert Wallace Schneider indicated, albeit in brief compass, how </w:t>
      </w:r>
      <w:r>
        <w:rPr>
          <w:i/>
          <w:iCs/>
        </w:rPr>
        <w:t xml:space="preserve">Work of Redemption</w:t>
      </w:r>
      <w:r>
        <w:t xml:space="preserve"> could be interpreted in terms of philosophical idealism so as to understand its extraordinary achievement and power: "In the very structure of being, God is seen to exhibit his sovereignty, and, in the philosophic heavens, the Holy Commonwealth exists eternally. Thus the social idealism which New England had rejected is sublimated and enshrined in the changeless structure of an idealistic metaphysics."</w:t>
      </w:r>
      <w:r>
        <w:rPr>
          <w:rStyle w:val="FootnoteReference"/>
        </w:rPr>
        <w:footnoteReference w:id="171"/>
      </w:r>
      <w:r>
        <w:t xml:space="preserve"> Schneider did very little to amplify this interpretation, but it suggests how modern critical perspectives could find beneath Edwards' dramatization</w:t>
      </w:r>
    </w:p>
    <w:p>
      <w:pPr>
        <w:pStyle w:val="SourcePage"/>
      </w:pPr>
      <w:r>
        <w:t xml:space="preserve">[p. 095]</w:t>
      </w:r>
    </w:p>
    <w:p>
      <w:pPr>
        <w:pStyle w:val="BodyText"/>
      </w:pPr>
      <w:r>
        <w:t xml:space="preserve">of the moral life a profound program in idealism that was at one with his more strictly philosophical interests.</w:t>
      </w:r>
    </w:p>
    <w:p>
      <w:pPr>
        <w:pStyle w:val="BodyText"/>
      </w:pPr>
      <w:r>
        <w:t xml:space="preserve">Fuller attention was given to </w:t>
      </w:r>
      <w:r>
        <w:rPr>
          <w:i/>
          <w:iCs/>
        </w:rPr>
        <w:t xml:space="preserve">Work of Redemption</w:t>
      </w:r>
      <w:r>
        <w:t xml:space="preserve"> in a quite remarkable monograph by H. Richard Niebuhr, </w:t>
      </w:r>
      <w:r>
        <w:rPr>
          <w:i/>
          <w:iCs/>
        </w:rPr>
        <w:t xml:space="preserve">The Kingdom of God in America</w:t>
      </w:r>
      <w:r>
        <w:t xml:space="preserve">. This was a supplement and sequel to </w:t>
      </w:r>
      <w:r>
        <w:rPr>
          <w:i/>
          <w:iCs/>
        </w:rPr>
        <w:t xml:space="preserve">The Social Sources of Denominationalism</w:t>
      </w:r>
      <w:r>
        <w:t xml:space="preserve">, the thesis of which was to examine "the influence of social forces on faith … by tracing the sociological pattern of race, class and sectional interests as it manifested itself in the denominations."</w:t>
      </w:r>
      <w:r>
        <w:rPr>
          <w:rStyle w:val="FootnoteReference"/>
        </w:rPr>
        <w:footnoteReference w:id="172"/>
      </w:r>
      <w:r>
        <w:t xml:space="preserve"> In </w:t>
      </w:r>
      <w:r>
        <w:rPr>
          <w:i/>
          <w:iCs/>
        </w:rPr>
        <w:t xml:space="preserve">The Kingdom of God in America</w:t>
      </w:r>
      <w:r>
        <w:t xml:space="preserve"> Niebuhr sought to deal with American Christianity as a religious movement in terms of the ideal of the kingdom of God coming to earth. In this perspective he traced the concept's development from its first appearance in early Protestantism, through its establishment in Puritanism, to its transformation in the late colonial era and the new republic, and finally into the social programs of the nineteenth century. The details of Niebuhr's overall argument are less significant for our current purpose than the role he assigned to Edwards, and especially the Edwards who spoke of redemption and framed it as </w:t>
      </w:r>
      <w:r>
        <w:rPr>
          <w:i/>
          <w:iCs/>
        </w:rPr>
        <w:t xml:space="preserve">the</w:t>
      </w:r>
      <w:r>
        <w:t xml:space="preserve"> basic doctrine in </w:t>
      </w:r>
      <w:r>
        <w:rPr>
          <w:i/>
          <w:iCs/>
        </w:rPr>
        <w:t xml:space="preserve">Work of Redemption</w:t>
      </w:r>
      <w:r>
        <w:t xml:space="preserve">. Edwards and the Great Awakening were for Niebuhr the bridge by which the earlier religious emphasis on divine sovereignty passed over into an impulse to transform the common life in the nineteenth century. Thus "the coming kingdom understood as the apocalypse of the divine sovereignty was the fruition not only of divine goodness but of human badness in conflict with that unconquerable goodness."</w:t>
      </w:r>
      <w:r>
        <w:rPr>
          <w:rStyle w:val="FootnoteReference"/>
        </w:rPr>
        <w:footnoteReference w:id="173"/>
      </w:r>
      <w:r>
        <w:t xml:space="preserve"> In this way, though treating it under the symbol of the kingdom, Niebuhr installed Edwards' theme of God's redemption of the world as at once the core of the Christian movement in America and the central meaning and significance of the culture.</w:t>
      </w:r>
    </w:p>
    <w:p>
      <w:pPr>
        <w:pStyle w:val="BodyText"/>
      </w:pPr>
      <w:r>
        <w:t xml:space="preserve">While neither Schneider nor Niebuhr devoted extensive attention to interpretation of </w:t>
      </w:r>
      <w:r>
        <w:rPr>
          <w:i/>
          <w:iCs/>
        </w:rPr>
        <w:t xml:space="preserve">Work of Redemption</w:t>
      </w:r>
      <w:r>
        <w:t xml:space="preserve">, each in his own fashion retrieved it from its obscurity, at least for the elite culture. Both also placed it at the center of Edwards' life's work, even as Edwards was installed at the center of the story of the predominantly Protestant culture of America. The one emphasized his philosophical idealism, the other his theological program. But each interpreter directed attention to </w:t>
      </w:r>
      <w:r>
        <w:rPr>
          <w:i/>
          <w:iCs/>
        </w:rPr>
        <w:t xml:space="preserve">Work of Redemption</w:t>
      </w:r>
      <w:r>
        <w:t xml:space="preserve"> as the foundation of Edwards' contribution</w:t>
      </w:r>
    </w:p>
    <w:p>
      <w:pPr>
        <w:pStyle w:val="SourcePage"/>
      </w:pPr>
      <w:r>
        <w:t xml:space="preserve">[p. 096]</w:t>
      </w:r>
    </w:p>
    <w:p>
      <w:pPr>
        <w:pStyle w:val="BodyText"/>
      </w:pPr>
      <w:r>
        <w:t xml:space="preserve">to American cultural development. More explicit interpretation of </w:t>
      </w:r>
      <w:r>
        <w:rPr>
          <w:i/>
          <w:iCs/>
        </w:rPr>
        <w:t xml:space="preserve">Work of Redemption</w:t>
      </w:r>
      <w:r>
        <w:t xml:space="preserve"> came in the post-World War II era.</w:t>
      </w:r>
    </w:p>
    <w:p>
      <w:pPr>
        <w:pStyle w:val="BodyText"/>
      </w:pPr>
      <w:r>
        <w:t xml:space="preserve">However it is finally evaluated, Perry Miller's intellectual biography of Edwards signals the broader rehabilitation his reputation received at mid-twentieth century. Miller made of Edwards a solitary frontier figure who nonetheless wrestled with and finally made his own the elements of modernity which would be so consequential in the next several centuries. The biography is a bold and heroic delineation of that life of the mind which Miller himself supremely appreciated and found so rarely embodied. In a sense Edwards became his alter ego in relation to the tradition he plumbed so deeply. Of all Miller's chapters which treated Edwards' appropriation of the modern world taking shape in his own time, the last one, "History," can be considered the most problematic.</w:t>
      </w:r>
    </w:p>
    <w:p>
      <w:pPr>
        <w:pStyle w:val="BodyText"/>
      </w:pPr>
      <w:r>
        <w:t xml:space="preserve">Miller's claim was that had Edwards lived to work through and publish the "history" of which he wrote to the trustees at Princeton, "he would … have furnished America with the first glimmerings of historical method."</w:t>
      </w:r>
      <w:r>
        <w:rPr>
          <w:rStyle w:val="FootnoteReference"/>
        </w:rPr>
        <w:footnoteReference w:id="174"/>
      </w:r>
      <w:r>
        <w:t xml:space="preserve"> This was a reflection and extension of Bancroft's judgment. In Miller's view, this achievement would have ranked with Edwards' more readily acknowledged appropriation of Locke and his at least partial understanding of Newton—to refer to the kind of issue Miller used to index Edwards' modernity. Miller continued his discussion of </w:t>
      </w:r>
      <w:r>
        <w:rPr>
          <w:i/>
          <w:iCs/>
        </w:rPr>
        <w:t xml:space="preserve">Work of Redemption:</w:t>
      </w:r>
      <w:r>
        <w:t xml:space="preserve"> "Even though lacking the scholarship to support it, [it] would still have been, in the reckoning of today, an immense enrichment of the intellectual heritage of the nation."</w:t>
      </w:r>
      <w:r>
        <w:rPr>
          <w:rStyle w:val="FootnoteReference"/>
        </w:rPr>
        <w:footnoteReference w:id="175"/>
      </w:r>
    </w:p>
    <w:p>
      <w:pPr>
        <w:pStyle w:val="BodyText"/>
      </w:pPr>
      <w:r>
        <w:t xml:space="preserve">Miller's argument was that while the "surface narrative" of </w:t>
      </w:r>
      <w:r>
        <w:rPr>
          <w:i/>
          <w:iCs/>
        </w:rPr>
        <w:t xml:space="preserve">Work of Redemption</w:t>
      </w:r>
      <w:r>
        <w:t xml:space="preserve"> "sounds like a story book for fundamentalists," at a deeper level it recognized the elementary truth that data must be interpreted.</w:t>
      </w:r>
      <w:r>
        <w:rPr>
          <w:rStyle w:val="FootnoteReference"/>
        </w:rPr>
        <w:footnoteReference w:id="176"/>
      </w:r>
      <w:r>
        <w:t xml:space="preserve"> Certainly Edwards followed through on this insight by adopting a Scripture-derived framework of interpretation. But in Miller's view "the real thesis of the </w:t>
      </w:r>
      <w:r>
        <w:rPr>
          <w:i/>
          <w:iCs/>
        </w:rPr>
        <w:t xml:space="preserve">History of Redemption</w:t>
      </w:r>
      <w:r>
        <w:t xml:space="preserve"> is the unity of history."</w:t>
      </w:r>
      <w:r>
        <w:rPr>
          <w:rStyle w:val="FootnoteReference"/>
        </w:rPr>
        <w:footnoteReference w:id="177"/>
      </w:r>
      <w:r>
        <w:t xml:space="preserve"> Miller certainly acknowledges its provincial cast: "It is the history of Northampton writ large," he says at one point. But Edwards brought his town to the very portals of the millennium.</w:t>
      </w:r>
      <w:r>
        <w:rPr>
          <w:rStyle w:val="FootnoteReference"/>
        </w:rPr>
        <w:footnoteReference w:id="178"/>
      </w:r>
    </w:p>
    <w:p>
      <w:pPr>
        <w:pStyle w:val="SourcePage"/>
      </w:pPr>
      <w:r>
        <w:t xml:space="preserve">[p. 097]</w:t>
      </w:r>
    </w:p>
    <w:p>
      <w:pPr>
        <w:pStyle w:val="BodyText"/>
      </w:pPr>
      <w:r>
        <w:t xml:space="preserve">So high is Miller's estimate of Edwards' achievement that he does not draw back from suggesting that comparison would be appropriate between Edwards' philosophy of history and that of a figure as important as Marx. Thus Miller saw in </w:t>
      </w:r>
      <w:r>
        <w:rPr>
          <w:i/>
          <w:iCs/>
        </w:rPr>
        <w:t xml:space="preserve">Work of Redemption</w:t>
      </w:r>
      <w:r>
        <w:t xml:space="preserve"> evidence for modernity because its author understood the decisive significance of interpretation: to comprehend that interpretation is necessary is prerequisite to appreciating that the nature of human existence is inevitably historical.</w:t>
      </w:r>
    </w:p>
    <w:p>
      <w:pPr>
        <w:pStyle w:val="BodyText"/>
      </w:pPr>
      <w:r>
        <w:t xml:space="preserve">At least three considerations prompt comment. First, the issue of interpretation is an ancient problem within the tradition of Christian thought. Indeed, the hermeneutical issue lay behind the typological tradition Edwards used so extensively in the Redemption Discourse. What may be new about the issue in modern historiography is recognition that there are many different interpretations of given facts. In failing to stress Edwards' continuities with his past, Miller has too strongly cast him as modern. On the other hand, he may have done so because he failed to distinguish between several kinds of interpretation. At this point Miller's argument is inadequately developed. That in some formal sense Edwards recognized the necessity of interpretation with respect to history is not an issue. What is important to explore is how much can be read into that claim.</w:t>
      </w:r>
    </w:p>
    <w:p>
      <w:pPr>
        <w:pStyle w:val="BodyText"/>
      </w:pPr>
      <w:r>
        <w:t xml:space="preserve">A second point follows. We must question how strongly and consciously Edwards understood his work as historical in any modern sense. He was clearly prepared to make use of such terms as "scheme" or "plan" or "pattern" as synonyms for "history." At one level this reinforces Miller's point that Edwards believed that historical events required interpretation. But it undercuts the claim that he anticipated with a special insight the era of historicism in which Miller wanted to locate him. "History" is ambiguous, and Miller's discussion does little to make this plain or accept the constraints of ambiguity.</w:t>
      </w:r>
    </w:p>
    <w:p>
      <w:pPr>
        <w:pStyle w:val="BodyText"/>
      </w:pPr>
      <w:r>
        <w:t xml:space="preserve">Finally, a third point must be made. Insofar as Edwards is concerned with patterns, schemes, or "history," it is not as subjects in themselves but as a manifestation of divine redemption—God's most basic relationship to the world. The Work of Redemption is the sum and substance of God's history or plan, and not a scheme, history, or plan in itself. In this way Miller's immensely appreciative discussion seems to distort Edwards' great objective even while paying it tribute.</w:t>
      </w:r>
    </w:p>
    <w:p>
      <w:pPr>
        <w:pStyle w:val="BodyText"/>
      </w:pPr>
      <w:r>
        <w:t xml:space="preserve">If Perry Miller found in </w:t>
      </w:r>
      <w:r>
        <w:rPr>
          <w:i/>
          <w:iCs/>
        </w:rPr>
        <w:t xml:space="preserve">Work of Redemption</w:t>
      </w:r>
      <w:r>
        <w:t xml:space="preserve"> intimations of the modern preoccupation with history, Peter Gay thought it "thoroughly traditional,"</w:t>
      </w:r>
    </w:p>
    <w:p>
      <w:pPr>
        <w:pStyle w:val="SourcePage"/>
      </w:pPr>
      <w:r>
        <w:t xml:space="preserve">[p. 098]</w:t>
      </w:r>
    </w:p>
    <w:p>
      <w:pPr>
        <w:pStyle w:val="BodyText"/>
      </w:pPr>
      <w:r>
        <w:t xml:space="preserve">indeed a throwback to "religious propaganda."</w:t>
      </w:r>
      <w:r>
        <w:rPr>
          <w:rStyle w:val="FootnoteReference"/>
        </w:rPr>
        <w:footnoteReference w:id="179"/>
      </w:r>
      <w:r>
        <w:t xml:space="preserve"> Gay makes it clear that he thinks Miller's claims perverse. Edwards' was not the stance of a true empiricist ready to write history in the advanced eighteenth-century mode cultivated by Voltaire and Hume. He saw history as "Calvinist doctrine exemplified in a distinct succession of transcendent moments."</w:t>
      </w:r>
      <w:r>
        <w:rPr>
          <w:rStyle w:val="FootnoteReference"/>
        </w:rPr>
        <w:footnoteReference w:id="180"/>
      </w:r>
      <w:r>
        <w:t xml:space="preserve"> In this sense, Gay insists that Edwards has little, if any, of the modern sense of history that Miller found to be so pronounced in the man and to permeate his </w:t>
      </w:r>
      <w:r>
        <w:rPr>
          <w:i/>
          <w:iCs/>
        </w:rPr>
        <w:t xml:space="preserve">Work of Redemption</w:t>
      </w:r>
      <w:r>
        <w:t xml:space="preserve">. Gay sees Edwards as the ultimate link in that chain of colonial historians whose labors exemplified what he called their "loss of mastery."</w:t>
      </w:r>
      <w:r>
        <w:rPr>
          <w:rStyle w:val="FootnoteReference"/>
        </w:rPr>
        <w:footnoteReference w:id="181"/>
      </w:r>
    </w:p>
    <w:p>
      <w:pPr>
        <w:pStyle w:val="BodyText"/>
      </w:pPr>
      <w:r>
        <w:t xml:space="preserve">If the middle decades of the twentieth century brought appreciation for Edwards and his thought, they have also led, concurrently, to rather discrepant estimates of his </w:t>
      </w:r>
      <w:r>
        <w:rPr>
          <w:i/>
          <w:iCs/>
        </w:rPr>
        <w:t xml:space="preserve">Work of Redemption</w:t>
      </w:r>
      <w:r>
        <w:t xml:space="preserve">. By making the original sermons of the Redemption Discourse readily accessible, and restoring their form and content, this edition should make possible a more just estimate both of his actual achievement and of his projected revision. Above all, his "history" must be seen as focused on God's Work of Redemption. It stands as a theological essay, not as a human history, however grand the scale attributed to it. Our discussion of its origin and development, and the emphasis upon the structure it exhibits and the devices Edwards used, should provide resources for more adequate interpretation of this extraordinary document. But first one more line of interpretation must be addressed.</w:t>
      </w:r>
    </w:p>
    <w:p>
      <w:pPr>
        <w:pStyle w:val="BodyText"/>
      </w:pPr>
      <w:r>
        <w:t xml:space="preserve">In the social setting of the late twentieth century, which has placed emphasis on subjective dimensions of culture and the role of personality, it is almost inevitable that such an influential cultural object as </w:t>
      </w:r>
      <w:r>
        <w:rPr>
          <w:i/>
          <w:iCs/>
        </w:rPr>
        <w:t xml:space="preserve">Work of Redemption</w:t>
      </w:r>
      <w:r>
        <w:t xml:space="preserve"> would be read in these terms. In the last analysis, this is to interpret it as a projection into the collective realm of the Puritan morphology of redemption in the life of the individual saint. In recent years William J. Scheick has taken such a position. In "The Grand Design: Jonathan Edwards' </w:t>
      </w:r>
      <w:r>
        <w:rPr>
          <w:i/>
          <w:iCs/>
        </w:rPr>
        <w:t xml:space="preserve">History of the Work of Redemption</w:t>
      </w:r>
      <w:r>
        <w:t xml:space="preserve">," Scheick puzzles over the issue of "what Edwards intended as his new method."</w:t>
      </w:r>
      <w:r>
        <w:rPr>
          <w:rStyle w:val="FootnoteReference"/>
        </w:rPr>
        <w:footnoteReference w:id="182"/>
      </w:r>
      <w:r>
        <w:t xml:space="preserve"> He proposes "that Edwards thought of his study as innovative</w:t>
      </w:r>
    </w:p>
    <w:p>
      <w:pPr>
        <w:pStyle w:val="SourcePage"/>
      </w:pPr>
      <w:r>
        <w:t xml:space="preserve">[p. 099]</w:t>
      </w:r>
    </w:p>
    <w:p>
      <w:pPr>
        <w:pStyle w:val="BodyText"/>
      </w:pPr>
      <w:r>
        <w:t xml:space="preserve">because in it he treats history as an allegory of the conversion experience. History, in his view, merely manifests in large the experience of the individual soul undergoing the regenerative process." He further suggests that Edwards was possessed by the "vision of merging the notions of nature, of history, and of the saint's private self into one theological tract."</w:t>
      </w:r>
      <w:r>
        <w:rPr>
          <w:rStyle w:val="FootnoteReference"/>
        </w:rPr>
        <w:footnoteReference w:id="183"/>
      </w:r>
      <w:r>
        <w:t xml:space="preserve"> In developing this proposal, Scheick takes notice of the imagery of the Redemption Discourse and links the whole to the preoccupation with the stages of redemption that were so important in the earlier Puritan tradition, and which we have discussed as the subjective side of redemption. At Scheick's hands, Edwards' "history" becomes "an allegory of the blessed soul."</w:t>
      </w:r>
    </w:p>
    <w:p>
      <w:pPr>
        <w:pStyle w:val="BodyText"/>
      </w:pPr>
      <w:r>
        <w:t xml:space="preserve">It must be said that there is some warrant within the Redemption Discourse for Scheick's claim that Edwards was at least deliberate in making use of the analogy between the progress of redemption in the individual soul and its progress in creation. One passage to which he calls attention (located in Sermon Three) makes this plain.</w:t>
      </w:r>
    </w:p>
    <w:p>
      <w:pPr>
        <w:pStyle w:val="BlockQuote"/>
      </w:pPr>
      <w:r>
        <w:t xml:space="preserve">And here by the way I would observe that the increase of gospel light and the carrying on the Work of Redemption as it respects the elect church in general, from the first erecting of the church to the end of the world, is very much after the same manner as the carrying on of the same work and the same light in a particular soul from the time of its conversion till it is perfected and crowned in glory. The work in a particular soul has its ups and downs. Sometimes the light shines brighter, and sometimes 'tis a dark time. Sometimes grace seems to prevail; at other times it seems to languish for a great while together and corruption prevails and then grace revives again. But in the general grace is growing from its first infusion till it is perfected in glory; the kingdom of Christ is building up in the soul. So it is with respect to the great affair in general as it relates to the universal subject of it, as 'tis carried on from the first beginning of it after the fall till it is perfected at the end of the world, as will more fully appear by a particular view of this affair from beginning to end in the prosecution of this subject, if God gives opportunity to carry it through as I propose.</w:t>
      </w:r>
      <w:r>
        <w:rPr>
          <w:rStyle w:val="FootnoteReference"/>
        </w:rPr>
        <w:footnoteReference w:id="184"/>
      </w:r>
    </w:p>
    <w:p>
      <w:pPr>
        <w:pStyle w:val="SourcePage"/>
      </w:pPr>
      <w:r>
        <w:t xml:space="preserve">[p. 100]</w:t>
      </w:r>
    </w:p>
    <w:p>
      <w:pPr>
        <w:pStyle w:val="BodyText"/>
      </w:pPr>
      <w:r>
        <w:t xml:space="preserve">Read closely, this section is less evidence for a direct parallel between the stages of salvation in the soul and in creation than it is the assertion that while the manifestations are ambiguous in each, the progress of redemption in both is fundamental and secure. The basic difficulty with Scheick's position, however, is not this slight change of emphasis in reading the text but rather his miscasting of Edwards' original intention.</w:t>
      </w:r>
    </w:p>
    <w:p>
      <w:pPr>
        <w:pStyle w:val="BodyText"/>
      </w:pPr>
      <w:r>
        <w:t xml:space="preserve">Edwards was well aware of the distinction between the subjective side of redemption and the objective side. He took a great interest in how redemption affected the individual saint and sinner. Indeed, his experience with and observation of the awakenings in Northampton, and his subsequent analysis of them, underlay his own major contribution to the Puritan literature on the morphology of the religious life. But the Redemption Discourse was not concerned with the effect of redemption upon the soul of the saint—that he plumbed in </w:t>
      </w:r>
      <w:r>
        <w:rPr>
          <w:i/>
          <w:iCs/>
        </w:rPr>
        <w:t xml:space="preserve">Religious Affections</w:t>
      </w:r>
      <w:r>
        <w:t xml:space="preserve">. The objective side was the focus, that is, the divine Work of Redemption. For him, if there was an analogy, it was from that greater redemption of creation to its pale shadow in the soul, not vice versa.</w:t>
      </w:r>
    </w:p>
    <w:p>
      <w:pPr>
        <w:pStyle w:val="BodyText"/>
      </w:pPr>
      <w:r>
        <w:t xml:space="preserve">Scheick shifts the emphasis of the Redemption Discourse to make Edwards address the problem of design and meaning, as if his operative criteria were only that his exposition be intellectually and aesthetically satisfying. Just as lines can be traced from his typological approach to nature into Emersonian naturalism, it is possible to propose that his interest in the coherence of redemption anticipates the kind of position that Horace Bushnell, for one, would make so much more pronounced in the next century. But while Edwards' links to nineteenth-century Romantic theology should be recognized and appreciated, his thought should not be wholly metamorphosed. This happens when his interpreters fail to respect the explicit design of his project. Thus, even though it takes its departure from the useful and suggestive analogy offered by Edwards himself, Scheick's concentration on the subjective side of redemption is flawed. Interpretation of </w:t>
      </w:r>
      <w:r>
        <w:rPr>
          <w:i/>
          <w:iCs/>
        </w:rPr>
        <w:t xml:space="preserve">Work of Redemption</w:t>
      </w:r>
      <w:r>
        <w:t xml:space="preserve"> should start with the far richer and more complex literary structure of the whole in relation both to its background in the tradition and its place in Edwards' thought.</w:t>
      </w:r>
    </w:p>
    <w:p>
      <w:pPr>
        <w:pStyle w:val="Heading2"/>
      </w:pPr>
      <w:bookmarkStart w:name="heading_the_text_of_the_redemption_d" w:id="29"/>
      <w:r>
        <w:t xml:space="preserve">The Text Of The Redemption Discourse And Its Presentation In The Yale Edition</w:t>
      </w:r>
      <w:bookmarkEnd w:id="29"/>
    </w:p>
    <w:p>
      <w:pPr>
        <w:pStyle w:val="BodyText"/>
      </w:pPr>
      <w:r>
        <w:t xml:space="preserve">This edition of the Redemption Discourse is the first based directly on a transcription of the original sermon booklets since Jonathan</w:t>
      </w:r>
    </w:p>
    <w:p>
      <w:pPr>
        <w:pStyle w:val="SourcePage"/>
      </w:pPr>
      <w:r>
        <w:t xml:space="preserve">[p. 101]</w:t>
      </w:r>
    </w:p>
    <w:p>
      <w:pPr>
        <w:pStyle w:val="BodyText"/>
      </w:pPr>
      <w:r>
        <w:t xml:space="preserve">Edwards, Jr., sent his rendering of them to John Erskine. Consequently it will appear in certain respects to be a less polished version than the Erskine edition or other versions derived from it. Modern editing practice does not permit the wholesale intervention that marked nineteenth-century presentations, that embellishment of texts that has been routinely perpetrated on Edwards'. Erskine, or Edwards, Jr., foreshadowed these elaborations when they finished incomplete sections of the text in the sermon booklets. We have seen that had its author actually completed his Redemption project, he would probably have reconceptualized it and certainly carried out substantial redrafting of the 1739 sermon texts. Those revisions would have been much more extensive than the emendations that Edwards, Jr., and Erskine, followed by Pitcher, worked upon it. The pattern of likely development is suggested by the progression seen from the sermon on "Distinguishing Marks" to </w:t>
      </w:r>
      <w:r>
        <w:rPr>
          <w:i/>
          <w:iCs/>
        </w:rPr>
        <w:t xml:space="preserve">Religious Affections</w:t>
      </w:r>
      <w:r>
        <w:t xml:space="preserve"> in 1746. The recasting, refinement, and amplification would have been such as to make of the Redemption Discourse a wholly different literary product. In the absence of Edwards' own revision, we are better served by a rough but genuine Edwardsean text than by a well-meant but extensively revised version which falls far short of what Edwards himself would have produced.</w:t>
      </w:r>
    </w:p>
    <w:p>
      <w:pPr>
        <w:pStyle w:val="BodyText"/>
      </w:pPr>
      <w:r>
        <w:t xml:space="preserve">The current edition is intended for both scholarly and more general use. A primary objective has been to make accessible a version that, while conveying the vigor of Edwards' preaching style, reproduces his sermon booklets as closely as possible. Accordingly, the edition, while standing in its own right, also serves as a guide to the original manuscript or to microform versions that may be available in the future.</w:t>
      </w:r>
    </w:p>
    <w:p>
      <w:pPr>
        <w:pStyle w:val="BodyText"/>
      </w:pPr>
      <w:r>
        <w:t xml:space="preserve">Edwards left his Redemption Discourse unrevised in the manuscript sermon booklets which he took into the Northampton pulpit in 1739 and which are the basis for this text. He did not preach them again as a series or even rework parts of them for use in connection with other sermons. They remain almost untouched, although at a very few points there are interventions that may be by another hand, presumably that of Jonathan Edwards, Jr. Wilson Kimnach's full discussion of Edwards' literary practices in sermon crafting is helpful to those interested both in the technical details of how he composed sermons and in the form in which the manuscripts now exist.</w:t>
      </w:r>
      <w:r>
        <w:rPr>
          <w:rStyle w:val="FootnoteReference"/>
        </w:rPr>
        <w:footnoteReference w:id="185"/>
      </w:r>
      <w:r>
        <w:t xml:space="preserve"> Edwards'</w:t>
      </w:r>
    </w:p>
    <w:p>
      <w:pPr>
        <w:pStyle w:val="SourcePage"/>
      </w:pPr>
      <w:r>
        <w:t xml:space="preserve">[p. 102]</w:t>
      </w:r>
    </w:p>
    <w:p>
      <w:pPr>
        <w:pStyle w:val="BodyText"/>
      </w:pPr>
      <w:r>
        <w:t xml:space="preserve">practices in drafting the Redemption Discourse booklets were consistent with those he used at the same period in the preparation of other sermons. Some sections of these booklets are carefully drafted, presenting essentially complete texts as the basis for oral delivery. Others are much less polished, in the extreme amounting to a series of words or phrases interspersed with lines and spaces. Physically, however, the sermon booklets for this series are in remarkably good condition. (There is some wear at the corners of the first leaf of the first booklet.)</w:t>
      </w:r>
    </w:p>
    <w:p>
      <w:pPr>
        <w:pStyle w:val="BodyText"/>
      </w:pPr>
      <w:r>
        <w:t xml:space="preserve">In preparing this edition, I have been guided in general by the principles laid down by the Yale edition for editing manuscripts. Previous editors in the series, especially Paul Ramsey in </w:t>
      </w:r>
      <w:r>
        <w:rPr>
          <w:i/>
          <w:iCs/>
        </w:rPr>
        <w:t xml:space="preserve">Freedom of the Will</w:t>
      </w:r>
      <w:r>
        <w:t xml:space="preserve">, Stephen J. Stein in </w:t>
      </w:r>
      <w:r>
        <w:rPr>
          <w:i/>
          <w:iCs/>
        </w:rPr>
        <w:t xml:space="preserve">Apocalyptic Writings</w:t>
      </w:r>
      <w:r>
        <w:t xml:space="preserve">, and Wallace E. Anderson in </w:t>
      </w:r>
      <w:r>
        <w:rPr>
          <w:i/>
          <w:iCs/>
        </w:rPr>
        <w:t xml:space="preserve">Scientific and Philosophical Writings</w:t>
      </w:r>
      <w:r>
        <w:t xml:space="preserve">, have provided valuable introductions to the presentation of Edwards' materials in this critical edition.</w:t>
      </w:r>
      <w:r>
        <w:rPr>
          <w:rStyle w:val="FootnoteReference"/>
        </w:rPr>
        <w:footnoteReference w:id="186"/>
      </w:r>
      <w:r>
        <w:t xml:space="preserve"> Unfortunately, none of the sermons to be published from Edwards' manuscripts has yet appeared. This series of thirty sermons, however, which is logically but one expanded sermon, has requirements significantly different from those of individual sermons or short sermon series. For this reason it has been given unique treatment in certain particulars to reflect its unusual status as a proto-treatise widely circulated posthumously.</w:t>
      </w:r>
      <w:r>
        <w:rPr>
          <w:rStyle w:val="FootnoteReference"/>
        </w:rPr>
        <w:footnoteReference w:id="187"/>
      </w:r>
    </w:p>
    <w:p>
      <w:pPr>
        <w:pStyle w:val="BodyText"/>
      </w:pPr>
      <w:r>
        <w:t xml:space="preserve">The division of the text into sermons has been retained, including introductory recapitulations and summaries, and no attempt has been made to improve the rough sections that were left unfinished. Like Edwards' other sermon booklets, those containing the Redemption Discourse fall far short of being completed literary texts. Edwards uses contractions, symbols, and abbreviations very freely. Indeed, abbreviations of the same word may vary widely. R., Rig., Right. stand in the text along with Righteous and Righteousness. Of course, R. or r. can also stand for Redeemer, or redeem, or redemption, which may also be abbreviated as Red., Redemp., and Redempt. All words are spelled out in this edition, and notes indicate probable readings or plausible alternatives. In accordance with the practice of the Yale edition, however, some eighteenth-century contractions and spellings have been retained, for example, ben't, han't, 'tis, and 'em,</w:t>
      </w:r>
    </w:p>
    <w:p>
      <w:pPr>
        <w:pStyle w:val="SourcePage"/>
      </w:pPr>
      <w:r>
        <w:t xml:space="preserve">[p. 103]</w:t>
      </w:r>
    </w:p>
    <w:p>
      <w:pPr>
        <w:pStyle w:val="BodyText"/>
      </w:pPr>
      <w:r>
        <w:t xml:space="preserve">where the voicing of the word, and therefore the pattern of speech, is decisively affected. In pursuing the goal of presenting a thoroughly readable text, I have modernized Edwards' spellings and also the names of authors to whom he refers, for example, Zwingli and Wycliffe. In addition, I have modernized his capitalization without notation.</w:t>
      </w:r>
    </w:p>
    <w:p>
      <w:pPr>
        <w:pStyle w:val="BodyText"/>
      </w:pPr>
      <w:r>
        <w:t xml:space="preserve">I have introduced modern paragraph divisions because Edwards used none in his sermon booklets. He did, however, indicate two kinds of internal division that related to the delivery of the sermons. One is indentation, through which he signaled a new block of material or new subject matter. The other is keying lines, either between blocks or within them, to assist him in finding his place after raising his eyes as he preached. He probably inserted the lines after he had worked out his text. Paragraph divisions reflect, but are not limited to, both the blocks of material and the keying lines.</w:t>
      </w:r>
    </w:p>
    <w:p>
      <w:pPr>
        <w:pStyle w:val="BodyText"/>
      </w:pPr>
      <w:r>
        <w:t xml:space="preserve">The punctuation of Edwards' texts creates a particular challenge. His practices in this respect in published sermons, tracts, and books, as well as in more finished manuscript compositions, were essentially rhetorical, and of course reflect eighteenth-century conventions. The manuscript text of the Redemption Discourse, however, has no consistent punctuation, so that I have established sentences. Edwards' delivery frequently entailed constructing a cumulative series of clauses, resulting in lengthy blocks of written material susceptible to different constructions. In punctuating such passages, my intention has in general been to present his thoughts in shorter and simpler rather than more extensive and complex written sentences, and to add only minimal punctuation.</w:t>
      </w:r>
    </w:p>
    <w:p>
      <w:pPr>
        <w:pStyle w:val="BodyText"/>
      </w:pPr>
      <w:r>
        <w:t xml:space="preserve">An important task has been to handle Edwards' deletions in ways that further both readability and scholarship. Since Edwards drafted the sermons in the booklets on which this edition is based rather than composing them on scrap paper and copying them in relatively finished form into notebooks, as he did with other writings, the text includes numerous transpositions and deletions. The transpositions may be followed in the notes, which track Edwards as he moves back and forth between leaves in a single booklet. The deletions take two forms. The first are words, phrases, or even short sections struck out in the course of composition. These are omitted without comment. The second are sections which Edwards deleted with bold lines and/or by enclosure of blocks of text in large brackets. It is possible that he wished to save these for use in other writings; they have therefore been transcribed and are preserved in the notes.</w:t>
      </w:r>
    </w:p>
    <w:p>
      <w:pPr>
        <w:pStyle w:val="SourcePage"/>
      </w:pPr>
      <w:r>
        <w:t xml:space="preserve">[p. 104]</w:t>
      </w:r>
    </w:p>
    <w:p>
      <w:pPr>
        <w:pStyle w:val="BodyText"/>
      </w:pPr>
      <w:r>
        <w:t xml:space="preserve">Sermon booklets, manuscript leaf 6.1r. Beinecke Rare Book and Manuscript Library, Yale University.</w:t>
      </w:r>
    </w:p>
    <w:p>
      <w:pPr>
        <w:pStyle w:val="BodyText"/>
      </w:pPr>
      <w:r>
        <w:t xml:space="preserve">Sermon booklets, manuscript leaf 11.28v. Beinecke Rare Book and Manuscript Library, Yale University.</w:t>
      </w:r>
    </w:p>
    <w:p>
      <w:pPr>
        <w:pStyle w:val="SourcePage"/>
      </w:pPr>
      <w:r>
        <w:t xml:space="preserve">[p. 105]</w:t>
      </w:r>
    </w:p>
    <w:p>
      <w:pPr>
        <w:pStyle w:val="BodyText"/>
      </w:pPr>
      <w:r>
        <w:t xml:space="preserve">Sermon booklets, manuscript leaf 2.12r. Beinecke Rare Book and Manuscript Library, Yale University.</w:t>
      </w:r>
    </w:p>
    <w:p>
      <w:pPr>
        <w:pStyle w:val="BodyText"/>
      </w:pPr>
      <w:r>
        <w:t xml:space="preserve">Sermon booklets, manuscript leaf 2.13v. Beinecke Rare Book and Manuscript Library, Yale University.</w:t>
      </w:r>
    </w:p>
    <w:p>
      <w:pPr>
        <w:pStyle w:val="SourcePage"/>
      </w:pPr>
      <w:r>
        <w:t xml:space="preserve">[p. 106]</w:t>
      </w:r>
    </w:p>
    <w:p>
      <w:pPr>
        <w:pStyle w:val="BodyText"/>
      </w:pPr>
      <w:r>
        <w:t xml:space="preserve">To present a coherent and readable text, this edition provides material which Edwards clearly intended to deliver from the pulpit but which does not appear in the booklets. This is necessary where he left spaces or drew in lines to indicate where he intended to quote. Where these quotations were to be from Scripture, he either cited the passage without writing it out, or indicated it by several words or phrases. Here the quotation has been supplied and enclosed in square brackets. Edwards also used this method to indicate his intention to repeat words or phrases as he built the rhetorical structure of his preaching. Such words and phrases can be deduced from the rest of the text, and I have supplied them in angle brackets. Where this edition of the Redemption Discourse does not include either scriptural quotations or other material to be found in editions derived from the Erskine edition (based on the Edwards, Jr., transcription), the correct inference is that one or other of these earlier editors inserted the material.</w:t>
      </w:r>
    </w:p>
    <w:p>
      <w:pPr>
        <w:pStyle w:val="BodyText"/>
      </w:pPr>
      <w:r>
        <w:t xml:space="preserve">Where scriptural material has been provided by the editor, it has been taken from the Authorized Version, and the punctuation and orthography of that text have been followed.</w:t>
      </w:r>
      <w:r>
        <w:rPr>
          <w:rStyle w:val="FootnoteReference"/>
        </w:rPr>
        <w:footnoteReference w:id="188"/>
      </w:r>
      <w:r>
        <w:t xml:space="preserve"> Edwards appears to have quoted Scripture from memory, and he is not always accurate. His quotations, according to the conventions of the Yale edition, stand as he wrote them, but significant misquotations are noted, as are all wrong citations. I believe that giving voice to biblical citations was an important rhetorical device in Edwards' sermon delivery; their position in this text of the Redemption Discourse reproduces his practices in the booklets, and I have set them off with commas.</w:t>
      </w:r>
    </w:p>
    <w:p>
      <w:pPr>
        <w:pStyle w:val="BodyText"/>
      </w:pPr>
      <w:r>
        <w:t xml:space="preserve">Edwards' text contains no formal footnotes. The notes in this edition are all mine. The Yale edition numbers notes on a one-to-nine repeating scheme. In this text, some notes are italicized (both number and text). Italicized notes present technical material. In general, they fall into two classes. The first consists of those notes that indicate the level of subordination of the argument in the rational outline I have devised to embrace the entire thirty preaching units. Edwards' method of denoting subordination within his argument is difficult to follow. His indication of heads is clear in his text, but their enumeration leads to immediate confusion. In the outline I assign numbers</w:t>
      </w:r>
    </w:p>
    <w:p>
      <w:pPr>
        <w:pStyle w:val="SourcePage"/>
      </w:pPr>
      <w:r>
        <w:t xml:space="preserve">[p. 107]</w:t>
      </w:r>
    </w:p>
    <w:p>
      <w:pPr>
        <w:pStyle w:val="BodyText"/>
      </w:pPr>
      <w:r>
        <w:t xml:space="preserve">and letters to the various levels of his argument. This ordering has been presented schematically in table 1 (pp. 74–77) and comprehensively in Appendix A. The numbers and letters are given in the notes to assist the reader in following the logic of Edwards' discourse. The text reproduces his letter or number; and the note indicates the logical level of subordination.</w:t>
      </w:r>
    </w:p>
    <w:p>
      <w:pPr>
        <w:pStyle w:val="BodyText"/>
      </w:pPr>
      <w:r>
        <w:t xml:space="preserve">The second class of italicized notes indicates the point at which Edwards moves from one side of a leaf to the other or to a new leaf or new booklet. The number of the booklet, the number of the leaf in each booklet, and the side of the leaf, expressed by the abbreviation recto or verso, are all given (for example, </w:t>
      </w:r>
      <w:r>
        <w:rPr>
          <w:i/>
          <w:iCs/>
        </w:rPr>
        <w:t xml:space="preserve">2.6r</w:t>
      </w:r>
      <w:r>
        <w:t xml:space="preserve">). This convention permits the scholar to locate any section of the manuscript text in either the original or a microform version. In the rush of composition and subsequent revision, Edwards frequently relocated provisionally written material, and a careful reading of these notes will permit the reader to trace his course through the booklets.</w:t>
      </w:r>
    </w:p>
    <w:p>
      <w:pPr>
        <w:pStyle w:val="BodyText"/>
      </w:pPr>
      <w:r>
        <w:t xml:space="preserve">When a note contains both a booklet/leaf/side code or an element of the rational outline and other information, whether technical or not, only the note's number and the code or element is italicized. In some cases, technical discussions (for example, concerning blocks of text Edwards has moved, added, or deleted) occur in notes whose numbers are not italicized. Codes and elements included as part of the discussion are italicized.</w:t>
      </w:r>
    </w:p>
    <w:p>
      <w:pPr>
        <w:pStyle w:val="BodyText"/>
      </w:pPr>
      <w:r>
        <w:t xml:space="preserve">Notes with purely substantive content are not italicized. These convey a variety of information. Many identify scriptural quotations reflected in Edwards' language but not cited. (Of course, he presumed that members of his eighteenth-century congregation would be far more familiar with the Scriptures than we can assume the modern reader to be.) Where Edwards refers to ancient or contemporary authors, quotes their work, or gives evidence of dependence upon other sources (an important issue in many of his published writings but much less so in sermons) the author or source is identified, and an attempt is made to cite the passages Edwards had in mind in his rather casual references.</w:t>
      </w:r>
    </w:p>
    <w:p>
      <w:pPr>
        <w:pStyle w:val="BodyText"/>
      </w:pPr>
      <w:r>
        <w:t xml:space="preserve">These aids, both technical and substantive, are intended primarily to help the scholar. They will, it is hoped, not inhibit readers who may wish to approach Jonathan Edwards' work as a literary document. For it is my intention that this edited text should read easily and well, presenting the vigor of Edwards' prose and, above all, the splendor of his intellect.</w:t>
      </w:r>
    </w:p>
    <w:p>
      <w:pPr>
        <w:pStyle w:val="SourcePage"/>
      </w:pPr>
      <w:r>
        <w:t xml:space="preserve">[p. 108]</w:t>
      </w:r>
    </w:p>
    <w:p>
      <w:pPr>
        <w:pStyle w:val="Heading2"/>
      </w:pPr>
      <w:bookmarkStart w:name="heading_acknowledgments" w:id="30"/>
      <w:r>
        <w:t xml:space="preserve">Acknowledgments</w:t>
      </w:r>
      <w:bookmarkEnd w:id="30"/>
    </w:p>
    <w:p>
      <w:pPr>
        <w:pStyle w:val="BodyText"/>
      </w:pPr>
      <w:r>
        <w:t xml:space="preserve">This edition of </w:t>
      </w:r>
      <w:r>
        <w:rPr>
          <w:i/>
          <w:iCs/>
        </w:rPr>
        <w:t xml:space="preserve">A History of the Work of Redemption</w:t>
      </w:r>
      <w:r>
        <w:t xml:space="preserve"> was completed at Princeton University under the aegis of the Edwards Project at Princeton in tandem with Paul Ramsey's edition of Edwards' </w:t>
      </w:r>
      <w:r>
        <w:rPr>
          <w:i/>
          <w:iCs/>
        </w:rPr>
        <w:t xml:space="preserve">Ethical Writings</w:t>
      </w:r>
      <w:r>
        <w:t xml:space="preserve">. The project has benefited from several sources of support. We are grateful to the National Endowment for the Humanities, which gave a significant grant specifically for work on the texts. That grant occasioned matching gifts from Marjorie Buchanan Kiewit, Senator John C. Danforth, and Leon P. Hammond, for which we are deeply grateful. Through the good offices of William M. Dietel, Laurance S. Rockefeller provided funds which have supported the final preparation of these volumes and made possible the subvention of the costs of their publication. The Edwards Project at Princeton has provided me with the opportunity for sustained and stimulating interaction with Paul Ramsey, with other specialists, and with many graduate students. I am also grateful to the John Simon Guggenheim Memorial Foundation for a fellowship which supported my work on the introduction to this volume, and to Princeton University for sabbatical leaves.</w:t>
      </w:r>
    </w:p>
    <w:p>
      <w:pPr>
        <w:pStyle w:val="BodyText"/>
      </w:pPr>
      <w:r>
        <w:t xml:space="preserve">The Edwards Project at Princeton has operated through the Department of Religion in an office at Firestone Library. I am indebted for their assistance to the department and its administrator, Lorraine Fuhrmann, who has managed the project with a sure hand, and to the library and its staff. The Speer Library at Princeton Theological Seminary has also been an invaluable resource. Of course, the manuscript texts of the Redemption Discourse are on deposit at the Beinecke Rare Book and Manuscript Library of Yale University. I am indebted to that library and its staff for their help in the course of my intensive periods of work there. I have also drawn on the Forbes Library at Northampton, Massachusetts, and the Presbyterian Historical Society collections in Philadelphia.</w:t>
      </w:r>
    </w:p>
    <w:p>
      <w:pPr>
        <w:pStyle w:val="BodyText"/>
      </w:pPr>
      <w:r>
        <w:t xml:space="preserve">Throughout many years of working on this project I have profited a great deal from the advice and counsel of others working with the Yale edition, especially John E. Smith, General Editor; Thomas A. Schafer, whose monumental work on the "Miscellanies" has helped so many of us; Wilson Kimnach, who is supervising the editing of the sermons to provide standard texts for those important documents; and Stephen J. Stein, whose fine work on the </w:t>
      </w:r>
      <w:r>
        <w:rPr>
          <w:i/>
          <w:iCs/>
        </w:rPr>
        <w:t xml:space="preserve">Apocalyptic Writings</w:t>
      </w:r>
      <w:r>
        <w:t xml:space="preserve"> began to make available in this critical edition substantial</w:t>
      </w:r>
    </w:p>
    <w:p>
      <w:pPr>
        <w:pStyle w:val="SourcePage"/>
      </w:pPr>
      <w:r>
        <w:t xml:space="preserve">[p. 109]</w:t>
      </w:r>
    </w:p>
    <w:p>
      <w:pPr>
        <w:pStyle w:val="BodyText"/>
      </w:pPr>
      <w:r>
        <w:t xml:space="preserve">segments of Edwards' unpublished manuscripts. Students of Jonathan Edwards are all indebted to the Yale University Press for its long-standing commitment to the Yale edition of his writings. I would also like to express my personal appreciation for support from Charles Grench and Mary Alice Galligan of the press, and to Nancy R. Woodington for her meticulous editing of the manuscript.</w:t>
      </w:r>
    </w:p>
    <w:p>
      <w:pPr>
        <w:pStyle w:val="BodyText"/>
      </w:pPr>
      <w:r>
        <w:t xml:space="preserve">In the labor of transcription I have been assisted through the years by a number of undergraduates. In particular I am grateful for the careful work of Jan C. Viehman and the loyal support of Leonard V. Galla, William H. von Oehsen III, and Johanna Margaret Wilson. I owe a special debt of gratitude to Mark Valeri who, as a participant in the Edwards Project, provided extensive assistance with both the introduction and the annotation of the text.</w:t>
      </w:r>
    </w:p>
    <w:p>
      <w:pPr>
        <w:pStyle w:val="BodyText"/>
      </w:pPr>
      <w:r>
        <w:t xml:space="preserve">Since work on the volume was well along before word processing became commonplace, I have depended heavily upon the labor of typists. In particular, Theresa A. Betros and Lorraine Fuhrmann helped in the early stages. Gloria Kramer painstakingly prepared the typescript of the text, and Deborah Nathan did invaluable work in the last stages of preparing the introduction and notes. Finally, Yoma Ullman has contributed her editorial skills to the final version of this project. My indebtedness to all of them, especially Yoma, is gladly acknowledged.</w:t>
      </w:r>
    </w:p>
    <w:p>
      <w:pPr>
        <w:pStyle w:val="BodyText"/>
      </w:pPr>
      <w:r>
        <w:t xml:space="preserve">There is a particular satisfaction in completing this book at Princeton University. As the introduction makes clear, when he became President of the College of New Jersey, Jonathan Edwards put aside his project to recast the Redemption Discourse into the major summary volume of his career. His death in office within weeks of taking up the post meant that he could never return to it. So it is appropriate that a Princeton faculty member should publish a modern critical edition of this work, denied to the world in perfected form by its author's early death.</w:t>
      </w:r>
    </w:p>
    <w:p>
      <w:pPr>
        <w:pStyle w:val="SourcePage"/>
      </w:pPr>
      <w:r>
        <w:t xml:space="preserve">[p. 110]</w:t>
      </w:r>
    </w:p>
    <w:p>
      <w:pPr>
        <w:pStyle w:val="SourcePage"/>
      </w:pPr>
      <w:r>
        <w:t xml:space="preserve">[p. 111]</w:t>
      </w:r>
    </w:p>
    <w:p>
      <w:pPr>
        <w:pStyle w:val="Heading1"/>
        <w:pageBreakBefore/>
      </w:pPr>
      <w:bookmarkStart w:name="heading_a_history_of_the_work_o_2" w:id="31"/>
      <w:r>
        <w:t xml:space="preserve">A HISTORY OF THE WORK OF REDEMPTION</w:t>
      </w:r>
      <w:bookmarkEnd w:id="31"/>
    </w:p>
    <w:p>
      <w:pPr>
        <w:pStyle w:val="SourcePage"/>
      </w:pPr>
      <w:r>
        <w:t xml:space="preserve">[p. 112]</w:t>
      </w:r>
    </w:p>
    <w:p>
      <w:pPr>
        <w:pStyle w:val="SourcePage"/>
      </w:pPr>
      <w:r>
        <w:t xml:space="preserve">[p. 113]</w:t>
      </w:r>
    </w:p>
    <w:p>
      <w:pPr>
        <w:pStyle w:val="Heading2"/>
      </w:pPr>
      <w:bookmarkStart w:name="heading_no_1_sermon_one_march_1739" w:id="32"/>
      <w:r>
        <w:t xml:space="preserve">No. 1: SERMON ONE March 1739</w:t>
      </w:r>
      <w:bookmarkEnd w:id="32"/>
    </w:p>
    <w:p>
      <w:pPr>
        <w:pStyle w:val="BodyText"/>
      </w:pPr>
      <w:r>
        <w:rPr>
          <w:rStyle w:val="FootnoteReference"/>
        </w:rPr>
        <w:footnoteReference w:id="189"/>
      </w:r>
    </w:p>
    <w:p>
      <w:pPr>
        <w:pStyle w:val="BlockQuote"/>
      </w:pPr>
      <w:r>
        <w:rPr>
          <w:i/>
          <w:iCs/>
        </w:rPr>
        <w:t xml:space="preserve">for the moth shall eat them [up]</w:t>
      </w:r>
      <w:r>
        <w:rPr>
          <w:rStyle w:val="FootnoteReference"/>
        </w:rPr>
        <w:footnoteReference w:id="190"/>
      </w:r>
      <w:r>
        <w:t xml:space="preserve"> </w:t>
      </w:r>
      <w:r>
        <w:rPr>
          <w:i/>
          <w:iCs/>
        </w:rPr>
        <w:t xml:space="preserve">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r>
        <w:t xml:space="preserve">.</w:t>
      </w:r>
    </w:p>
    <w:p>
      <w:pPr>
        <w:pStyle w:val="BodyText"/>
      </w:pPr>
      <w:r>
        <w:t xml:space="preserve">Isaiah 51:8THE drift of this chapter is to comfort the church under her sufferings and the persecutions of her enemies. And the argument of consolation insisted upon is the constancy and perpetuity of God's mercy and faithfulness towards her, which shall be manifest in the continuance of the fruits of that mercy and faithfulness in continuing to work salvation for her, protecting her against all assaults of her enemies, and carrying her safely through all the changes of the world and finally crowning her with victory and deliverance.</w:t>
      </w:r>
    </w:p>
    <w:p>
      <w:pPr>
        <w:pStyle w:val="BodyText"/>
      </w:pPr>
      <w:r>
        <w:t xml:space="preserve">In the text this happiness of the church of God is set forth by comparing it with the contrary fate of his enemies that oppose her, and therein we may observe:</w:t>
      </w:r>
    </w:p>
    <w:p>
      <w:pPr>
        <w:pStyle w:val="BodyText"/>
      </w:pPr>
      <w:r>
        <w:t xml:space="preserve">1.</w:t>
      </w:r>
      <w:r>
        <w:rPr>
          <w:rStyle w:val="FootnoteReference"/>
        </w:rPr>
        <w:footnoteReference w:id="191"/>
      </w:r>
      <w:r>
        <w:t xml:space="preserve"> How shortlived the power and prosperity of the church's enemies is. "The moth shall eat them up like a garment, and the worm shall eat them like wool," i.e. however great their prosperity is, and how[ever]</w:t>
      </w:r>
      <w:r>
        <w:rPr>
          <w:rStyle w:val="FootnoteReference"/>
        </w:rPr>
        <w:footnoteReference w:id="192"/>
      </w:r>
      <w:r>
        <w:t xml:space="preserve"> great their present glory, they shall by [degr]ees consume and vanish away by a secret [cu]rse of God till they come to nothing; and all their power and glory, and so their persecutions, eternally cease and they be finally and irrecoverably ruined, as the finest and</w:t>
      </w:r>
    </w:p>
    <w:p>
      <w:pPr>
        <w:pStyle w:val="SourcePage"/>
      </w:pPr>
      <w:r>
        <w:t xml:space="preserve">[p. 114]</w:t>
      </w:r>
    </w:p>
    <w:p>
      <w:pPr>
        <w:pStyle w:val="BodyText"/>
      </w:pPr>
      <w:r>
        <w:t xml:space="preserve">most glorious apparel will by time wear away and be consumed by moths and rottenness. We learn who these are that shall thus consume away by the foregoing verse, viz. those that are the enemies of God's people that hate 'em, revile and persecute 'em. "Hearken unto me, [ye that know righteousness, the people in whose heart is my law; fear ye not the reproach of men]."</w:t>
      </w:r>
      <w:r>
        <w:rPr>
          <w:rStyle w:val="FootnoteReference"/>
        </w:rPr>
        <w:footnoteReference w:id="193"/>
      </w:r>
    </w:p>
    <w:p>
      <w:pPr>
        <w:pStyle w:val="BodyText"/>
      </w:pPr>
      <w:r>
        <w:t xml:space="preserve">2.</w:t>
      </w:r>
      <w:r>
        <w:rPr>
          <w:rStyle w:val="FootnoteReference"/>
        </w:rPr>
        <w:footnoteReference w:id="194"/>
      </w:r>
      <w:r>
        <w:t xml:space="preserve"> The contrary happy lot and portion of God's church expressed in these words, "my righteousness shall be forever and my salvation [from generation to generation]." Who are meant as those that shall have the benefit of this we also learn by the preceding verse, viz. they "that know righteousness and the people in whose heart is God's law,"</w:t>
      </w:r>
      <w:r>
        <w:rPr>
          <w:rStyle w:val="FootnoteReference"/>
        </w:rPr>
        <w:footnoteReference w:id="195"/>
      </w:r>
      <w:r>
        <w:t xml:space="preserve"> or in one word, the church of God. And concerning that happiness of theirs here spoken of we may observe two things: viz. (1) wherein it consists and (2) its continuance.</w:t>
      </w:r>
    </w:p>
    <w:p>
      <w:pPr>
        <w:pStyle w:val="BodyText"/>
      </w:pPr>
      <w:r>
        <w:t xml:space="preserve">1.</w:t>
      </w:r>
      <w:r>
        <w:rPr>
          <w:rStyle w:val="FootnoteReference"/>
        </w:rPr>
        <w:footnoteReference w:id="196"/>
      </w:r>
      <w:r>
        <w:t xml:space="preserve"> Wherein it consists, viz. in God's righteousness [and]</w:t>
      </w:r>
      <w:r>
        <w:rPr>
          <w:rStyle w:val="FootnoteReference"/>
        </w:rPr>
        <w:footnoteReference w:id="197"/>
      </w:r>
      <w:r>
        <w:t xml:space="preserve"> salvation towards them. By God's righteousness</w:t>
      </w:r>
      <w:r>
        <w:rPr>
          <w:rStyle w:val="FootnoteReference"/>
        </w:rPr>
        <w:footnoteReference w:id="198"/>
      </w:r>
      <w:r>
        <w:t xml:space="preserve"> here is meant his faithfulness in fulfilling his covenant promises to his church, or his faithfulness towards his church and people in bestowing the benefits of the covenant of grace upon them. Which benefits, though they are bestowed of free and sovereign grace as being altogether undeserved, yet as God has been pleased by the promises of the covenant of grace to bind himself to bestow them, so they are bestowed in the exercise of God's righteousness or justice. And therefore the Apostle says in Hebrews 6:10, "God is not unrighteous to forget [your work and labour of love]." So 1 John 1:9, "If we confess our sins, God is faithful and just to forgive our sins, and cleanse us [from all unrighteousness]."</w:t>
      </w:r>
    </w:p>
    <w:p>
      <w:pPr>
        <w:pStyle w:val="BodyText"/>
      </w:pPr>
      <w:r>
        <w:t xml:space="preserve">So the word righteousness is very often used in Scripture for his covenant faithfulness; so 'tis in Nehemiah 9:8, "Thou hast performed thy words for thou art righteous." And so we are very often to understand righteousness and covenant mercy [to]</w:t>
      </w:r>
      <w:r>
        <w:rPr>
          <w:rStyle w:val="FootnoteReference"/>
        </w:rPr>
        <w:footnoteReference w:id="199"/>
      </w:r>
      <w:r>
        <w:t xml:space="preserve"> be the same thing, as Psalms 24:5, "He shall receive the blessing from the Lord and righteousness from</w:t>
      </w:r>
    </w:p>
    <w:p>
      <w:pPr>
        <w:pStyle w:val="SourcePage"/>
      </w:pPr>
      <w:r>
        <w:t xml:space="preserve">[p. 115]</w:t>
      </w:r>
    </w:p>
    <w:p>
      <w:pPr>
        <w:pStyle w:val="BodyText"/>
      </w:pPr>
      <w:r>
        <w:t xml:space="preserve">the God of [his salvation]," Psalms 36:10, "O continue thy lovingkindness to them that know thee; and thy righteousness to the upright," and Psalms 51:14, "Deliver me from bloodguiltiness, O God, thou God of my salvation;</w:t>
      </w:r>
      <w:r>
        <w:rPr>
          <w:rStyle w:val="FootnoteReference"/>
        </w:rPr>
        <w:footnoteReference w:id="200"/>
      </w:r>
      <w:r>
        <w:t xml:space="preserve"> and my tongue shall sing aloud of thy righteousness" and Daniel 9:16, "O Lord, according to thy righteousness, I beseech thee, let thine anger and thy fury be turned away" and so in innumerable other places.</w:t>
      </w:r>
    </w:p>
    <w:p>
      <w:pPr>
        <w:pStyle w:val="BodyText"/>
      </w:pPr>
      <w:r>
        <w:t xml:space="preserve">The other word here used is salvation. Of these two, God's righteousness and his salvation, the one is the cause of which the other is the effect. God's righteousness or covenant mercy is the root of which his salvation is the fruit. Both of them relate to the covenant of grace; the one is God's covenant mercy and faithfulness, the other intends that work of God by which this covenant mercy is accomplished in the fruits of it. For salvation is the sum of all those works of God by which the benefits that are by the covenant of grace are procured and bestowed.</w:t>
      </w:r>
    </w:p>
    <w:p>
      <w:pPr>
        <w:pStyle w:val="BodyText"/>
      </w:pPr>
      <w:r>
        <w:t xml:space="preserve">2</w:t>
      </w:r>
      <w:r>
        <w:rPr>
          <w:rStyle w:val="FootnoteReference"/>
        </w:rPr>
        <w:footnoteReference w:id="201"/>
      </w:r>
      <w:r>
        <w:t xml:space="preserve"> We may observe its continuance signified here by two expressions: forever and from generation to generation to generation. The latter seems to be exegetical or explanatory of the former. The phrase forever is variously used in Scripture. Sometimes thereby is meant as long as a man lives; so is it said the servant that has his ear bored through with an awl to the door of his master should be his servant forever.</w:t>
      </w:r>
      <w:r>
        <w:rPr>
          <w:rStyle w:val="FootnoteReference"/>
        </w:rPr>
        <w:footnoteReference w:id="202"/>
      </w:r>
      <w:r>
        <w:t xml:space="preserve"> Sometimes thereby is meant during the continuance of the Jewish state; so of many of the ceremonial</w:t>
      </w:r>
      <w:r>
        <w:rPr>
          <w:rStyle w:val="FootnoteReference"/>
        </w:rPr>
        <w:footnoteReference w:id="203"/>
      </w:r>
      <w:r>
        <w:t xml:space="preserve"> and judicial laws, it is said that they should be statutes forever.</w:t>
      </w:r>
      <w:r>
        <w:rPr>
          <w:rStyle w:val="FootnoteReference"/>
        </w:rPr>
        <w:footnoteReference w:id="204"/>
      </w:r>
      <w:r>
        <w:t xml:space="preserve"> Sometimes ‹thereby is meant› as long as the world stands or to the end of the generations of men; so it is said Ecclesiastes 1:4, "One generation passeth away and another comes but [the earth abideth for ever]." Sometimes thereby is meant to all eternity; so it is said God is "blessed forevermore," Romans 1:25, and so it is said John 6:51, he that may "eat of this bread, he shall live forever."</w:t>
      </w:r>
    </w:p>
    <w:p>
      <w:pPr>
        <w:pStyle w:val="BodyText"/>
      </w:pPr>
      <w:r>
        <w:t xml:space="preserve">And which of these are to be here understood the next words determine, viz. to the end of the world or to the end of the generations of men. 'Tis said in the next words, "my salvation from generation</w:t>
      </w:r>
    </w:p>
    <w:p>
      <w:pPr>
        <w:pStyle w:val="SourcePage"/>
      </w:pPr>
      <w:r>
        <w:t xml:space="preserve">[p. 116]</w:t>
      </w:r>
    </w:p>
    <w:p>
      <w:pPr>
        <w:pStyle w:val="BodyText"/>
      </w:pPr>
      <w:r>
        <w:t xml:space="preserve">[to generation]."</w:t>
      </w:r>
      <w:r>
        <w:rPr>
          <w:rStyle w:val="FootnoteReference"/>
        </w:rPr>
        <w:footnoteReference w:id="205"/>
      </w:r>
      <w:r>
        <w:t xml:space="preserve"> Indeed the fruits of God's salvation shall remain after this as appears by the Isaiah 51:6: ["my salvation shall be for ever, and my righteousness shall not be abolished"]. But the work of salvation itself towards the church shall continue to be wrought till then, till the end of the world. God would go on to accomplish deliverance and salvation for the church from all her enemies, for this is what the prophet is here speaking of, till the end of the world, till her enemies cease to be or to [have] any power to molest the church.</w:t>
      </w:r>
      <w:r>
        <w:rPr>
          <w:rStyle w:val="FootnoteReference"/>
        </w:rPr>
        <w:footnoteReference w:id="206"/>
      </w:r>
      <w:r>
        <w:t xml:space="preserve"> And this expression "from generation to generation" may determine us as to the time which God continues to carry on the work of salvation for his church both with respect to the beginning and the end. It is from generation to generation, i.e. throughout all generations beginning with the generations of men on the earth and not ending till these generations end at the end of the world.</w:t>
      </w:r>
    </w:p>
    <w:p>
      <w:pPr>
        <w:pStyle w:val="BodyText"/>
      </w:pPr>
      <w:r>
        <w:t xml:space="preserve">And therefore the</w:t>
      </w:r>
    </w:p>
    <w:p>
      <w:pPr>
        <w:pStyle w:val="Heading3"/>
      </w:pPr>
      <w:bookmarkStart w:name="heading_doctrine" w:id="33"/>
      <w:r>
        <w:t xml:space="preserve">DOCTRINE</w:t>
      </w:r>
      <w:bookmarkEnd w:id="33"/>
    </w:p>
    <w:p>
      <w:pPr>
        <w:pStyle w:val="BlockQuote"/>
      </w:pPr>
      <w:r>
        <w:rPr>
          <w:i/>
          <w:iCs/>
        </w:rPr>
        <w:t xml:space="preserve">The Work of Redemption is a work that God carries on from the fall of man to the end of the world</w:t>
      </w:r>
      <w:r>
        <w:t xml:space="preserve">.</w:t>
      </w:r>
    </w:p>
    <w:p>
      <w:pPr>
        <w:pStyle w:val="BodyText"/>
      </w:pPr>
      <w:r>
        <w:t xml:space="preserve">The generations of mankind on the earth did not begin till after the fall. The beginning of the posterity of our first parents was after the fall, for all his</w:t>
      </w:r>
      <w:r>
        <w:rPr>
          <w:rStyle w:val="FootnoteReference"/>
        </w:rPr>
        <w:footnoteReference w:id="207"/>
      </w:r>
      <w:r>
        <w:t xml:space="preserve"> posterity by ordinary generation are partakers of the fall and the corruption of nature that followed from it. And these generations by which the human race is propagated shall continue to the end of the world; so these two are the limits of the generations of men on the earth: the fall of man, the beginning, and the end of the world—the Day of Judgment—its end. The same</w:t>
      </w:r>
      <w:r>
        <w:rPr>
          <w:rStyle w:val="FootnoteReference"/>
        </w:rPr>
        <w:footnoteReference w:id="208"/>
      </w:r>
      <w:r>
        <w:t xml:space="preserve"> are the limits of the Work of Redemption as to those progressive works of God by which that redemption is brought about and accomplished, though not as to the fruits of it, for they as was said before shall be to all eternity. The work of salvation and the Work of Redemption are the same thing. What is sometimes in Scripture called God's saving his</w:t>
      </w:r>
    </w:p>
    <w:p>
      <w:pPr>
        <w:pStyle w:val="SourcePage"/>
      </w:pPr>
      <w:r>
        <w:t xml:space="preserve">[p. 117]</w:t>
      </w:r>
    </w:p>
    <w:p>
      <w:pPr>
        <w:pStyle w:val="BodyText"/>
      </w:pPr>
      <w:r>
        <w:t xml:space="preserve">people is in others called his redeeming them; so Christ is called both the Savior and the Redeemer of his people.</w:t>
      </w:r>
      <w:r>
        <w:rPr>
          <w:rStyle w:val="FootnoteReference"/>
        </w:rPr>
        <w:footnoteReference w:id="209"/>
      </w:r>
    </w:p>
    <w:p>
      <w:pPr>
        <w:pStyle w:val="BodyText"/>
      </w:pPr>
      <w:r>
        <w:t xml:space="preserve">First.</w:t>
      </w:r>
      <w:r>
        <w:rPr>
          <w:rStyle w:val="FootnoteReference"/>
        </w:rPr>
        <w:footnoteReference w:id="210"/>
      </w:r>
      <w:r>
        <w:t xml:space="preserve"> I would show in what sense the terms of the doctrine are used; and first I would show how I must be understood in the doctrine by the Work of Redemption, and secondly how I must be understood when I say this work is a work that God carries on from the fall of man.</w:t>
      </w:r>
    </w:p>
    <w:p>
      <w:pPr>
        <w:pStyle w:val="BodyText"/>
      </w:pPr>
      <w:r>
        <w:t xml:space="preserve">1.</w:t>
      </w:r>
      <w:r>
        <w:rPr>
          <w:rStyle w:val="FootnoteReference"/>
        </w:rPr>
        <w:footnoteReference w:id="211"/>
      </w:r>
      <w:r>
        <w:t xml:space="preserve"> I would show how I would be understood by the Work of Redemption. And here it may be observed that the Work of Redemption is sometimes understood in a more limited sense for the purchase of salvation. For so the word strictly signifies a purchase of deliverance. And if we take the word in this restricted</w:t>
      </w:r>
      <w:r>
        <w:rPr>
          <w:rStyle w:val="FootnoteReference"/>
        </w:rPr>
        <w:footnoteReference w:id="212"/>
      </w:r>
      <w:r>
        <w:t xml:space="preserve"> sense, the Work of Redemption was not so long a-doing but it was begun and finished with Christ's humiliation, or it was all wrought while Christ was upon earth. It was begun with Christ's incarnation and carried on through Christ's life and finished with his death, or the time of his remaining under the power of death which ended in his resurrection. And so we say that the day of Christ's resurrection is the day when Christ finished the work of our redemption, i.e. then the purchase was finished and the work itself and all that appertained to it was virtually done and finished but not actually.</w:t>
      </w:r>
    </w:p>
    <w:p>
      <w:pPr>
        <w:pStyle w:val="BodyText"/>
      </w:pPr>
      <w:r>
        <w:t xml:space="preserve">But then sometimes the Work of Redemption is taken more largely, including all that God works or accomplishes tending to this end, not only the purchasing of redemption but also all God's works that were properly preparatory to the purchase, or as applying the purchase and accomplishing the success of it. So that the whole dispensation as it includes the preparation and the imputation and application and success of Christ's redemption is here called the Work of Redemption. All that Christ does in</w:t>
      </w:r>
      <w:r>
        <w:rPr>
          <w:rStyle w:val="FootnoteReference"/>
        </w:rPr>
        <w:footnoteReference w:id="213"/>
      </w:r>
      <w:r>
        <w:t xml:space="preserve"> this great affair as mediator in any of his offices, either Prophet, Priest or King, either when he was in the world in his human [form], or before or since. And not only what Christ the mediator has done, but also what the Father and the Holy Ghost have done as united or confederated in this design of redeeming</w:t>
      </w:r>
    </w:p>
    <w:p>
      <w:pPr>
        <w:pStyle w:val="SourcePage"/>
      </w:pPr>
      <w:r>
        <w:t xml:space="preserve">[p. 118]</w:t>
      </w:r>
    </w:p>
    <w:p>
      <w:pPr>
        <w:pStyle w:val="BodyText"/>
      </w:pPr>
      <w:r>
        <w:t xml:space="preserve">sinful men; or in one word, all that is wrought in execution of the eternal covenant of redemption. This is what I called the Work of Redemption in the doctrine, for 'tis all but one work, one design. The various dispensations and works that belong to it are but the several parts of one scheme. 'Tis but one design that is done to which all the offices of Christ do directly tend, and in which all the persons of the Trinity do conspire and all the various dispensations that belong to it are united, as the several wheels in one machine, to answer one end and produce one effect.</w:t>
      </w:r>
    </w:p>
    <w:p>
      <w:pPr>
        <w:pStyle w:val="BodyText"/>
      </w:pPr>
      <w:r>
        <w:t xml:space="preserve">And 2.</w:t>
      </w:r>
      <w:r>
        <w:rPr>
          <w:rStyle w:val="FootnoteReference"/>
        </w:rPr>
        <w:footnoteReference w:id="214"/>
      </w:r>
      <w:r>
        <w:t xml:space="preserve"> When I say this work is carried on from the fall of man to the end of the world, in order to the full understanding of my</w:t>
      </w:r>
      <w:r>
        <w:rPr>
          <w:rStyle w:val="FootnoteReference"/>
        </w:rPr>
        <w:footnoteReference w:id="215"/>
      </w:r>
      <w:r>
        <w:t xml:space="preserve"> meaning in it I would desire two or three things to be observed.</w:t>
      </w:r>
    </w:p>
    <w:p>
      <w:pPr>
        <w:pStyle w:val="BodyText"/>
      </w:pPr>
      <w:r>
        <w:t xml:space="preserve">1.</w:t>
      </w:r>
      <w:r>
        <w:rPr>
          <w:rStyle w:val="FootnoteReference"/>
        </w:rPr>
        <w:footnoteReference w:id="216"/>
      </w:r>
      <w:r>
        <w:t xml:space="preserve"> That it is not meant that nothing was done in order to it before the fall of man. There were many things done in order to the Work of Redemption before that. Some things were done before the world was created, yea from all eternity. The persons of the Trinity were as it were confederated in a design and a covenant of redemption, in which covenant the Father appointed the Son and the Son had undertaken their work, and all things to be accomplished in their work were stipulated and agreed. And besides these there were things done at the creation of the world in order to that work before man fell. For the world itself seems to have been created in order to it. The work of creation was in order to God's works of providence. So that if it be inquired which of these two kinds of works is the greatest, the works of creation or God's works of providence, I answer providence because God's works of providence are the end of God's works of creation as the building of an house or the forming an engine or machine is for its use. But God's main work of providence is this great work of God that the doctrine speaks of, as may</w:t>
      </w:r>
      <w:r>
        <w:rPr>
          <w:rStyle w:val="FootnoteReference"/>
        </w:rPr>
        <w:footnoteReference w:id="217"/>
      </w:r>
      <w:r>
        <w:t xml:space="preserve"> more fully appear afterwards. The creating heaven was in order to the Work of Redemption; it was to be an habitation for the redeemed and the Redeemer, Matthew 25:34.</w:t>
      </w:r>
      <w:r>
        <w:rPr>
          <w:rStyle w:val="FootnoteReference"/>
        </w:rPr>
        <w:footnoteReference w:id="218"/>
      </w:r>
      <w:r>
        <w:t xml:space="preserve"> Angels [were created to be] ministering spirits [to the inhabitants of the] lower world [which is] to be the stage of</w:t>
      </w:r>
    </w:p>
    <w:p>
      <w:pPr>
        <w:pStyle w:val="SourcePage"/>
      </w:pPr>
      <w:r>
        <w:t xml:space="preserve">[p. 119]</w:t>
      </w:r>
    </w:p>
    <w:p>
      <w:pPr>
        <w:pStyle w:val="BodyText"/>
      </w:pPr>
      <w:r>
        <w:t xml:space="preserve">this wonderful Work [of Redemption].</w:t>
      </w:r>
      <w:r>
        <w:rPr>
          <w:rStyle w:val="FootnoteReference"/>
        </w:rPr>
        <w:footnoteReference w:id="219"/>
      </w:r>
      <w:r>
        <w:t xml:space="preserve"> And therefore [it] might be shown in many respects the state of the lower world is wisely fitted in its formation for such a state of man as he is in since the fall under a possibility of redemption. So that when it is said that the Work of Redemption is carried on [from the fall of man to the end of the world],</w:t>
      </w:r>
      <w:r>
        <w:rPr>
          <w:rStyle w:val="FootnoteReference"/>
        </w:rPr>
        <w:footnoteReference w:id="220"/>
      </w:r>
      <w:r>
        <w:t xml:space="preserve"> 'tis not meant that all that ever was done in order to a redemption began after that. Nor—</w:t>
      </w:r>
    </w:p>
    <w:p>
      <w:pPr>
        <w:pStyle w:val="BodyText"/>
      </w:pPr>
      <w:r>
        <w:t xml:space="preserve">2.</w:t>
      </w:r>
      <w:r>
        <w:rPr>
          <w:rStyle w:val="FootnoteReference"/>
        </w:rPr>
        <w:footnoteReference w:id="221"/>
      </w:r>
      <w:r>
        <w:t xml:space="preserve"> Is it meant that there were no remaining fruits of this work after the end of the world. The greatest fruits of all are after that. The glory and blessedness that will be the sum of all the fruits will remain to all eternity after that. The Work of Redemption is not an eternal work, that is, it is not a work always a-doing and never accomplished. But the fruits of this work are eternal fruits. The work has an issue, but in the issue the end will be obtained, which end never will have an end. As things that were in order to this work, as</w:t>
      </w:r>
      <w:r>
        <w:rPr>
          <w:rStyle w:val="FootnoteReference"/>
        </w:rPr>
        <w:footnoteReference w:id="222"/>
      </w:r>
      <w:r>
        <w:t xml:space="preserve"> God's electing love and the covenant of redemption never had a beginning, so the fruits of this work that shall be after the end of the work never will have an end. And therefore,</w:t>
      </w:r>
    </w:p>
    <w:p>
      <w:pPr>
        <w:pStyle w:val="BodyText"/>
      </w:pPr>
      <w:r>
        <w:t xml:space="preserve">3.</w:t>
      </w:r>
      <w:r>
        <w:rPr>
          <w:rStyle w:val="FootnoteReference"/>
        </w:rPr>
        <w:footnoteReference w:id="223"/>
      </w:r>
      <w:r>
        <w:t xml:space="preserve"> When it is said that this is a work that God is carrying on from the fall of man ‹to the end of the world›, what I mean is that those things that belong to this work itself are parts of that scheme, are all this accomplishing. There are things that are in order to it that are before the beginning of it, and fruits of it that are after it is finished. But the work itself is so long a-doing even from the fall ‹of man to the end of the world›; it is all this while a-carrying on. It was begun immediately upon the fall and will be continued to the end of the world and then will be finished. The various dispensations of God that are in this space do belong to the same work, tend to the same design, and have all one issue and therefore are all to be reckoned but as several parts of one work, as it were several successive motions of one machine to strike out,</w:t>
      </w:r>
      <w:r>
        <w:rPr>
          <w:rStyle w:val="FootnoteReference"/>
        </w:rPr>
        <w:footnoteReference w:id="224"/>
      </w:r>
      <w:r>
        <w:t xml:space="preserve"> in the conclusion one great event.</w:t>
      </w:r>
    </w:p>
    <w:p>
      <w:pPr>
        <w:pStyle w:val="BodyText"/>
      </w:pPr>
      <w:r>
        <w:t xml:space="preserve">And here also we must distinguish between the parts of redemption itself and parts of the work by which this redemption is wrought out.</w:t>
      </w:r>
    </w:p>
    <w:p>
      <w:pPr>
        <w:pStyle w:val="SourcePage"/>
      </w:pPr>
      <w:r>
        <w:t xml:space="preserve">[p. 120]</w:t>
      </w:r>
    </w:p>
    <w:p>
      <w:pPr>
        <w:pStyle w:val="BodyText"/>
      </w:pPr>
      <w:r>
        <w:t xml:space="preserve">There is difference between the parts of the benefits procured and bestowed, and the parts of that work of God by which those benefits were procured and bestowed. As for example, there is difference between the parts of the benefit the children of Israel received consisting in their redemption out of Egypt, and the parts of that work of God by which this was wrought. The redemption of the children of Israel out of Egypt considered as the benefit which they enjoyed consisted of two parts: viz. their deliverance from their former Egyptian bondage and misery, and their being brought into a more happy state as the servants of God and heirs of Canaan.</w:t>
      </w:r>
      <w:r>
        <w:rPr>
          <w:rStyle w:val="FootnoteReference"/>
        </w:rPr>
        <w:footnoteReference w:id="225"/>
      </w:r>
      <w:r>
        <w:t xml:space="preserve"> But there are many more things that are parts of that work of God which is called his work of redemption of Israel out of Egypt. To this belong his calling of Moses, his sending him to Pharaoh and all the signs and wonders he wrought in Egypt, and his bringing such terrible judgments on the Egyptians, and many others.</w:t>
      </w:r>
    </w:p>
    <w:p>
      <w:pPr>
        <w:pStyle w:val="BodyText"/>
      </w:pPr>
      <w:r>
        <w:t xml:space="preserve">For the work by which God wrought out redemption</w:t>
      </w:r>
      <w:r>
        <w:rPr>
          <w:rStyle w:val="FootnoteReference"/>
        </w:rPr>
        <w:footnoteReference w:id="226"/>
      </w:r>
      <w:r>
        <w:t xml:space="preserve"> that we are speaking of, that is carried on from the fall of man ‹to the end of the world›, this work is carried on from the fall of man ‹to the end of the world›; in two respects:</w:t>
      </w:r>
    </w:p>
    <w:p>
      <w:pPr>
        <w:pStyle w:val="BodyText"/>
      </w:pPr>
      <w:r>
        <w:t xml:space="preserve">1.</w:t>
      </w:r>
      <w:r>
        <w:rPr>
          <w:rStyle w:val="FootnoteReference"/>
        </w:rPr>
        <w:footnoteReference w:id="227"/>
      </w:r>
      <w:r>
        <w:t xml:space="preserve"> With respect to the effect wrought on the souls of the redeemed, which is common to all ages from the fall of man ‹to the end of the world›. This effect that I here speak [of] is the application of redemption with respect to the souls of particular persons in converting, justifying, sanctifying and glorifying of them. By these things the souls of particular persons are actually redeemed—do receive the benefit of the Work of Redemption in its effect in their souls. And in this sense the Work of Redemption is carried on in all ages from the fall of man to the end of the world. The work of God in converting souls, opening blind eyes, and unstopping deaf [ears], and raising dead souls to life, and rescuing the miserable captured souls of men out of the hands of Satan, was begun soon after the fall of man, has been carried on in the world ever since to this day, and will be to the end of the world. God has always, ever since the first erecting of the church of the redeemed</w:t>
      </w:r>
      <w:r>
        <w:rPr>
          <w:rStyle w:val="FootnoteReference"/>
        </w:rPr>
        <w:footnoteReference w:id="228"/>
      </w:r>
      <w:r>
        <w:t xml:space="preserve"> after the fall, had such a church in the world. Though oftentimes it has been reduced to a very narrow compass and to low circumstances, yet it has never wholly failed.</w:t>
      </w:r>
    </w:p>
    <w:p>
      <w:pPr>
        <w:pStyle w:val="SourcePage"/>
      </w:pPr>
      <w:r>
        <w:t xml:space="preserve">[p. 121]</w:t>
      </w:r>
    </w:p>
    <w:p>
      <w:pPr>
        <w:pStyle w:val="BodyText"/>
      </w:pPr>
      <w:r>
        <w:t xml:space="preserve">And as God carries on the work of converting the souls of fallen men through all these ages, so he goes on to justify them, to blot out all their sins and to accept them as righteous in his sight through the righteousness of Christ, and to adopt them and receive them from being the children of Satan to be his own children. So he also goes on to sanctify, or to carry on the work of his grace which he has begun in them, and to comfort them with the consolation of his spirit and to glorify them, to bestow upon them when their bodies die that eternal glory which is the fruit of the purchase of Christ. That is the Romans 8:30: "Whom he did predestinate [them he also called: and whom he called, them he also justified: and whom he justified, them he also glorified]." I say this is applicable to all ages from the fall ‹of man to the end of the world›. The way that the Work of Redemption with respect to these effects of it respecting the souls of the redeemed is carried on from the fall ‹of man to the end of the world› is by repeating after continually working the same</w:t>
      </w:r>
      <w:r>
        <w:rPr>
          <w:rStyle w:val="FootnoteReference"/>
        </w:rPr>
        <w:footnoteReference w:id="229"/>
      </w:r>
      <w:r>
        <w:t xml:space="preserve"> work over again, though in different persons from age to age. But,</w:t>
      </w:r>
    </w:p>
    <w:p>
      <w:pPr>
        <w:pStyle w:val="BodyText"/>
      </w:pPr>
      <w:r>
        <w:t xml:space="preserve">2.</w:t>
      </w:r>
      <w:r>
        <w:rPr>
          <w:rStyle w:val="FootnoteReference"/>
        </w:rPr>
        <w:footnoteReference w:id="230"/>
      </w:r>
      <w:r>
        <w:t xml:space="preserve"> The Work of Redemption with respect to the grand design in general as it relates to the universal subject and end of it, is carried on from the fall ‹of man to the end of the world› in a different manner, not merely by the repeating and renewing the same effect on the different subjects of it, but by many successive works and dispensations of God, all tending to one great end and effect, all united as the several parts of a scheme, and altogether making up one great work. Like an house or temple that is building, first the workmen are sent forth, then the materials are gathered, then the ground fitted, then the foundation is laid, then the superstructure erected one part after another, till at length the topstone is laid. And all is finished. Now the Work of Redemption in that large sense that has been explained may be compared to such a building that is carrying on from the fall of man to the end of the world. God went about it immediately after the fall of man. Some things were</w:t>
      </w:r>
      <w:r>
        <w:rPr>
          <w:rStyle w:val="FootnoteReference"/>
        </w:rPr>
        <w:footnoteReference w:id="231"/>
      </w:r>
      <w:r>
        <w:t xml:space="preserve"> done towards this building then, immediately as may be hereafter shown; and so God has gone as it were getting materials and building ever since, and so will go on to the end of the world. And then the time shall come when the topstone shall be brought forth and all will appear</w:t>
      </w:r>
    </w:p>
    <w:p>
      <w:pPr>
        <w:pStyle w:val="SourcePage"/>
      </w:pPr>
      <w:r>
        <w:t xml:space="preserve">[p. 122]</w:t>
      </w:r>
    </w:p>
    <w:p>
      <w:pPr>
        <w:pStyle w:val="BodyText"/>
      </w:pPr>
      <w:r>
        <w:t xml:space="preserve">complete and consummate. The glorious structure will then stand forth in its proper perfection.</w:t>
      </w:r>
    </w:p>
    <w:p>
      <w:pPr>
        <w:pStyle w:val="BodyText"/>
      </w:pPr>
      <w:r>
        <w:t xml:space="preserve">This work is carried on in the former respect that has been mentioned, viz. the effect on the souls of particular persons that are redeemed by its being an effect that is common to all ages. The work is carried on in this latter respect, viz. as it [has] respect to [the] church of God or the grand design in general. It is carried on not only by that which is common to all ages [but] by successive works wrought in different ages, all parts of one whole or one great scheme whereby one work is brought about by various steps, one step in each age and another in another. And 'tis the carrying on the Work of Redemption chiefly that I shall insist upon, though not excluding the former, for one necessarily supposes the other.</w:t>
      </w:r>
    </w:p>
    <w:p>
      <w:pPr>
        <w:pStyle w:val="BodyText"/>
      </w:pPr>
      <w:r>
        <w:t xml:space="preserve">Having thus explained what I mean by the terms of the doctrine I now, that you</w:t>
      </w:r>
      <w:r>
        <w:rPr>
          <w:rStyle w:val="FootnoteReference"/>
        </w:rPr>
        <w:footnoteReference w:id="232"/>
      </w:r>
      <w:r>
        <w:t xml:space="preserve"> may the more clearly know [that] the great design and Work of Redemption is carried on from the fall ‹of man to the end of the world›, I say in order to this I now proceed in the,</w:t>
      </w:r>
    </w:p>
    <w:p>
      <w:pPr>
        <w:pStyle w:val="BodyText"/>
      </w:pPr>
      <w:r>
        <w:t xml:space="preserve">Second place,</w:t>
      </w:r>
      <w:r>
        <w:rPr>
          <w:rStyle w:val="FootnoteReference"/>
        </w:rPr>
        <w:footnoteReference w:id="233"/>
      </w:r>
      <w:r>
        <w:t xml:space="preserve"> to show what is the design of this great work or what things are designed to be done by it. In order to see how a design is carried [to] an end, we must first know what the design is. To know how a workman proceeds and to understand the various steps he takes in order to accomplish a piece of work, we need to be informed what he is about or what the thing is that he intends to accomplish. Otherwise we may stand by and see him do one thing after another and be quite puzzled and in the dark about it, seeing nothing of his scheme and understanding nothing [of] what he means by it.</w:t>
      </w:r>
      <w:r>
        <w:rPr>
          <w:rStyle w:val="FootnoteReference"/>
        </w:rPr>
        <w:footnoteReference w:id="234"/>
      </w:r>
      <w:r>
        <w:t xml:space="preserve"> If an architect with a great number of hands were about building some great palace, and one that was a stranger to such things should stand by</w:t>
      </w:r>
      <w:r>
        <w:rPr>
          <w:rStyle w:val="FootnoteReference"/>
        </w:rPr>
        <w:footnoteReference w:id="235"/>
      </w:r>
      <w:r>
        <w:t xml:space="preserve"> and see some men digging in the earth, others bringing timbers, others hewing stones and the like, he might reason that there was a great deal done. But if he knew not the design, it would all appear confusion to him. And therefore that the great works and dispensations of God that belong to this great affair of redemption may not appear like confusion to you, I would set before you briefly the main</w:t>
      </w:r>
    </w:p>
    <w:p>
      <w:pPr>
        <w:pStyle w:val="SourcePage"/>
      </w:pPr>
      <w:r>
        <w:t xml:space="preserve">[p. 123]</w:t>
      </w:r>
    </w:p>
    <w:p>
      <w:pPr>
        <w:pStyle w:val="BodyText"/>
      </w:pPr>
      <w:r>
        <w:t xml:space="preserve">things as designed to be accomplished in this great work, to accomplish which God began to work presently after the fall of man and will continue to the end of the world when the whole work will appear completely finished. And the main things designed to be done by it are these that follow.</w:t>
      </w:r>
    </w:p>
    <w:p>
      <w:pPr>
        <w:pStyle w:val="BodyText"/>
      </w:pPr>
      <w:r>
        <w:t xml:space="preserve">1.</w:t>
      </w:r>
      <w:r>
        <w:rPr>
          <w:rStyle w:val="FootnoteReference"/>
        </w:rPr>
        <w:footnoteReference w:id="236"/>
      </w:r>
      <w:r>
        <w:t xml:space="preserve"> It is to put all God's enemies under his feet and that the goodness of God should finally appear triumphing over all evil. Soon after the world was created, evil entered into the world in the fall of the angles and man. Presently, after God had made rational creatures, there were enemies rose up against him from among them. And in the fall of man evil entered into this lower world, and God's enemies rose up against him here. Satan rose up against God, endeavoring to frustrate his design in the creation of this lower world,</w:t>
      </w:r>
      <w:r>
        <w:rPr>
          <w:rStyle w:val="FootnoteReference"/>
        </w:rPr>
        <w:footnoteReference w:id="237"/>
      </w:r>
      <w:r>
        <w:t xml:space="preserve"> to destroy his workmanship here, and to wrest the government of this lower world out of his hands, and usurp the throne himself, and set up himself as God of this world instead of the God that had made it. And to these ends he introduced sin into the world, had made man God's enemy, he brought guilt on man and brought death into the world, and brought the most extreme and dreadful misery into the world.</w:t>
      </w:r>
    </w:p>
    <w:p>
      <w:pPr>
        <w:pStyle w:val="BodyText"/>
      </w:pPr>
      <w:r>
        <w:t xml:space="preserve">Now one great design of God in the affair of redemption was to reduce and subdue those enemies of God till they should all be put under God's feet, 1 Corinthians 15:25.</w:t>
      </w:r>
      <w:r>
        <w:rPr>
          <w:rStyle w:val="FootnoteReference"/>
        </w:rPr>
        <w:footnoteReference w:id="238"/>
      </w:r>
      <w:r>
        <w:t xml:space="preserve"> [He did this in order]</w:t>
      </w:r>
      <w:r>
        <w:rPr>
          <w:rStyle w:val="FootnoteReference"/>
        </w:rPr>
        <w:footnoteReference w:id="239"/>
      </w:r>
      <w:r>
        <w:t xml:space="preserve"> that he might disappoint and confound and triumph over Satan, and that he [Satan] might be bruised under Christ's feet, Genesis 3:15, "The seed of the woman shall bruise [thy head]."</w:t>
      </w:r>
      <w:r>
        <w:rPr>
          <w:rStyle w:val="FootnoteReference"/>
        </w:rPr>
        <w:footnoteReference w:id="240"/>
      </w:r>
      <w:r>
        <w:t xml:space="preserve"> And "that he might destroy the works of the devil" and confound him in all his purposes, 1 John 3:8, "For this purpose was the son of God [manifested],"</w:t>
      </w:r>
      <w:r>
        <w:rPr>
          <w:rStyle w:val="FootnoteReference"/>
        </w:rPr>
        <w:footnoteReference w:id="241"/>
      </w:r>
      <w:r>
        <w:t xml:space="preserve"> and that he might triumph over sin, overcome the corruption of men, and that his Son might triumph</w:t>
      </w:r>
      <w:r>
        <w:rPr>
          <w:rStyle w:val="FootnoteReference"/>
        </w:rPr>
        <w:footnoteReference w:id="242"/>
      </w:r>
      <w:r>
        <w:t xml:space="preserve"> over man's guilt and that infinite demerit there is in sin, and might at last triumph over death.</w:t>
      </w:r>
      <w:r>
        <w:rPr>
          <w:rStyle w:val="FootnoteReference"/>
        </w:rPr>
        <w:footnoteReference w:id="243"/>
      </w:r>
      <w:r>
        <w:t xml:space="preserve"> God's thus</w:t>
      </w:r>
    </w:p>
    <w:p>
      <w:pPr>
        <w:pStyle w:val="SourcePage"/>
      </w:pPr>
      <w:r>
        <w:t xml:space="preserve">[p. 124]</w:t>
      </w:r>
    </w:p>
    <w:p>
      <w:pPr>
        <w:pStyle w:val="BodyText"/>
      </w:pPr>
      <w:r>
        <w:t xml:space="preserve">appearing gloriously above all evil and triumphing over all his enemies was one great thing that God intended by the Work of Redemption. And the work by which this was to be done God immediately went about as soon as man fell, and so goes on till he fully accomplishes it in the end of the world.</w:t>
      </w:r>
    </w:p>
    <w:p>
      <w:pPr>
        <w:pStyle w:val="BodyText"/>
      </w:pPr>
      <w:r>
        <w:t xml:space="preserve">2.</w:t>
      </w:r>
      <w:r>
        <w:rPr>
          <w:rStyle w:val="FootnoteReference"/>
        </w:rPr>
        <w:footnoteReference w:id="244"/>
      </w:r>
      <w:r>
        <w:t xml:space="preserve"> In doing this God's design was perfectly to restore all the ruins of the fall, so far as concerns the elect part of the world, by his Son. And therefore we read of the restitution of all things, Acts 3:21: "[Jesus Christ] whom the heavens must receive [until the times of restitution of all things],"</w:t>
      </w:r>
      <w:r>
        <w:rPr>
          <w:rStyle w:val="FootnoteReference"/>
        </w:rPr>
        <w:footnoteReference w:id="245"/>
      </w:r>
      <w:r>
        <w:t xml:space="preserve"> and "times of refreshing from the presence of the Lord Jesus," Acts 3:19.</w:t>
      </w:r>
    </w:p>
    <w:p>
      <w:pPr>
        <w:pStyle w:val="BodyText"/>
      </w:pPr>
      <w:r>
        <w:t xml:space="preserve">Man's soul was ruined by the fall, the image of God was ruined man's nature corrupted and destroyed, and man became dead in sin. The design was to restore the soul of man in conversion and to restore life to it, and the image of</w:t>
      </w:r>
      <w:r>
        <w:rPr>
          <w:rStyle w:val="FootnoteReference"/>
        </w:rPr>
        <w:footnoteReference w:id="246"/>
      </w:r>
      <w:r>
        <w:t xml:space="preserve"> God in conversion and to carry on the restoration in sanctification, and to perfect it in glory. Man's body was ruined by the fall, became subject to death. The world was ruined as to man as effectively as if it were reduced to a chaos again, all heavens and earth were overthrown. But the design was to restore all, as it were to create a new heaven and a new earth, Isaiah 65:17, "For behold I create [new heavens and a new earth]."</w:t>
      </w:r>
      <w:r>
        <w:rPr>
          <w:rStyle w:val="FootnoteReference"/>
        </w:rPr>
        <w:footnoteReference w:id="247"/>
      </w:r>
      <w:r>
        <w:t xml:space="preserve"> The work by which this was to be done was begun immediately after the fall and so is carried on till all is finished at the end when the whole world, heaven and earth, shall be restored. And there shall be, as it were, a "new heaven and a new earth" in a spiritual sense at the end of the world. Thus 'tis represented, Revelation 21 at beginning.</w:t>
      </w:r>
      <w:r>
        <w:rPr>
          <w:rStyle w:val="FootnoteReference"/>
        </w:rPr>
        <w:footnoteReference w:id="248"/>
      </w:r>
    </w:p>
    <w:p>
      <w:pPr>
        <w:pStyle w:val="BodyText"/>
      </w:pPr>
      <w:r>
        <w:t xml:space="preserve">3.</w:t>
      </w:r>
      <w:r>
        <w:rPr>
          <w:rStyle w:val="FootnoteReference"/>
        </w:rPr>
        <w:footnoteReference w:id="249"/>
      </w:r>
      <w:r>
        <w:t xml:space="preserve"> Another great design ‹in the affair of redemption› was to gather together in one all things in Christ in heaven and on earth, i.e. all elect creatures</w:t>
      </w:r>
      <w:r>
        <w:rPr>
          <w:rStyle w:val="FootnoteReference"/>
        </w:rPr>
        <w:footnoteReference w:id="250"/>
      </w:r>
      <w:r>
        <w:t xml:space="preserve"> as has lately been explained to you.</w:t>
      </w:r>
      <w:r>
        <w:rPr>
          <w:rStyle w:val="FootnoteReference"/>
        </w:rPr>
        <w:footnoteReference w:id="251"/>
      </w:r>
      <w:r>
        <w:t xml:space="preserve"> [This is]</w:t>
      </w:r>
    </w:p>
    <w:p>
      <w:pPr>
        <w:pStyle w:val="SourcePage"/>
      </w:pPr>
      <w:r>
        <w:t xml:space="preserve">[p. 125]</w:t>
      </w:r>
    </w:p>
    <w:p>
      <w:pPr>
        <w:pStyle w:val="BodyText"/>
      </w:pPr>
      <w:r>
        <w:t xml:space="preserve">to bring all elect creatures in heaven and earth to an union one to another, in one body under one head, and to unite all together in one body to God the Father. This was begun soon after the fall and is carried on through all ages of the world and finished at the end of the world. And,</w:t>
      </w:r>
    </w:p>
    <w:p>
      <w:pPr>
        <w:pStyle w:val="BodyText"/>
      </w:pPr>
      <w:r>
        <w:t xml:space="preserve">4.</w:t>
      </w:r>
      <w:r>
        <w:rPr>
          <w:rStyle w:val="FootnoteReference"/>
        </w:rPr>
        <w:footnoteReference w:id="252"/>
      </w:r>
      <w:r>
        <w:t xml:space="preserve"> God designed by this means to complete and perfect the glory of all the elect by Christ. It was a great design of God to advance all the elect to an exceeding pitch of glory, such as eye has not seen.</w:t>
      </w:r>
      <w:r>
        <w:rPr>
          <w:rStyle w:val="FootnoteReference"/>
        </w:rPr>
        <w:footnoteReference w:id="253"/>
      </w:r>
      <w:r>
        <w:t xml:space="preserve"> He intended to bring them to perfect excellency and beauty in his image and in holiness which is the proper beauty of spiritual beings, and to advance 'em to a glorious degree of honor and also to an ineffable pitch of pleasure and joy. And thus to glorify the whole church of elect men in soul and body, and unite them by the glory of the elect angels to its highest pitch under one head. Towards this God began</w:t>
      </w:r>
      <w:r>
        <w:rPr>
          <w:rStyle w:val="FootnoteReference"/>
        </w:rPr>
        <w:footnoteReference w:id="254"/>
      </w:r>
      <w:r>
        <w:t xml:space="preserve"> to work immediately after the fall [of man] and goes on through all [ages], and it will be perfected at the end of the world.</w:t>
      </w:r>
    </w:p>
    <w:p>
      <w:pPr>
        <w:pStyle w:val="BodyText"/>
      </w:pPr>
      <w:r>
        <w:t xml:space="preserve">5.</w:t>
      </w:r>
      <w:r>
        <w:rPr>
          <w:rStyle w:val="FootnoteReference"/>
        </w:rPr>
        <w:footnoteReference w:id="255"/>
      </w:r>
      <w:r>
        <w:t xml:space="preserve"> In all this God designed to accomplish the glory of the blessed Trinity in an exceeding degree. God had a design of glorifying himself from eternity, to glorify each person in the Godhead. The end must be considered as first in the order of nature and then the means, and therefore we must conceive that God having proposed this end had then, as it were, the means to choose. And the principal means that he pitched [upon]</w:t>
      </w:r>
      <w:r>
        <w:rPr>
          <w:rStyle w:val="FootnoteReference"/>
        </w:rPr>
        <w:footnoteReference w:id="256"/>
      </w:r>
      <w:r>
        <w:t xml:space="preserve"> was this great Work of Redemption that we are speaking [of]. It was his design in this work to glorify his only begotten Son, Jesus Christ, in this great work, and it was his design by the Son to glorify the Father, John 13:31–32 ["Now is the Son of man glorified, and God is glorified in him. If God be glorified in him, God shall also glorify him in himself,"] and John 17:1 ["glorify thy Son, that thy Son also may glorify thee"]. And [also] that the Son should thus be glorified and should glorify the Father by what should be</w:t>
      </w:r>
      <w:r>
        <w:rPr>
          <w:rStyle w:val="FootnoteReference"/>
        </w:rPr>
        <w:footnoteReference w:id="257"/>
      </w:r>
      <w:r>
        <w:t xml:space="preserve"> accomplished by the Spirit to the glory of the Spirit, that the whole Trinity conjunctly and each person singly might be exceedingly glorified.</w:t>
      </w:r>
    </w:p>
    <w:p>
      <w:pPr>
        <w:pStyle w:val="SourcePage"/>
      </w:pPr>
      <w:r>
        <w:t xml:space="preserve">[p. 126]</w:t>
      </w:r>
    </w:p>
    <w:p>
      <w:pPr>
        <w:pStyle w:val="BodyText"/>
      </w:pPr>
      <w:r>
        <w:t xml:space="preserve">The work that was the appointed means of this was begun immediately after ‹the fall› and is carried on and finished at the end of the world when all this intended glory shall be fully accomplished in all things.</w:t>
      </w:r>
    </w:p>
    <w:p>
      <w:pPr>
        <w:pStyle w:val="SourcePage"/>
      </w:pPr>
      <w:r>
        <w:t xml:space="preserve">[p. 127]</w:t>
      </w:r>
    </w:p>
    <w:p>
      <w:pPr>
        <w:pStyle w:val="Heading2"/>
      </w:pPr>
      <w:bookmarkStart w:name="heading_sermon_two" w:id="34"/>
      <w:r>
        <w:t xml:space="preserve">SERMON TWO</w:t>
      </w:r>
      <w:bookmarkEnd w:id="34"/>
    </w:p>
    <w:p>
      <w:pPr>
        <w:pStyle w:val="BodyText"/>
      </w:pPr>
      <w:r>
        <w:rPr>
          <w:rStyle w:val="FootnoteReference"/>
        </w:rPr>
        <w:footnoteReference w:id="258"/>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 w:id="35"/>
      <w:r>
        <w:t xml:space="preserve">DOCTRINE</w:t>
      </w:r>
      <w:bookmarkEnd w:id="35"/>
    </w:p>
    <w:p>
      <w:pPr>
        <w:pStyle w:val="BlockQuote"/>
      </w:pPr>
      <w:r>
        <w:rPr>
          <w:i/>
          <w:iCs/>
        </w:rPr>
        <w:t xml:space="preserve">[The Work of Redemption is a work that God carries on from the fall of man to the end of the world.]</w:t>
      </w:r>
      <w:r>
        <w:rPr>
          <w:rStyle w:val="FootnoteReference"/>
        </w:rPr>
        <w:footnoteReference w:id="259"/>
      </w:r>
    </w:p>
    <w:p>
      <w:pPr>
        <w:pStyle w:val="BodyText"/>
      </w:pPr>
      <w:r>
        <w:t xml:space="preserve">HAVING thus shown what is designed to be done in this great work, I now proceed,</w:t>
      </w:r>
    </w:p>
    <w:p>
      <w:pPr>
        <w:pStyle w:val="BodyText"/>
      </w:pPr>
      <w:r>
        <w:rPr>
          <w:rStyle w:val="FootnoteReference"/>
        </w:rPr>
        <w:footnoteReference w:id="260"/>
      </w:r>
      <w:r>
        <w:t xml:space="preserve">Thirdly,</w:t>
      </w:r>
      <w:r>
        <w:rPr>
          <w:rStyle w:val="FootnoteReference"/>
        </w:rPr>
        <w:footnoteReference w:id="261"/>
      </w:r>
      <w:r>
        <w:t xml:space="preserve"> directly to show how this is accomplished in the various stages of this work from the fall of man to the end of the world. And in order to this I would divide this whole space of time into three periods:</w:t>
      </w:r>
    </w:p>
    <w:p>
      <w:pPr>
        <w:pStyle w:val="BodyText"/>
      </w:pPr>
      <w:r>
        <w:t xml:space="preserve">The first reaching from the fall of man to Christ's incarnation,</w:t>
      </w:r>
    </w:p>
    <w:p>
      <w:pPr>
        <w:pStyle w:val="BodyText"/>
      </w:pPr>
      <w:r>
        <w:t xml:space="preserve">The second from Christ's incarnation till his resurrection, or the whole time of Christ's humiliation,</w:t>
      </w:r>
    </w:p>
    <w:p>
      <w:pPr>
        <w:pStyle w:val="BodyText"/>
      </w:pPr>
      <w:r>
        <w:t xml:space="preserve">The third from thence to the end of the world.</w:t>
      </w:r>
    </w:p>
    <w:p>
      <w:pPr>
        <w:pStyle w:val="BodyText"/>
      </w:pPr>
      <w:r>
        <w:t xml:space="preserve">It may be some may be ready to think this is a very unequal division, and it is so. Indeed in some respects it is so because the second period is so much the greatest. For though it be so much shorter than either of the other, being but between thirty and forty years whereas both</w:t>
      </w:r>
    </w:p>
    <w:p>
      <w:pPr>
        <w:pStyle w:val="SourcePage"/>
      </w:pPr>
      <w:r>
        <w:t xml:space="preserve">[p. 128]</w:t>
      </w:r>
    </w:p>
    <w:p>
      <w:pPr>
        <w:pStyle w:val="BodyText"/>
      </w:pPr>
      <w:r>
        <w:t xml:space="preserve">the other contain thousands, yet in this affair that we are now upon it is indeed more than both the other. I would therefore proceed to show distinctly how the Work of Redemption is carried on from the fall of man to the end of the world through each of these periods in their order, which I would do under three propositions, one concerning each period.</w:t>
      </w:r>
    </w:p>
    <w:p>
      <w:pPr>
        <w:pStyle w:val="BodyText"/>
      </w:pPr>
      <w:r>
        <w:t xml:space="preserve">I. That [from] the fall of man till the incarnation of Christ God was doing those things that were preparatory to Christ's coming and working out redemption and were forerunners and earnests of it.</w:t>
      </w:r>
    </w:p>
    <w:p>
      <w:pPr>
        <w:pStyle w:val="BodyText"/>
      </w:pPr>
      <w:r>
        <w:rPr>
          <w:rStyle w:val="FootnoteReference"/>
        </w:rPr>
        <w:footnoteReference w:id="262"/>
      </w:r>
      <w:r>
        <w:t xml:space="preserve">II. That the time from Christ's incarnation till his resurrection was spent in procuring or purchasing redemption.</w:t>
      </w:r>
    </w:p>
    <w:p>
      <w:pPr>
        <w:pStyle w:val="BodyText"/>
      </w:pPr>
      <w:r>
        <w:t xml:space="preserve">III. That the space of time from the resurrection of Christ to the end of the world is all taken up in bringing about or accomplishing the great effect or success of that purchase. In a particular consideration of these three propositions the great truth taught in the doctrine may perhaps appear in a clear light and we may see how the Work of Redemption is carried on from the fall ‹of man to the end of the world›. And thence,</w:t>
      </w:r>
    </w:p>
    <w:p>
      <w:pPr>
        <w:pStyle w:val="BodyText"/>
      </w:pPr>
      <w:r>
        <w:t xml:space="preserve">I.</w:t>
      </w:r>
      <w:r>
        <w:rPr>
          <w:rStyle w:val="FootnoteReference"/>
        </w:rPr>
        <w:footnoteReference w:id="263"/>
      </w:r>
      <w:r>
        <w:t xml:space="preserve"> I would show how the Work of Redemption is ‹carried on› from the fall of man to the incarnation under the first proposition, viz. the space of time from the fall of man to the incarnation of God or the incarnation of Christ was taken up in doing those things that were forerunners and earnests also of Christ's coming and working out redemption and work preparatory to it. The great works of God in the world during this whole space of time were all preparatories to this. There were many great changes and revolutions in the world of mankind before Christ appeared in the world, and they were all only the turning of the wheels of providence in order to this: to make way for the coming of Christ and what he was to do in the world, they all pointed hither and all issued here, and hither tended especially all God's</w:t>
      </w:r>
      <w:r>
        <w:rPr>
          <w:rStyle w:val="FootnoteReference"/>
        </w:rPr>
        <w:footnoteReference w:id="264"/>
      </w:r>
      <w:r>
        <w:t xml:space="preserve"> great works towards his church. The church was under various dispensations of providence and in very various circumstances before Christ came, but all these dispensations were to prepare the way for his coming. God wrought salvation for the souls of men through all that space of time. Though the number was but very small to what it was afterwards, and all this salvation was as it were by way of anticipation, all the souls that were saved before Christ</w:t>
      </w:r>
    </w:p>
    <w:p>
      <w:pPr>
        <w:pStyle w:val="SourcePage"/>
      </w:pPr>
      <w:r>
        <w:t xml:space="preserve">[p. 129]</w:t>
      </w:r>
    </w:p>
    <w:p>
      <w:pPr>
        <w:pStyle w:val="BodyText"/>
      </w:pPr>
      <w:r>
        <w:t xml:space="preserve">came were only as it [were] the earnests of the future harvest. God wrought many lesser salvations and deliverances for his church and people before Christ came. These salvations were all but so many images and forerunners of the great salvation Christ was to work out when he came. God revealed himself of old from time to time from the fall of man to the coming of Christ. The church during that space of time enjoyed the light of divine revelation in God's word. They had in a degree the light of the gospel, but all these revelations were only so many forerunners and earnests of the great light that he should bring who came to be the light of the world.</w:t>
      </w:r>
      <w:r>
        <w:rPr>
          <w:rStyle w:val="FootnoteReference"/>
        </w:rPr>
        <w:footnoteReference w:id="265"/>
      </w:r>
    </w:p>
    <w:p>
      <w:pPr>
        <w:pStyle w:val="BodyText"/>
      </w:pPr>
      <w:r>
        <w:t xml:space="preserve">That whole space of time was as it were the time of night wherein the church of God was not indeed wholly without light, but it</w:t>
      </w:r>
      <w:r>
        <w:rPr>
          <w:rStyle w:val="FootnoteReference"/>
        </w:rPr>
        <w:footnoteReference w:id="266"/>
      </w:r>
      <w:r>
        <w:t xml:space="preserve"> is like the light of the moon and stars that we have in the night, a dim light in comparison of the light of the sun and mixed with a great deal of darkness. "No glory by reason of the glory [that excelleth]," 2 Corinthians 3:10.</w:t>
      </w:r>
      <w:r>
        <w:rPr>
          <w:rStyle w:val="FootnoteReference"/>
        </w:rPr>
        <w:footnoteReference w:id="267"/>
      </w:r>
      <w:r>
        <w:t xml:space="preserve"> The church indeed had the light of the sun then but it was but as reflected from the moon and stars. The church all that while was a mirror, Galatians 4:1–2.</w:t>
      </w:r>
      <w:r>
        <w:rPr>
          <w:rStyle w:val="FootnoteReference"/>
        </w:rPr>
        <w:footnoteReference w:id="268"/>
      </w:r>
    </w:p>
    <w:p>
      <w:pPr>
        <w:pStyle w:val="BodyText"/>
      </w:pPr>
      <w:r>
        <w:t xml:space="preserve">But here for the greater distinctness or clearness I will subdivide this period from the fall of man to the coming of Christ into six lesser periods: the first from the fall to the flood, the second from thence to the calling of Abraham, three from thence to Moses, four from thence to David, five from David to the captivity into Babylon, and six from thence to the incarnation of Christ. And to show how the Work of Redemption was carried on from the fall of ‹man to the end of the world›, I will begin with the</w:t>
      </w:r>
    </w:p>
    <w:p>
      <w:pPr>
        <w:pStyle w:val="BodyText"/>
      </w:pPr>
      <w:r>
        <w:t xml:space="preserve">First</w:t>
      </w:r>
      <w:r>
        <w:rPr>
          <w:rStyle w:val="FootnoteReference"/>
        </w:rPr>
        <w:footnoteReference w:id="269"/>
      </w:r>
      <w:r>
        <w:t xml:space="preserve"> of these, viz. the space from the fall to the flood. This was a period furthest of all distant from Christ's incarnation, yet then this great work was begun to be carried on. Then was this glorious building begun that will not be finished till the end of the world, as I would now show you how. And here to that purpose I would observe,</w:t>
      </w:r>
    </w:p>
    <w:p>
      <w:pPr>
        <w:pStyle w:val="BodyText"/>
      </w:pPr>
      <w:r>
        <w:t xml:space="preserve">1.</w:t>
      </w:r>
      <w:r>
        <w:rPr>
          <w:rStyle w:val="FootnoteReference"/>
        </w:rPr>
        <w:footnoteReference w:id="270"/>
      </w:r>
      <w:r>
        <w:t xml:space="preserve"> As soon as ever man fell Christ entered on his mediatorial work.</w:t>
      </w:r>
    </w:p>
    <w:p>
      <w:pPr>
        <w:pStyle w:val="SourcePage"/>
      </w:pPr>
      <w:r>
        <w:t xml:space="preserve">[p. 130]</w:t>
      </w:r>
    </w:p>
    <w:p>
      <w:pPr>
        <w:pStyle w:val="BodyText"/>
      </w:pPr>
      <w:r>
        <w:t xml:space="preserve">Then it was that Christ first took on him the work and office of a mediator. He had undertaken it before the world was made;</w:t>
      </w:r>
      <w:r>
        <w:rPr>
          <w:rStyle w:val="FootnoteReference"/>
        </w:rPr>
        <w:footnoteReference w:id="271"/>
      </w:r>
      <w:r>
        <w:t xml:space="preserve"> he stood engaged with the Father to appear as man's mediator and to take on him that office when there should be occasion from all eternity. But now the time was come when man fell. Then the occasion came, and then Christ immediately without further delay entered on his work and took on him that office that he had stood engaged to take on him from eternity. As soon as man ever fell, Christ the eternal Son of God</w:t>
      </w:r>
      <w:r>
        <w:rPr>
          <w:rStyle w:val="FootnoteReference"/>
        </w:rPr>
        <w:footnoteReference w:id="272"/>
      </w:r>
      <w:r>
        <w:t xml:space="preserve"> clothed himself with his mediatorial character and therein presented himself before the Father. He immediately stepped in between an holy, infinite, offended majesty and offending mankind, and was accepted in his interposition; and so wrath was prevented from going forth in the full execution of that ensuing</w:t>
      </w:r>
      <w:r>
        <w:rPr>
          <w:rStyle w:val="FootnoteReference"/>
        </w:rPr>
        <w:footnoteReference w:id="273"/>
      </w:r>
      <w:r>
        <w:t xml:space="preserve"> curse that man had brought on himself.</w:t>
      </w:r>
    </w:p>
    <w:p>
      <w:pPr>
        <w:pStyle w:val="BodyText"/>
      </w:pPr>
      <w:r>
        <w:t xml:space="preserve">'Tis manifest that Christ began to exercise the office of mediator between God and man as soon as man fell because mercy began to be exercised towards man immediately. There was mercy in the forbearance of God that he don't immediately destroy him, as he don't the angels when they fell. But here is no mercy exercised towards fallen man but through a mediator; if God had not in mercy restrained Satan he would have immediately seized his prey. Christ began to do the part of an intercessor for man as soon as he fell. There is no mercy exercised towards man</w:t>
      </w:r>
      <w:r>
        <w:rPr>
          <w:rStyle w:val="FootnoteReference"/>
        </w:rPr>
        <w:footnoteReference w:id="274"/>
      </w:r>
      <w:r>
        <w:t xml:space="preserve"> but what is obtained through Christ's intercession. So that now Christ was entered upon the work that he was to continue in throughout all ages of the world. From this day forward Christ took on him the care of the church of the elect, he took here the care of fallen man in the execution of all his offices. He undertook henceforward to teach mankind in the exercise of his prophetic office and to intercede for fallen man in the ‹exercise of the› priestly ‹office› and he took on him as it were the care and burden of the government of the church and of the world of mankind from this day forward.</w:t>
      </w:r>
      <w:r>
        <w:rPr>
          <w:rStyle w:val="FootnoteReference"/>
        </w:rPr>
        <w:footnoteReference w:id="275"/>
      </w:r>
      <w:r>
        <w:t xml:space="preserve"> He from that time took upon him the care of the defense of his elect church from all their enemies. When Satan the grand enemy had conquered and overthrown man,</w:t>
      </w:r>
    </w:p>
    <w:p>
      <w:pPr>
        <w:pStyle w:val="SourcePage"/>
      </w:pPr>
      <w:r>
        <w:t xml:space="preserve">[p. 131]</w:t>
      </w:r>
    </w:p>
    <w:p>
      <w:pPr>
        <w:pStyle w:val="BodyText"/>
      </w:pPr>
      <w:r>
        <w:t xml:space="preserve">the business of resisting and conquering him was committed to Jesus Christ. He thenceforward undertook to manage that subtile, powerful adversary. He was thus appointed the captain of the Lord's hosts and captain of their</w:t>
      </w:r>
      <w:r>
        <w:rPr>
          <w:rStyle w:val="FootnoteReference"/>
        </w:rPr>
        <w:footnoteReference w:id="276"/>
      </w:r>
      <w:r>
        <w:t xml:space="preserve"> salvation, and always acted as such thenceforward, and so he appeared from time to time and he will continue to act as such to the end of the world.</w:t>
      </w:r>
      <w:r>
        <w:rPr>
          <w:rStyle w:val="FootnoteReference"/>
        </w:rPr>
        <w:footnoteReference w:id="277"/>
      </w:r>
      <w:r>
        <w:t xml:space="preserve"> Henceforward this lower world with all its concerns was as it were devolved upon the Son of God. For when man had sinned, God the Father would have no more to do with man immediately. He would no more have any immediate concern with this world of mankind that had apostatized from him and rebelled against him. He would henceforward have no concern with man but only through a mediator, either in teaching men or in governing or bestowing any benefits on them.</w:t>
      </w:r>
    </w:p>
    <w:p>
      <w:pPr>
        <w:pStyle w:val="BodyText"/>
      </w:pPr>
      <w:r>
        <w:t xml:space="preserve">And therefore when we read in the sacred history what God did from time to time towards his church and people, and what he said to them, and how he revealed himself to them, we are to</w:t>
      </w:r>
      <w:r>
        <w:rPr>
          <w:rStyle w:val="FootnoteReference"/>
        </w:rPr>
        <w:footnoteReference w:id="278"/>
      </w:r>
      <w:r>
        <w:t xml:space="preserve"> understand it especially of the second person of the Trinity. When we read after this of God's appearing time after time in some visible form or outward symbol of his presence, we are ordinarily if not universally to understand it of the second person of the Trinity, which may be argued from John 1:18, "No man [hath seen God at any time; the only begotten Son… hath declared him]." He is therefore called the "image of the invisible God," Colossians 1:15, intimating that though God the Father be invisible, yet Christ is his image or symbol by which he is seen or by which the church of God often has had a representation of him that is not invisible. And particularly Christ often appeared in an human form.</w:t>
      </w:r>
    </w:p>
    <w:p>
      <w:pPr>
        <w:pStyle w:val="BodyText"/>
      </w:pPr>
      <w:r>
        <w:rPr>
          <w:rStyle w:val="FootnoteReference"/>
        </w:rPr>
        <w:footnoteReference w:id="279"/>
      </w:r>
      <w:r>
        <w:t xml:space="preserve">Yea not only was this lower world devolved on Christ that he might have the care and government of it and order it agreeably to his design of redemption, but also in some respect the whole universe. The angels from [that] time were committed to him to be subject to him in his mediatorial office, to be ministering spirits to him in this affair, and accordingly were so from this time forward, as is manifest by the Scripture history wherein we have accounts from time to time of their acting as ministering spirits in the affairs of the church of Christ. And therefore we may suppose that immediately on the fall</w:t>
      </w:r>
    </w:p>
    <w:p>
      <w:pPr>
        <w:pStyle w:val="SourcePage"/>
      </w:pPr>
      <w:r>
        <w:t xml:space="preserve">[p. 132]</w:t>
      </w:r>
    </w:p>
    <w:p>
      <w:pPr>
        <w:pStyle w:val="BodyText"/>
      </w:pPr>
      <w:r>
        <w:t xml:space="preserve">of man it was made known in heaven among the angels that</w:t>
      </w:r>
      <w:r>
        <w:rPr>
          <w:rStyle w:val="FootnoteReference"/>
        </w:rPr>
        <w:footnoteReference w:id="280"/>
      </w:r>
      <w:r>
        <w:t xml:space="preserve"> Christ now had taken upon him the office and work of a mediator between God and fallen man: that they might know their business henceforward which was to be subservient to Christ in this office. And as Christ in this office has since that, as God-man and mediator, been solemnly exalted, installed the King of Heaven, and so thenceforward as God-man, mediator, the light and as</w:t>
      </w:r>
      <w:r>
        <w:rPr>
          <w:rStyle w:val="FootnoteReference"/>
        </w:rPr>
        <w:footnoteReference w:id="281"/>
      </w:r>
      <w:r>
        <w:t xml:space="preserve"> [it] were the sun of heaven, Revelation 21:23, "[The city had no need of the sun … for …] the Lamb [is the light thereof]."</w:t>
      </w:r>
      <w:r>
        <w:rPr>
          <w:rStyle w:val="FootnoteReference"/>
        </w:rPr>
        <w:footnoteReference w:id="282"/>
      </w:r>
      <w:r>
        <w:t xml:space="preserve"> So this revelation that was made in heaven among the angels, of Christ's now having taken on him the office of a mediator between God and man, was as it were the first dawning of this light in heaven.</w:t>
      </w:r>
    </w:p>
    <w:p>
      <w:pPr>
        <w:pStyle w:val="BodyText"/>
      </w:pPr>
      <w:r>
        <w:t xml:space="preserve">When Christ ascended into heaven after his passion and was solemnly installed on the throne of heaven as King of Heaven, then this sun rose in heaven, even the Lamb that is the light of the new Jerusalem. But the light began to dawn immediately after the fall.</w:t>
      </w:r>
      <w:r>
        <w:rPr>
          <w:rStyle w:val="FootnoteReference"/>
        </w:rPr>
        <w:footnoteReference w:id="283"/>
      </w:r>
      <w:r>
        <w:t xml:space="preserve"> And thus Christ immediately on the fall of man entered on that office and began that work to which all the great dispensations that were to be afterwards towards his church to the end of the world do belong.</w:t>
      </w:r>
    </w:p>
    <w:p>
      <w:pPr>
        <w:pStyle w:val="BodyText"/>
      </w:pPr>
      <w:r>
        <w:rPr>
          <w:rStyle w:val="FootnoteReference"/>
        </w:rPr>
        <w:footnoteReference w:id="284"/>
      </w:r>
      <w:r>
        <w:t xml:space="preserve">2.</w:t>
      </w:r>
      <w:r>
        <w:rPr>
          <w:rStyle w:val="FootnoteReference"/>
        </w:rPr>
        <w:footnoteReference w:id="285"/>
      </w:r>
      <w:r>
        <w:t xml:space="preserve"> Presently upon this the gospel was first revealed on earth in these words, Genesis 3:15, "And I will put enmity between thee and the woman, [and between thy seed and her seed; it shall bruise thy head]."</w:t>
      </w:r>
      <w:r>
        <w:rPr>
          <w:rStyle w:val="FootnoteReference"/>
        </w:rPr>
        <w:footnoteReference w:id="286"/>
      </w:r>
      <w:r>
        <w:t xml:space="preserve"> We must suppose that God's intention of redeeming fallen [man] was first signified in heaven before it was signified on earth because the business of the angels as the ministering spirits of the mediator required it; for as soon as ever Christ had taken on him the work of a mediator, it was requisite that the angels should be ready immediately to be subservient to him or his office. So that the light first dawned in heaven, but very soon after the same was signified on earth. In those words of God there was an intimation of another surety to be appointed for man</w:t>
      </w:r>
      <w:r>
        <w:rPr>
          <w:rStyle w:val="FootnoteReference"/>
        </w:rPr>
        <w:footnoteReference w:id="287"/>
      </w:r>
      <w:r>
        <w:t xml:space="preserve"> after the first surety had</w:t>
      </w:r>
    </w:p>
    <w:p>
      <w:pPr>
        <w:pStyle w:val="SourcePage"/>
      </w:pPr>
      <w:r>
        <w:t xml:space="preserve">[p. 133]</w:t>
      </w:r>
    </w:p>
    <w:p>
      <w:pPr>
        <w:pStyle w:val="BodyText"/>
      </w:pPr>
      <w:r>
        <w:t xml:space="preserve">failed. This was the first revelation of the covenant of grace; this was the first dawning of the light of the gospel on earth.</w:t>
      </w:r>
    </w:p>
    <w:p>
      <w:pPr>
        <w:pStyle w:val="BodyText"/>
      </w:pPr>
      <w:r>
        <w:t xml:space="preserve">This lower world before the fall enjoyed noonday light, the light of knowledge of God, the light of his glory and the light of his favor. But when man fell all this light was at once extinguished and the world reduced back again to total darkness, a worse darkness than that which was in the beginning of the world that we read of in the Genesis 1:2, "And the earth was without form and void [and darkness was upon the face of the deep]." This was a darkness a thousandfold worse or remediless as that neither man nor angels could find out any way whereby this darkness might be scattered. This darkness appeared in its blackness, then, when Adam and his wife first saw that they were naked and sewed fig leaves, and when they heard the voice of the Lord God walking in the midst [of the garden]</w:t>
      </w:r>
      <w:r>
        <w:rPr>
          <w:rStyle w:val="FootnoteReference"/>
        </w:rPr>
        <w:footnoteReference w:id="288"/>
      </w:r>
      <w:r>
        <w:t xml:space="preserve"> and hid themselves among the trees of the garden. And then when God first called them to an account and said to Adam, "What is this that thou hast done, hast thou [eaten of the tree]?"</w:t>
      </w:r>
      <w:r>
        <w:rPr>
          <w:rStyle w:val="FootnoteReference"/>
        </w:rPr>
        <w:footnoteReference w:id="289"/>
      </w:r>
      <w:r>
        <w:t xml:space="preserve">—then we may suppose that their hearts were filled with shame and terror. But these words of God in the Genesis 3:15 were the first dawning of the light of the gospel after this darkness. Now first appeared some glimmering of light after this dismal darkness</w:t>
      </w:r>
      <w:r>
        <w:rPr>
          <w:rStyle w:val="FootnoteReference"/>
        </w:rPr>
        <w:footnoteReference w:id="290"/>
      </w:r>
      <w:r>
        <w:t xml:space="preserve"> which before this was without any glimpse of light, any beam of comfort, or any the least hope.</w:t>
      </w:r>
    </w:p>
    <w:p>
      <w:pPr>
        <w:pStyle w:val="BodyText"/>
      </w:pPr>
      <w:r>
        <w:t xml:space="preserve">It was an obscure revelation of the gospel and was not made to Adam or Eve directly but it was in what God said to the serpent. But yet it was very comprehensive as might easily be shown would that it not take up too much time. Here was a certain intimation of a merciful design by the seed of the woman which was like the first glimmerings of the light of the sun in the east, but the day first dawns. This intimation of mercy was given even before sentence was pronounced either on Adam or Eve from tenderness to them whom God designed mercy to, lest they should be overborne with a sentence of condemnation</w:t>
      </w:r>
      <w:r>
        <w:rPr>
          <w:rStyle w:val="FootnoteReference"/>
        </w:rPr>
        <w:footnoteReference w:id="291"/>
      </w:r>
      <w:r>
        <w:t xml:space="preserve"> without having anything held forth whence they could gather any hope.</w:t>
      </w:r>
    </w:p>
    <w:p>
      <w:pPr>
        <w:pStyle w:val="SourcePage"/>
      </w:pPr>
      <w:r>
        <w:t xml:space="preserve">[p. 134]</w:t>
      </w:r>
    </w:p>
    <w:p>
      <w:pPr>
        <w:pStyle w:val="BodyText"/>
      </w:pPr>
      <w:r>
        <w:t xml:space="preserve">One of those great things that were designed to be done in the Work of Redemption is more plainly signified here than the rest, viz. God's design of subduing his enemies under the feet of his Son. This was threatened now and God's design of this was now first declared, which was the</w:t>
      </w:r>
      <w:r>
        <w:rPr>
          <w:rStyle w:val="FootnoteReference"/>
        </w:rPr>
        <w:footnoteReference w:id="292"/>
      </w:r>
      <w:r>
        <w:t xml:space="preserve"> work Christ had now undertaken and that he soon began and carried on thenceforward and will perfectly accomplish at the end of the world.</w:t>
      </w:r>
      <w:r>
        <w:rPr>
          <w:rStyle w:val="FootnoteReference"/>
        </w:rPr>
        <w:footnoteReference w:id="293"/>
      </w:r>
      <w:r>
        <w:t xml:space="preserve"> This revelation of the gospel in this verse was the first thing that Christ did in the Work of Redemption in his prophetical office. You may remember that it was said in the first of those three propositions that have been mentioned, that from the fall of man till the incarnation of Christ God was doing those things that were preparatory to Christ's coming and working out redemption and were forerunners and earnests. And one of those things that God did in this time to prepare the way for it, [Christ's coming]</w:t>
      </w:r>
      <w:r>
        <w:rPr>
          <w:rStyle w:val="FootnoteReference"/>
        </w:rPr>
        <w:footnoteReference w:id="294"/>
      </w:r>
      <w:r>
        <w:t xml:space="preserve"> into the world, was to foretell it and prepare for it, as he did from time to time from age to age till Christ came. This was the first promise that ever was given of it, the first prediction that ever was made of it on earth.</w:t>
      </w:r>
    </w:p>
    <w:p>
      <w:pPr>
        <w:pStyle w:val="BodyText"/>
      </w:pPr>
      <w:r>
        <w:t xml:space="preserve">3.</w:t>
      </w:r>
      <w:r>
        <w:rPr>
          <w:rStyle w:val="FootnoteReference"/>
        </w:rPr>
        <w:footnoteReference w:id="295"/>
      </w:r>
      <w:r>
        <w:t xml:space="preserve"> Soon after this the custom of sacrificing was appointed to be a standing type of the sacrifice of Christ till he should come and offer up himself a sacrifice to God. Sacrificing was not a custom first established by the Levitical law of Moses, for it had been a part of God's instituted worship long before, from the beginning of God's visible church on earth. We read of</w:t>
      </w:r>
      <w:r>
        <w:rPr>
          <w:rStyle w:val="FootnoteReference"/>
        </w:rPr>
        <w:footnoteReference w:id="296"/>
      </w:r>
      <w:r>
        <w:t xml:space="preserve"> the patriarchs Abraham, Isaac and Jacob offering sacrifice, and before them Noah and Abel.</w:t>
      </w:r>
      <w:r>
        <w:rPr>
          <w:rStyle w:val="FootnoteReference"/>
        </w:rPr>
        <w:footnoteReference w:id="297"/>
      </w:r>
      <w:r>
        <w:t xml:space="preserve"> And this was by divine appointment, for it was part of God's worship in his church that was offered up in faith and that he accepted, which proves that it was by institution. For sacrificing was no part of natural worship. The light of nature don't teach man to offer up beasts in sacrifice to God. And seeing it was not enjoined by the law of nature, if it was acceptable to God it must be by some positive command or</w:t>
      </w:r>
    </w:p>
    <w:p>
      <w:pPr>
        <w:pStyle w:val="SourcePage"/>
      </w:pPr>
      <w:r>
        <w:t xml:space="preserve">[p. 135]</w:t>
      </w:r>
    </w:p>
    <w:p>
      <w:pPr>
        <w:pStyle w:val="BodyText"/>
      </w:pPr>
      <w:r>
        <w:t xml:space="preserve">institution for man, for God has declared his abhorrence of such worship as is taught by the precept of men without his institution, Isaiah 29:13.</w:t>
      </w:r>
      <w:r>
        <w:rPr>
          <w:rStyle w:val="FootnoteReference"/>
        </w:rPr>
        <w:footnoteReference w:id="298"/>
      </w:r>
    </w:p>
    <w:p>
      <w:pPr>
        <w:pStyle w:val="BodyText"/>
      </w:pPr>
      <w:r>
        <w:t xml:space="preserve">Therefore towards sacrifice as topic:</w:t>
      </w:r>
      <w:r>
        <w:rPr>
          <w:rStyle w:val="FootnoteReference"/>
        </w:rPr>
        <w:footnoteReference w:id="299"/>
      </w:r>
      <w:r>
        <w:t xml:space="preserve"> and such worship as han't a warrant from divine institution can't be offered up in faith because faith has no foundation where there is no divine appointment. It can't be offered up in faith of God's acceptance, for men have no warrant to hope for God's acceptance in that which is devoid of his appointment, and so that which [he] has not promised his acceptance of. And therefore it follows that the custom of offering</w:t>
      </w:r>
      <w:r>
        <w:rPr>
          <w:rStyle w:val="FootnoteReference"/>
        </w:rPr>
        <w:footnoteReference w:id="300"/>
      </w:r>
      <w:r>
        <w:t xml:space="preserve"> sacrifices to God was instituted soon after the fall, for the Scripture teaches us that Abel offered the firstlings—on faith, Hebrews 11:4, and that he was accepted in this offering, Genesis 4:4. But there is nothing in the story that looks as though the institution was first given then when Abel offered up the sacrifice to God, but rather as though Abel only therein complied with a custom already established. And 'tis very probable that it was instituted immediately after God had revealed the covenant of grace in Genesis 3:15, which covenant and promise was the foundation on which the custom of sacrificing was built. That promise was the first stone that was laid towards this glorious building the Work of Redemption which will be finished ‹at the end of the world›. And the next stone which was laid upon this was the institution of sacrifices to be a type of the great sacrifice.</w:t>
      </w:r>
    </w:p>
    <w:p>
      <w:pPr>
        <w:pStyle w:val="BodyText"/>
      </w:pPr>
      <w:r>
        <w:t xml:space="preserve">The next thing that we have an account of after God had pronounced sentence on the serpent, on the woman and on the man, was that God made them coats of skins and clothed them; which by the generality of divines is thought to be skins of beasts slain in sacrifice.</w:t>
      </w:r>
      <w:r>
        <w:rPr>
          <w:rStyle w:val="FootnoteReference"/>
        </w:rPr>
        <w:footnoteReference w:id="301"/>
      </w:r>
      <w:r>
        <w:t xml:space="preserve"> For we have no account of anything else that should be an occasion for man's slaying beasts but only to offer 'em in sacrifice till after the flood. Men were not wont to eat the flesh of beasts as their common food till after the flood. The first food of man in paradise before the fall was the fruit of the trees of paradise, and when he</w:t>
      </w:r>
    </w:p>
    <w:p>
      <w:pPr>
        <w:pStyle w:val="SourcePage"/>
      </w:pPr>
      <w:r>
        <w:t xml:space="preserve">[p. 136]</w:t>
      </w:r>
    </w:p>
    <w:p>
      <w:pPr>
        <w:pStyle w:val="BodyText"/>
      </w:pPr>
      <w:r>
        <w:t xml:space="preserve">was turned out of paradise after the fall, then his food was the herb of the field, Genesis 3:18. The first grant that he had to eat flesh as his common food was after the flood.</w:t>
      </w:r>
      <w:r>
        <w:rPr>
          <w:rStyle w:val="FootnoteReference"/>
        </w:rPr>
        <w:footnoteReference w:id="302"/>
      </w:r>
      <w:r>
        <w:t xml:space="preserve"> So that 'tis very likely that these skins that Adam and Eve were clothed [in] were skins of their sacrifices. God's clothing man with these was a lively figure of their being clothed with the righteousness of Christ.</w:t>
      </w:r>
    </w:p>
    <w:p>
      <w:pPr>
        <w:pStyle w:val="BodyText"/>
      </w:pPr>
      <w:r>
        <w:t xml:space="preserve">This clothing was no clothing of their own obtaining but it was God that give it them. 'Tis said that God made them coats, as the righteousness our naked bodies are clothed with is not our own righteousness but the righteousness which is of God, 'tis he only clothes the naked soul. Our first parents who were naked were clothed at the expense of life. Beasts were slain and</w:t>
      </w:r>
      <w:r>
        <w:rPr>
          <w:rStyle w:val="FootnoteReference"/>
        </w:rPr>
        <w:footnoteReference w:id="303"/>
      </w:r>
      <w:r>
        <w:t xml:space="preserve"> resigned up their lives, a sacrifice to God to afford clothing for him to cover their nakedness. So doth Christ, to afford clothing for our naked souls; the skin signifies the life, so Job 2:4; "Skin for skin,"</w:t>
      </w:r>
      <w:r>
        <w:rPr>
          <w:rStyle w:val="FootnoteReference"/>
        </w:rPr>
        <w:footnoteReference w:id="304"/>
      </w:r>
      <w:r>
        <w:t xml:space="preserve"> i.e. life for life. Thus our first parents were covered with skins of the sacrifice, as the tabernacle in the wilderness, which signified the church, was when it was covered with ram's skins dyed red as though they were dipped in blood, to signify that Christ's righteousness was wrought out through the pains of death under which he shed his precious blood, Exodus 25:5.</w:t>
      </w:r>
    </w:p>
    <w:p>
      <w:pPr>
        <w:pStyle w:val="BodyText"/>
      </w:pPr>
      <w:r>
        <w:t xml:space="preserve">We observed before that the light that the church enjoyed from the fall of man till Christ came was like the light which we enjoy in the night, not the light of the sun directly but as reflected from the moon and stars, which light did foreshadow Christ to come, the sun of righteousness hereafter to arise. This light of the sun of righteousness to come they had chiefly two ways. One was by predictions of Christ to come whereby his coming was</w:t>
      </w:r>
      <w:r>
        <w:rPr>
          <w:rStyle w:val="FootnoteReference"/>
        </w:rPr>
        <w:footnoteReference w:id="305"/>
      </w:r>
      <w:r>
        <w:t xml:space="preserve"> foretold and promised, and another was by types and shadows of Christ whereby his coming and redemption were prefigured. The first thing that was done to prepare the way for Christ in the former of these ways was in that promise that was just taken notice [of] in the foregoing particular, and the first thing of the latter sort, viz. of types to foreshow Christ's coming, was that institution of sacrifice that we are now upon. As that promise [in the] Genesis 3 was the first dawn of gospel light</w:t>
      </w:r>
    </w:p>
    <w:p>
      <w:pPr>
        <w:pStyle w:val="SourcePage"/>
      </w:pPr>
      <w:r>
        <w:t xml:space="preserve">[p. 137]</w:t>
      </w:r>
    </w:p>
    <w:p>
      <w:pPr>
        <w:pStyle w:val="BodyText"/>
      </w:pPr>
      <w:r>
        <w:t xml:space="preserve">after the fall in prophecy, so the institution of sacrifice was the first hint of it in types. The giving of that promise was the first thing that was done after the fall in this work in Christ's prophetical office. The institution of sacrifice was the first thing that we read of after the fall by which [Christ] especially exhibited himself in his visible church in his priestly office.</w:t>
      </w:r>
    </w:p>
    <w:p>
      <w:pPr>
        <w:pStyle w:val="BodyText"/>
      </w:pPr>
      <w:r>
        <w:t xml:space="preserve">This institution of sacrifice was a great thing done towards preparing the way for Christ's coming and working out redemption. For the sacrifice of the Old Testament was the main of all the Old Testament types of Christ and his redemption, and it tended to establish in the minds of God's visible church the necessity of a propitiatory sacrifice in order to the deity's being atoned for sin. And so prepared the way for</w:t>
      </w:r>
      <w:r>
        <w:rPr>
          <w:rStyle w:val="FootnoteReference"/>
        </w:rPr>
        <w:footnoteReference w:id="306"/>
      </w:r>
      <w:r>
        <w:t xml:space="preserve"> the reception of the glorious gospel that reveals the great sacrifice in the visible church, and not only so but throughout the world of mankind, for from this institution of sacrifice that was after the fall all nations derived the custom of sacrificing. For this custom of offering up sacrifices to the gods to atone for sin was common to all nations. No nation, however barbarous, was found without it anywhere, which is a great evidence of the truth of the Christian religion. For no nation, but only the Jews, could tell how they came by this custom or to what purpose it was to offer sacrifices up to their deities. The light of nature did not teach 'em any such thing; that did not teach 'em that the gods were hungry and fed upon the flesh which they burned in sacrifice. And yet they all had this custom of which no other account can be given but that they derived it from Noah who had it from his ancestors to whom God had enjoined it as a type of the great sacrifice of Christ. However by that means the nations of the world had their minds possessed with this notion that an atonement or sacrifice for sin was necessary. And so [the] way [was prepared] for men's minds, for their more</w:t>
      </w:r>
      <w:r>
        <w:rPr>
          <w:rStyle w:val="FootnoteReference"/>
        </w:rPr>
        <w:footnoteReference w:id="307"/>
      </w:r>
      <w:r>
        <w:t xml:space="preserve"> readily receiving the great doctrine of the gospel of Christ which teaches us the atonement and sacrifice of Christ.</w:t>
      </w:r>
    </w:p>
    <w:p>
      <w:pPr>
        <w:pStyle w:val="BodyText"/>
      </w:pPr>
      <w:r>
        <w:t xml:space="preserve">4.</w:t>
      </w:r>
      <w:r>
        <w:rPr>
          <w:rStyle w:val="FootnoteReference"/>
        </w:rPr>
        <w:footnoteReference w:id="308"/>
      </w:r>
      <w:r>
        <w:t xml:space="preserve"> God did soon after the fall begin actually to save the souls of men through Christ's redemption. In this Christ who had newly taken upon [himself] the work of mediator between God and man did first then begin that work wherein he appeared in the exercise of his kingly office, as in the sacrifices he was represented in his priestly</w:t>
      </w:r>
    </w:p>
    <w:p>
      <w:pPr>
        <w:pStyle w:val="SourcePage"/>
      </w:pPr>
      <w:r>
        <w:t xml:space="preserve">[p. 138]</w:t>
      </w:r>
    </w:p>
    <w:p>
      <w:pPr>
        <w:pStyle w:val="BodyText"/>
      </w:pPr>
      <w:r>
        <w:t xml:space="preserve">office, and in the first prediction of redemption by Christ he had appeared in the exercise of his prophetical office. In that prediction the light of Christ's redemption first began to dawn in the prophecies of it; in the institution of sacrifice it first began to dawn in the types of it; in this, viz. his beginning actually to save men, it first began to dawn in the fruit of it.</w:t>
      </w:r>
    </w:p>
    <w:p>
      <w:pPr>
        <w:pStyle w:val="BodyText"/>
      </w:pPr>
      <w:r>
        <w:t xml:space="preserve">'Tis probable that Adam and Eve therefore were the first fruits of Christ's redemption. 'Tis probable by God's manner of treating [them], his comforting them as he did after their awakenings and terrors. They were awakened and ashamed with a sense of their guilt after their fall when their eyes were</w:t>
      </w:r>
      <w:r>
        <w:rPr>
          <w:rStyle w:val="FootnoteReference"/>
        </w:rPr>
        <w:footnoteReference w:id="309"/>
      </w:r>
      <w:r>
        <w:t xml:space="preserve"> opened and they saw that they were naked and sewed fig leaves to cover their nakedness. A sinner under first awakening is wont to endeavor to hide the nakedness of his soul by patching up a righteousness of his own. Then they were further terrified and awakened by hearing the terrible voice of God as he was coming to condemn them; their coverings of fig leaves don't do, but not withstanding them they tried to hide themselves among the trees of the garden because they were naked, not daring to trust to their fig leaves to hide that nakedness from God. Then they were further awakened by God's calling of them to a strict account. But while their terrors were raised to such a height and they stood as we may suppose trembling and astonished before their judge, without anything to catch hold of whence they could gather any hope, then God took care to hold forth some encouragement to 'em to keep 'em from the dreadful effects of despair under their awakenings by giving an hint of a design of mercy by a savior even before he pronounced sentence against them.</w:t>
      </w:r>
    </w:p>
    <w:p>
      <w:pPr>
        <w:pStyle w:val="BodyText"/>
      </w:pPr>
      <w:r>
        <w:t xml:space="preserve">And when after this he proceeded to pronounce sentence, whereby we may suppose their terror further raised, God soon after took care to encourage 'em and to let 'em see that he had not wholly cast 'em off, by taking a fatherly care of 'em in their fallen, naked and miserable state, by making them coats</w:t>
      </w:r>
      <w:r>
        <w:rPr>
          <w:rStyle w:val="FootnoteReference"/>
        </w:rPr>
        <w:footnoteReference w:id="310"/>
      </w:r>
      <w:r>
        <w:t xml:space="preserve"> of skins and clothing them which also manifested an acceptance of those sacrifices that they offered to God for sin, that these were the skins after which were types of what God had promised when he said, the seed of the woman "shall… [bruise thy head]," which promise there is reason to think they believed and embraced. Eve seems plainly to express her hope in and</w:t>
      </w:r>
    </w:p>
    <w:p>
      <w:pPr>
        <w:pStyle w:val="SourcePage"/>
      </w:pPr>
      <w:r>
        <w:t xml:space="preserve">[p. 139]</w:t>
      </w:r>
    </w:p>
    <w:p>
      <w:pPr>
        <w:pStyle w:val="BodyText"/>
      </w:pPr>
      <w:r>
        <w:t xml:space="preserve">dependence on that promise in what she says in the birth of Cain, Genesis 4:1 ["I have gotten a man from the Lord"], i.e. as God has promised my seed should [bruise the serpent's head], so now has God given me this pledge and token of it that I have a seed born. She plainly owns that this her child is from God and hoped that her promised seed was to be of this her eldest son, though she was mistaken as Abraham was … Jacob … Samuel.</w:t>
      </w:r>
      <w:r>
        <w:rPr>
          <w:rStyle w:val="FootnoteReference"/>
        </w:rPr>
        <w:footnoteReference w:id="311"/>
      </w:r>
      <w:r>
        <w:t xml:space="preserve"> And especially does what she says on the birth of Seth, Genesis 4:25.</w:t>
      </w:r>
      <w:r>
        <w:rPr>
          <w:rStyle w:val="FootnoteReference"/>
        </w:rPr>
        <w:footnoteReference w:id="312"/>
      </w:r>
    </w:p>
    <w:p>
      <w:pPr>
        <w:pStyle w:val="BodyText"/>
      </w:pPr>
      <w:r>
        <w:t xml:space="preserve">Thus 'tis exceeding probable if not evident that as Christ took on him the work of a mediator as soon ‹as man fell›, 'tis probable that God clothed our first parents with Christ's righteousness, indeed about the time when he clothed [them] with the coats of skins. So that he now immediately began his Work of Redemption in its effect. And that he immediately banished his great enemy, the devil whom he had undertaken to conquer, and rescued those two first captives of his out of faith, thereby buffeting him soon after his triumph for the victory he had obtained over them whereby he had made 'em his captives.</w:t>
      </w:r>
    </w:p>
    <w:p>
      <w:pPr>
        <w:pStyle w:val="BodyText"/>
      </w:pPr>
      <w:r>
        <w:t xml:space="preserve">And</w:t>
      </w:r>
      <w:r>
        <w:rPr>
          <w:rStyle w:val="FootnoteReference"/>
        </w:rPr>
        <w:footnoteReference w:id="313"/>
      </w:r>
      <w:r>
        <w:t xml:space="preserve"> though he was sure of them and all their posterity, Christ the Redeemer soon showed him that he was mistaken and that he was able to subdue him and deliver fallen man; he let him see it in</w:t>
      </w:r>
      <w:r>
        <w:rPr>
          <w:rStyle w:val="FootnoteReference"/>
        </w:rPr>
        <w:footnoteReference w:id="314"/>
      </w:r>
      <w:r>
        <w:t xml:space="preserve"> delivering those first captives of him, and so soon gave him an instance of the fulfillment of that which he had said when he said "the seed of [the woman shall bruise thy head]." And in this instance [Christ] gives a presage of the fulfillment of that which was one great thing he had undertaken among his subduing all enemies under his feet.</w:t>
      </w:r>
    </w:p>
    <w:p>
      <w:pPr>
        <w:pStyle w:val="BodyText"/>
      </w:pPr>
      <w:r>
        <w:t xml:space="preserve">After this we have another instance of redemption in one of their children, viz. in righteous Abel, as the Scripture calls him whose soul perhaps was the first that went to heaven through Christ's redemption. In him we have at least the first instance of the death of a redeemed person we have in Scripture.</w:t>
      </w:r>
      <w:r>
        <w:rPr>
          <w:rStyle w:val="FootnoteReference"/>
        </w:rPr>
        <w:footnoteReference w:id="315"/>
      </w:r>
      <w:r>
        <w:t xml:space="preserve"> If he was the first, then as the redemption of Christ began to dawn before in the souls of men</w:t>
      </w:r>
    </w:p>
    <w:p>
      <w:pPr>
        <w:pStyle w:val="SourcePage"/>
      </w:pPr>
      <w:r>
        <w:t xml:space="preserve">[p. 140]</w:t>
      </w:r>
    </w:p>
    <w:p>
      <w:pPr>
        <w:pStyle w:val="BodyText"/>
      </w:pPr>
      <w:r>
        <w:t xml:space="preserve">in their conversion and justification, in him it first began to dawn in glorification. And in him the angels began first to do the part of ministering spirits to Christ in going forth to conduct the souls of the redeemed to</w:t>
      </w:r>
      <w:r>
        <w:rPr>
          <w:rStyle w:val="FootnoteReference"/>
        </w:rPr>
        <w:footnoteReference w:id="316"/>
      </w:r>
      <w:r>
        <w:t xml:space="preserve"> glory. And in Christ the elect angels in heaven had first opportunity to see so wonderful a sight as the soul of one of the fallen race of mankind that had been sunk by the fall into such abyss of sin and misery actually brought to heaven in the enjoyment of heavenly glory which was a much greater thing than if they had seen him returned to an earthly paradise. Thus they by this saw the glorious effect of Christ's redemption in the great honor and happiness that was procured to sinful, miserable creatures by it.</w:t>
      </w:r>
    </w:p>
    <w:p>
      <w:pPr>
        <w:pStyle w:val="SourcePage"/>
      </w:pPr>
      <w:r>
        <w:t xml:space="preserve">[p. 141]</w:t>
      </w:r>
    </w:p>
    <w:p>
      <w:pPr>
        <w:pStyle w:val="Heading2"/>
      </w:pPr>
      <w:bookmarkStart w:name="heading_sermon_three" w:id="36"/>
      <w:r>
        <w:t xml:space="preserve">SERMON THREE</w:t>
      </w:r>
      <w:bookmarkEnd w:id="36"/>
    </w:p>
    <w:p>
      <w:pPr>
        <w:pStyle w:val="BodyText"/>
      </w:pPr>
      <w:r>
        <w:rPr>
          <w:rStyle w:val="FootnoteReference"/>
        </w:rPr>
        <w:footnoteReference w:id="317"/>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r>
        <w:rPr>
          <w:rStyle w:val="FootnoteReference"/>
        </w:rPr>
        <w:footnoteReference w:id="318"/>
      </w:r>
    </w:p>
    <w:p>
      <w:pPr>
        <w:pStyle w:val="BodyText"/>
      </w:pPr>
      <w:r>
        <w:t xml:space="preserve">Isaiah 51:85.</w:t>
      </w:r>
      <w:r>
        <w:rPr>
          <w:rStyle w:val="FootnoteReference"/>
        </w:rPr>
        <w:footnoteReference w:id="319"/>
      </w:r>
      <w:r>
        <w:t xml:space="preserve"> The next remarkable thing that God did in further carrying on this great affair of redemption begun upon the fall of man that I shall take notice of, was the first remarkable pouring out of the Spirit through Christ that ever was, which there was in the days of Enos. This seems to have been the next remarkable thing that was done towards erecting this glorious building that God had begun, and laid the foundation of, in Christ the mediator. We read in the Genesis 4:26 ["then began men to call upon the name of the Lord"]. The meaning of these</w:t>
      </w:r>
      <w:r>
        <w:rPr>
          <w:rStyle w:val="FootnoteReference"/>
        </w:rPr>
        <w:footnoteReference w:id="320"/>
      </w:r>
      <w:r>
        <w:t xml:space="preserve"> words have been considerably controverted among divines, for we can't suppose that the meaning is that time was the first that ever man performed the duty of prayer. Prayer is a duty of natural religion, and a duty that a spirit of piety does most naturally and manifestly lead men [into]. Prayer is as it were the very breath of a spirit of piety, and we can't suppose therefore that those holy men that had been before for about two hundred years had lived all that while without any prayer. Therefore some divines think that the meaning is that then men first began to perform public worship or to call upon the name of God in public assemblies. Whether it be to be [so] understood or no, yet so</w:t>
      </w:r>
    </w:p>
    <w:p>
      <w:pPr>
        <w:pStyle w:val="SourcePage"/>
      </w:pPr>
      <w:r>
        <w:t xml:space="preserve">[p. 142]</w:t>
      </w:r>
    </w:p>
    <w:p>
      <w:pPr>
        <w:pStyle w:val="BodyText"/>
      </w:pPr>
      <w:r>
        <w:t xml:space="preserve">much must necessarily be understood in it, viz. that there was something new in the visible church of God with respect to the duty of prayer, or calling on the name of the [Lord], that there was a great addition to the performance of this duty, and that in some respect or other it was carried far beyond whatever it had been before, which must be the consequence of a remarkable</w:t>
      </w:r>
      <w:r>
        <w:rPr>
          <w:rStyle w:val="FootnoteReference"/>
        </w:rPr>
        <w:footnoteReference w:id="321"/>
      </w:r>
      <w:r>
        <w:t xml:space="preserve"> pouring out of the Spirit of God.</w:t>
      </w:r>
    </w:p>
    <w:p>
      <w:pPr>
        <w:pStyle w:val="BodyText"/>
      </w:pPr>
      <w:r>
        <w:t xml:space="preserve">If it was now first that men were stirred to get together in assemblies to help and assist one another in seeking God so as they never had done before, it argues something extraordinary as the cause, and could be from nothing but uncommon influences of God's Spirit.</w:t>
      </w:r>
      <w:r>
        <w:rPr>
          <w:rStyle w:val="FootnoteReference"/>
        </w:rPr>
        <w:footnoteReference w:id="322"/>
      </w:r>
      <w:r>
        <w:t xml:space="preserve"> We see by experience that a remarkable pouring out of the Spirit of God is always attended with such an effect, viz. a great increase of the performance of the duty of prayer. When the Spirit of God begins or works on men's hearts, it immediately sets them to calling on the ‹name of the Lord›; as it was with Paul after the Spirit of God had laid hold of him, then the next news is behold he prayeth.</w:t>
      </w:r>
      <w:r>
        <w:rPr>
          <w:rStyle w:val="FootnoteReference"/>
        </w:rPr>
        <w:footnoteReference w:id="323"/>
      </w:r>
      <w:r>
        <w:t xml:space="preserve"> So it has been in all remarkable pourings out of the Spirit of God that we have any particular account of in Scripture, and so it is foretold it will be at the great pouring out of the Spirit of God in the latter days. It is foretold that it will be poured out as a "spirit of grace and supplication";</w:t>
      </w:r>
      <w:r>
        <w:rPr>
          <w:rStyle w:val="FootnoteReference"/>
        </w:rPr>
        <w:footnoteReference w:id="324"/>
      </w:r>
      <w:r>
        <w:t xml:space="preserve"> Zephaniah 3:9 ["For then will I turn to the people a pure language, that they may all call upon the name of the Lord."]</w:t>
      </w:r>
      <w:r>
        <w:rPr>
          <w:rStyle w:val="FootnoteReference"/>
        </w:rPr>
        <w:footnoteReference w:id="325"/>
      </w:r>
      <w:r>
        <w:t xml:space="preserve"> And when it is said then </w:t>
      </w:r>
      <w:r>
        <w:rPr>
          <w:i/>
          <w:iCs/>
        </w:rPr>
        <w:t xml:space="preserve">began</w:t>
      </w:r>
      <w:r>
        <w:rPr>
          <w:rStyle w:val="FootnoteReference"/>
        </w:rPr>
        <w:footnoteReference w:id="326"/>
      </w:r>
      <w:r>
        <w:t xml:space="preserve"> men to call upon the name of the Lord, no more can be understood by it than that this was the first</w:t>
      </w:r>
      <w:r>
        <w:rPr>
          <w:rStyle w:val="FootnoteReference"/>
        </w:rPr>
        <w:footnoteReference w:id="327"/>
      </w:r>
      <w:r>
        <w:t xml:space="preserve"> remarkable season of this nature that ever was; it was the beginning or the first of such a kind of work of God. Such a pouring out of the Spirit of God, after such a manner, such an expression is commonly used in Scripture; so 1 Samuel 14:35, "And Saul built an altar unto the Lord: the same was the first altar which he built unto the Lord." In the Hebrew it is as you may see in the margin, "that altar he began to build unto the</w:t>
      </w:r>
    </w:p>
    <w:p>
      <w:pPr>
        <w:pStyle w:val="SourcePage"/>
      </w:pPr>
      <w:r>
        <w:t xml:space="preserve">[p. 143]</w:t>
      </w:r>
    </w:p>
    <w:p>
      <w:pPr>
        <w:pStyle w:val="BodyText"/>
      </w:pPr>
      <w:r>
        <w:t xml:space="preserve">Lord,"</w:t>
      </w:r>
      <w:r>
        <w:rPr>
          <w:rStyle w:val="FootnoteReference"/>
        </w:rPr>
        <w:footnoteReference w:id="328"/>
      </w:r>
      <w:r>
        <w:t xml:space="preserve"> Hebrews 2:3 "How shall we escape [if we so neglect so great salvation;] which [at first] began to be spoken [by the Lord]."</w:t>
      </w:r>
    </w:p>
    <w:p>
      <w:pPr>
        <w:pStyle w:val="BodyText"/>
      </w:pPr>
      <w:r>
        <w:t xml:space="preserve">It may here be observed that from the fall of man to this day wherein we live the Work of Redemption in its effect has mainly been carried on by remarkable pourings out of the Spirit of God. Thought there be a more constant influence of God's Spirit always in some degree attending his ordinances, yet the way in which the greatest things have been done towards carrying on this work always has been by remarkable pourings out of the Spirit at special seasons of mercy, as may fully appear hereafter in our further prosecution of the subject we are upon. And this pouring out of the Spirit in the days</w:t>
      </w:r>
      <w:r>
        <w:rPr>
          <w:rStyle w:val="FootnoteReference"/>
        </w:rPr>
        <w:footnoteReference w:id="329"/>
      </w:r>
      <w:r>
        <w:t xml:space="preserve"> of Enos was the first remarkable pouring out of the Spirit of God that ever was. There had [been] a saving work of God in the hearts of some before, but now God was pleased to grant a more large effusion of his Spirit for the bringing in an harvest of souls to Christ.</w:t>
      </w:r>
      <w:r>
        <w:rPr>
          <w:rStyle w:val="FootnoteReference"/>
        </w:rPr>
        <w:footnoteReference w:id="330"/>
      </w:r>
      <w:r>
        <w:t xml:space="preserve"> So that in this we see that great building that is the subject of our present discourse, which God laid the foundation of immediately after the fall, carried on further, and built up higher than ever it had been before.</w:t>
      </w:r>
    </w:p>
    <w:p>
      <w:pPr>
        <w:pStyle w:val="BodyText"/>
      </w:pPr>
      <w:r>
        <w:t xml:space="preserve">6.</w:t>
      </w:r>
      <w:r>
        <w:rPr>
          <w:rStyle w:val="FootnoteReference"/>
        </w:rPr>
        <w:footnoteReference w:id="331"/>
      </w:r>
      <w:r>
        <w:t xml:space="preserve"> The next thing I shall take notice of was the eminently holy life of Enoch who we have reason to think was a saint of greater eminency than any ever had been before him.</w:t>
      </w:r>
      <w:r>
        <w:rPr>
          <w:rStyle w:val="FootnoteReference"/>
        </w:rPr>
        <w:footnoteReference w:id="332"/>
      </w:r>
      <w:r>
        <w:t xml:space="preserve"> So that in this respect the Work of Redemption was carried on to a greater height than ever</w:t>
      </w:r>
      <w:r>
        <w:rPr>
          <w:rStyle w:val="FootnoteReference"/>
        </w:rPr>
        <w:footnoteReference w:id="333"/>
      </w:r>
      <w:r>
        <w:t xml:space="preserve"> it had been before. With respect to its effect in the visible church in general, we observed just now how it was carried higher in the days of Enos than ever it had been before. Probably Enoch was one of the saints of that harvest, for he lived all the days that he did live on earth in the days of Enos. And with respect to the degree to which this work was carried on [in] the soul of a particular person, it was raised to a greater height in Enoch than ever before. His soul as it was built on Christ was built up in holiness to a greater height than there had</w:t>
      </w:r>
    </w:p>
    <w:p>
      <w:pPr>
        <w:pStyle w:val="SourcePage"/>
      </w:pPr>
      <w:r>
        <w:t xml:space="preserve">[p. 144]</w:t>
      </w:r>
    </w:p>
    <w:p>
      <w:pPr>
        <w:pStyle w:val="BodyText"/>
      </w:pPr>
      <w:r>
        <w:t xml:space="preserve">been any instance of before. He was a wonderful instance of Christ's redemption and the efficacy of his grace.</w:t>
      </w:r>
    </w:p>
    <w:p>
      <w:pPr>
        <w:pStyle w:val="BodyText"/>
      </w:pPr>
      <w:r>
        <w:t xml:space="preserve">7.</w:t>
      </w:r>
      <w:r>
        <w:rPr>
          <w:rStyle w:val="FootnoteReference"/>
        </w:rPr>
        <w:footnoteReference w:id="334"/>
      </w:r>
      <w:r>
        <w:t xml:space="preserve"> In Enoch's time God did more expressly reveal the coming of Christ than he had done before. In the prophecy of Enoch that we have an account of in the Jude 14–15 [we read, "And Enoch … prophesied …, saying, Behold the Lord cometh … to execute judgment"]. Here Enoch prophesies of the coming of Christ. It don't seem to be confined to any particular coming of Christ, but it has respect in general to Christ's coming in his kingdom and is fulfilled in a degree in both</w:t>
      </w:r>
      <w:r>
        <w:rPr>
          <w:rStyle w:val="FootnoteReference"/>
        </w:rPr>
        <w:footnoteReference w:id="335"/>
      </w:r>
      <w:r>
        <w:t xml:space="preserve"> the first and second coming of Christ, and indeed in every remarkable manifestation Christ has made of himself in the world for the saving of his people and the destroying of his enemies. It is very parallel in this respect with many other prophecies of the coming of Christ that were given of Christ under the Old Testament. And particularly it seems to be parallel with that great prophecy of Christ's coming in his kingdom that we have in the Daniel 7 whence the Jews principally took their notion of the kingdom of heaven: Daniel 7:9–10 ["I beheld … the Ancient of days … the judgment was set," and] Daniel 7:13–14 ["I saw … one like the Son of man came with the clouds of heaven … and there was given him dominion"]. And though it is not unlikely that Enoch might have a more immediate report in this prophecy to the approaching destruction of the old world by the flood, which was a remarkable resemblance of Christ's destruction of all his enemies at his coming, yet it doubtless looked beyond the type to the antitype. And as this prophecy of Christ's coming is more express than any had been before, so it is an instance of the increase of that gospel light that began to dawn presently after the fall of man, and is an instance of that building that is the subject of our present discourse, being yet further carried on and built up higher than had been before.</w:t>
      </w:r>
    </w:p>
    <w:p>
      <w:pPr>
        <w:pStyle w:val="BodyText"/>
      </w:pPr>
      <w:r>
        <w:t xml:space="preserve">And here by the way I would observe</w:t>
      </w:r>
      <w:r>
        <w:rPr>
          <w:rStyle w:val="FootnoteReference"/>
        </w:rPr>
        <w:footnoteReference w:id="336"/>
      </w:r>
      <w:r>
        <w:t xml:space="preserve"> that the increase of gospel light and the carrying on the Work of Redemption as it respects the elect church in general, from the first erecting of the church to the end of the world, is very much after the same manner as the carrying on of the same work and the same light in a particular soul from the time of its conversion till it is perfected and crowned in glory. The</w:t>
      </w:r>
    </w:p>
    <w:p>
      <w:pPr>
        <w:pStyle w:val="SourcePage"/>
      </w:pPr>
      <w:r>
        <w:t xml:space="preserve">[p. 145]</w:t>
      </w:r>
    </w:p>
    <w:p>
      <w:pPr>
        <w:pStyle w:val="BodyText"/>
      </w:pPr>
      <w:r>
        <w:t xml:space="preserve">work in a particular soul has its ups and downs. Sometimes the light shines brighter, and sometimes 'tis a dark time. Sometimes grace seems to prevail; at other times it seems to languish for a great while together and corruption prevails and then grace revives again. But in the general grace is growing from its first infusion till it is perfected in glory; the kingdom of Christ is building up in the soul. So it is with respect to the great affair in general as it relates to the universal subject of it, as 'tis carried on from the first beginning of it after the fall till it is perfected at the end of the world, as will more fully appear by a particular view of this affair from beginning to end in the prosecution of this subject, if God gives opportunity to carry it through as I propose.</w:t>
      </w:r>
    </w:p>
    <w:p>
      <w:pPr>
        <w:pStyle w:val="BodyText"/>
      </w:pPr>
      <w:r>
        <w:rPr>
          <w:rStyle w:val="FootnoteReference"/>
        </w:rPr>
        <w:footnoteReference w:id="337"/>
      </w:r>
      <w:r>
        <w:t xml:space="preserve">8.</w:t>
      </w:r>
      <w:r>
        <w:rPr>
          <w:rStyle w:val="FootnoteReference"/>
        </w:rPr>
        <w:footnoteReference w:id="338"/>
      </w:r>
      <w:r>
        <w:t xml:space="preserve"> The next remarkable thing towards carrying on this work that we have an account of in Scripture is the translation of Enoch into heaven. The account we have of it is in Genesis 5:24 ["And Enoch walked with God: and he was not; for God took him"]. Here Moses in giving an account of the genealogy of those that were of the line of Noah don't say, he lived so long and he died, as he does of the rest, but "he was not for God took him," i.e. he translated him in body and soul, carried him to heaven without dying, as 'tis explained in Hebrews 11:5, "By faith Enoch was translated that he should not see death." By this wonderful work of God the Work of Redemption was carried to a greater height in several respects than ever it had been before.</w:t>
      </w:r>
    </w:p>
    <w:p>
      <w:pPr>
        <w:pStyle w:val="BodyText"/>
      </w:pPr>
      <w:r>
        <w:t xml:space="preserve">You may remember that when I was showing in my first discourse from this text what were the great things that God aimed at in the Work of Redemption, and what the main things were that he intended to bring to pass, I among other things mentioned the perfect restoring the ruins of the fall with respect to the elect, and restoring man from that destruction that he had brought on himself both in</w:t>
      </w:r>
      <w:r>
        <w:rPr>
          <w:rStyle w:val="FootnoteReference"/>
        </w:rPr>
        <w:footnoteReference w:id="339"/>
      </w:r>
      <w:r>
        <w:t xml:space="preserve"> soul and body. Now this translation of Enoch was the first instance that ever was of restoring the ruins of the fall with respect to the body. There had been many instances of restoring the soul of man by Christ's redemption, but none of redeeming and actually saving the body till now. All the bodies of the elect are to be saved as well as their souls at the end of the world; all the bodies of the saints shall actually be redeemed: those that then shall have been dead, by a resurrection;</w:t>
      </w:r>
    </w:p>
    <w:p>
      <w:pPr>
        <w:pStyle w:val="SourcePage"/>
      </w:pPr>
      <w:r>
        <w:t xml:space="preserve">[p. 146]</w:t>
      </w:r>
    </w:p>
    <w:p>
      <w:pPr>
        <w:pStyle w:val="BodyText"/>
      </w:pPr>
      <w:r>
        <w:t xml:space="preserve">and others that then be living, by causing them to pass under a glorious change. And before this there was a number of the bodies of saints raised and glorified at Christ's resurrection and ascension, and before that was an instance of a body glorified in Elijah,</w:t>
      </w:r>
      <w:r>
        <w:rPr>
          <w:rStyle w:val="FootnoteReference"/>
        </w:rPr>
        <w:footnoteReference w:id="340"/>
      </w:r>
      <w:r>
        <w:t xml:space="preserve"> but the firt instance of all was this of Enoch that we are now speaking of.</w:t>
      </w:r>
    </w:p>
    <w:p>
      <w:pPr>
        <w:pStyle w:val="BodyText"/>
      </w:pPr>
      <w:r>
        <w:t xml:space="preserve">And the Work of Redemption by this was carried on further than ever it had been before as by this wonderful work of God. There was a great increase of gospel light to the church of</w:t>
      </w:r>
      <w:r>
        <w:rPr>
          <w:rStyle w:val="FootnoteReference"/>
        </w:rPr>
        <w:footnoteReference w:id="341"/>
      </w:r>
      <w:r>
        <w:t xml:space="preserve"> God in this respect, that the church hereby had a clearer manifestation of a future estate and of the future glorious reward of the saints in heaven. We are told, 2 Timothy 1:10, that "life and immortality are brought to light by the gospel," and therefore the more of this is brought to light, the more clearly does the light of the gospel shine in that respect. What was said in the Old Testament of a future state is very obscure in comparison of the more full and plain and abundant revelation of it given in the New. But yet even in those early days, the church of God in this instance was favored with an instance of it set before their eyes, in that one of their brethren was actually taken up to heaven without dying; which we have all reason to think the church of God was knowing</w:t>
      </w:r>
      <w:r>
        <w:rPr>
          <w:rStyle w:val="FootnoteReference"/>
        </w:rPr>
        <w:footnoteReference w:id="342"/>
      </w:r>
      <w:r>
        <w:t xml:space="preserve"> in the time of it as they were afterwards of Elijah's translation. And as this was a clearer manifestation of a future state than the church had had before, so it was a pledge or earnest of that future glorification of all the saints which God intended through the redemption of Jesus Christ.</w:t>
      </w:r>
    </w:p>
    <w:p>
      <w:pPr>
        <w:pStyle w:val="BodyText"/>
      </w:pPr>
      <w:r>
        <w:rPr>
          <w:rStyle w:val="FootnoteReference"/>
        </w:rPr>
        <w:footnoteReference w:id="343"/>
      </w:r>
      <w:r>
        <w:t xml:space="preserve">9.</w:t>
      </w:r>
      <w:r>
        <w:rPr>
          <w:rStyle w:val="FootnoteReference"/>
        </w:rPr>
        <w:footnoteReference w:id="344"/>
      </w:r>
      <w:r>
        <w:t xml:space="preserve"> The next thing that I shall observe was the upholding the church of God in the family of which Christ was to proceed, in the time of that great and general destruction of the world of mankind that was before the flood. The church of God in all probability was small in comparison with the rest of the world. From the beginning of the time that mankind first began to multiply on the face of the earth, or from the time of Cain's defection and departing from amongst the people of God, the time that we read of [in] Genesis 4:16 when "Cain went out from the presence of the Lord [and dwelt] in the land of Nod," which being interpreted is the land of banishment, I say from this time of Cain's departure and separation from the</w:t>
      </w:r>
    </w:p>
    <w:p>
      <w:pPr>
        <w:pStyle w:val="SourcePage"/>
      </w:pPr>
      <w:r>
        <w:t xml:space="preserve">[p. 147]</w:t>
      </w:r>
    </w:p>
    <w:p>
      <w:pPr>
        <w:pStyle w:val="BodyText"/>
      </w:pPr>
      <w:r>
        <w:t xml:space="preserve">church of God, it is probable that the church of God was small in comparison of the rest of the world. So that church seems to have been kept up chiefly in the posterity of Seth, for this was the seed that God appointed instead of Abel whom Cain slew. But we can't reasonably suppose that Seth's posterity were one fiftieth part of the world, for Adam was one hundred and thirty years old when Seth was born. But Cain who seems to have been the ringleader of those that were not of the church was Adam's eldest</w:t>
      </w:r>
      <w:r>
        <w:rPr>
          <w:rStyle w:val="FootnoteReference"/>
        </w:rPr>
        <w:footnoteReference w:id="345"/>
      </w:r>
      <w:r>
        <w:t xml:space="preserve"> child and probably was born soon after the fall, which was doubtless soon after Adam's creation, so that there was time for Cain to have many sons and sons' sons before Seth was born; and besides many other children that probably Adam and Eve had before this time, agreeable to God's blessing that God gave 'em when he said, "Be fruitful and multiply and [replenish the earth],"</w:t>
      </w:r>
      <w:r>
        <w:rPr>
          <w:rStyle w:val="FootnoteReference"/>
        </w:rPr>
        <w:footnoteReference w:id="346"/>
      </w:r>
      <w:r>
        <w:t xml:space="preserve"> and many of these children might have children.</w:t>
      </w:r>
    </w:p>
    <w:p>
      <w:pPr>
        <w:pStyle w:val="BodyText"/>
      </w:pPr>
      <w:r>
        <w:t xml:space="preserve">The story of Cain before Seth was born seems to represent as though there were great numbers of men dwelling on the earth, Genesis 4:14–15 ["Every one that findeth me shall slay me.… And the Lord set a mark upon Cain, lest any finding him should kill him"]. And all these that were then in being when Seth was born must be supposed then to stand in equal capacity of multiplying by their posterity as he, and therefore as I said before Seth's posterity was but a small part of the inhabitants of the world.</w:t>
      </w:r>
    </w:p>
    <w:p>
      <w:pPr>
        <w:pStyle w:val="BodyText"/>
      </w:pPr>
      <w:r>
        <w:t xml:space="preserve">But after the days of Enos and Enoch (for Enoch was translated before Enos died), I say, after these days the church of God greatly diminished. In proportion multitudes that were of the line of Seth and had been born in the church of God fell away and joined with the wicked world principally by means of</w:t>
      </w:r>
      <w:r>
        <w:rPr>
          <w:rStyle w:val="FootnoteReference"/>
        </w:rPr>
        <w:footnoteReference w:id="347"/>
      </w:r>
      <w:r>
        <w:t xml:space="preserve"> intermarriages with them, as Genesis 6:1–2 ["When men began to multiply on the face of earth … the sons of God saw the daughters of men … and they took them wives of all which they chose"], Genesis 6:4 ["There were giants in the earth in those days … when the sons of God came in unto the daughters of men, and they bare children to them, the same became mighty men which were of old, men of renown"]. By the "sons of God" are there doubtless meant the children of the church. It is a denomination often given in Scripture. They intermarried with the wicked world and so had their hearts led away from God, and there was a great</w:t>
      </w:r>
    </w:p>
    <w:p>
      <w:pPr>
        <w:pStyle w:val="SourcePage"/>
      </w:pPr>
      <w:r>
        <w:t xml:space="preserve">[p. 148]</w:t>
      </w:r>
    </w:p>
    <w:p>
      <w:pPr>
        <w:pStyle w:val="BodyText"/>
      </w:pPr>
      <w:r>
        <w:t xml:space="preserve">and continual defection from the church. And the church of God that used to be a restraint on the wicked world diminished exceedingly, and so wickedness went on without restraint. And Satan, that old serpent that tempted our first parents and set up himself as God of this world, raged exceedingly, and "every imagination of the thoughts of his heart were evil, only evil,"</w:t>
      </w:r>
      <w:r>
        <w:rPr>
          <w:rStyle w:val="FootnoteReference"/>
        </w:rPr>
        <w:footnoteReference w:id="348"/>
      </w:r>
      <w:r>
        <w:t xml:space="preserve"> the earth was filled with violence. It seemed to be deluged with wickedness now as it was [with] water afterwards, and mankind in general were drowned in this deluge; almost all were swallowed up in it. And now Satan made a most violent and potent attempt to swallow up the church of God, and had almost done it, but yet God restored it in the midst of all this flood of wickedness and violence. He kept it up in that line of which Christ</w:t>
      </w:r>
      <w:r>
        <w:rPr>
          <w:rStyle w:val="FootnoteReference"/>
        </w:rPr>
        <w:footnoteReference w:id="349"/>
      </w:r>
      <w:r>
        <w:t xml:space="preserve"> was to proceed; he would not suffer it to be destroyed, for a blessing was in it. The Lord, the Redeemer, was in this branch of mankind and was afterwards to proceed from it. There was a particular family that was a root in which the great Redeemer of the world was and whence the branch of righteousness was afterwards to shoot forth. And therefore, however the branches were lopped off and the tree seemed to be destroyed, yet God in the midst of all this kept alive this root by his wonderful redeeming power and grace, so that the gates of hell could not prevail against it.</w:t>
      </w:r>
      <w:r>
        <w:rPr>
          <w:rStyle w:val="FootnoteReference"/>
        </w:rPr>
        <w:footnoteReference w:id="350"/>
      </w:r>
    </w:p>
    <w:p>
      <w:pPr>
        <w:pStyle w:val="BodyText"/>
      </w:pPr>
      <w:r>
        <w:t xml:space="preserve">Thus I have shown how God carried on the great affair of redemption, how the building went on that God began after the fall during this first period of the times of the Old Testament, viz. from the fall of man till God brought the flood on the earth. And second, take notice upon it even that though the history which Moses gives of the great works of God during that space be so very short, yet it is exceeding comprehensive and instructive. And it may also be profitable for us here to observe the efficacy of that purchase of redemption</w:t>
      </w:r>
      <w:r>
        <w:rPr>
          <w:rStyle w:val="FootnoteReference"/>
        </w:rPr>
        <w:footnoteReference w:id="351"/>
      </w:r>
      <w:r>
        <w:t xml:space="preserve"> that had such great effects even in the old world so many ages before Christ appeared to purchase redemption, that his blood should have such great efficacy so long before it was shed. I proceed now to show how the same work was carried on through the</w:t>
      </w:r>
    </w:p>
    <w:p>
      <w:pPr>
        <w:pStyle w:val="BodyText"/>
      </w:pPr>
      <w:r>
        <w:t xml:space="preserve">Second</w:t>
      </w:r>
      <w:r>
        <w:rPr>
          <w:rStyle w:val="FootnoteReference"/>
        </w:rPr>
        <w:footnoteReference w:id="352"/>
      </w:r>
      <w:r>
        <w:t xml:space="preserve"> period of the Old Testament, viz. that from the beginning of the flood till the calling of Abraham. For though that mighty overflowing</w:t>
      </w:r>
    </w:p>
    <w:p>
      <w:pPr>
        <w:pStyle w:val="SourcePage"/>
      </w:pPr>
      <w:r>
        <w:t xml:space="preserve">[p. 149]</w:t>
      </w:r>
    </w:p>
    <w:p>
      <w:pPr>
        <w:pStyle w:val="BodyText"/>
      </w:pPr>
      <w:r>
        <w:t xml:space="preserve">universal deluge of waters overthrew the world, yet it did not overthrow this building of God, the Work of Redemption; but this went on yet, and instead of being overthrown continued to be built up and was carried to a further preparation for the great Savior's coming into the world, and working out redemption for his people.</w:t>
      </w:r>
    </w:p>
    <w:p>
      <w:pPr>
        <w:pStyle w:val="BodyText"/>
      </w:pPr>
      <w:r>
        <w:t xml:space="preserve">And here,</w:t>
      </w:r>
    </w:p>
    <w:p>
      <w:pPr>
        <w:pStyle w:val="BodyText"/>
      </w:pPr>
      <w:r>
        <w:t xml:space="preserve">1.</w:t>
      </w:r>
      <w:r>
        <w:rPr>
          <w:rStyle w:val="FootnoteReference"/>
        </w:rPr>
        <w:footnoteReference w:id="353"/>
      </w:r>
      <w:r>
        <w:t xml:space="preserve"> The flood itself was a work of God that belonged to this great affair, and tending to promote it. All the great and mighty works of God from the fall of man to the end of the world, and reducible to this work, and if seen in a right view of them, will appear as parts of it; and so many steps have been taken in order to it or as carrying of</w:t>
      </w:r>
      <w:r>
        <w:rPr>
          <w:rStyle w:val="FootnoteReference"/>
        </w:rPr>
        <w:footnoteReference w:id="354"/>
      </w:r>
      <w:r>
        <w:t xml:space="preserve"> it on. And doubtless so great a work, so remarkable and universal a catastrophe as the deluge was, can't be excepted.</w:t>
      </w:r>
    </w:p>
    <w:p>
      <w:pPr>
        <w:pStyle w:val="BodyText"/>
      </w:pPr>
      <w:r>
        <w:t xml:space="preserve">It was a work that God wrought in order to it, as thereby God removed the enemies and obstacles of it that were ready to overthrow it out of the way. Satan seems to have been in a dreadful rage just before the flood and his rage then doubtless was, as it always was, chiefly against the church of God to overthrow that; and he had filled the earth with violence and rage against it.</w:t>
      </w:r>
      <w:r>
        <w:rPr>
          <w:rStyle w:val="FootnoteReference"/>
        </w:rPr>
        <w:footnoteReference w:id="355"/>
      </w:r>
      <w:r>
        <w:t xml:space="preserve"> He had drawn over almost all the world to be on his side, and they listed under his banner against Christ and his church. We read that the earth was filled with violence, and doubtless that violence was chiefly against the church in fulfillment of what was foretold: "I will put enmity between thy seed and her seed."</w:t>
      </w:r>
      <w:r>
        <w:rPr>
          <w:rStyle w:val="FootnoteReference"/>
        </w:rPr>
        <w:footnoteReference w:id="356"/>
      </w:r>
      <w:r>
        <w:t xml:space="preserve"> And their enmity and violence was so great and the enemies of the church so numerous, the whole world being against the church, that it was come to the last extremity. Noah's reproofs and his preaching of righteousness were utterly disregarded. God's Spirit had striven</w:t>
      </w:r>
      <w:r>
        <w:rPr>
          <w:rStyle w:val="FootnoteReference"/>
        </w:rPr>
        <w:footnoteReference w:id="357"/>
      </w:r>
      <w:r>
        <w:t xml:space="preserve"> with them an one hundred twenty years, and all in vain, and the church was almost swallowed up; it seems to have reduced to so narrow limits as to be confined to one family. And there was no prospect of anything else but of their totally swallowing up the church, and that in a very little time, and so wholly destroying that small root that had the blessing in it, or whence the Redeemer was to proceed.</w:t>
      </w:r>
    </w:p>
    <w:p>
      <w:pPr>
        <w:pStyle w:val="BodyText"/>
      </w:pPr>
      <w:r>
        <w:t xml:space="preserve">And therefore God's destroying these enemies of the church by the</w:t>
      </w:r>
    </w:p>
    <w:p>
      <w:pPr>
        <w:pStyle w:val="SourcePage"/>
      </w:pPr>
      <w:r>
        <w:t xml:space="preserve">[p. 150]</w:t>
      </w:r>
    </w:p>
    <w:p>
      <w:pPr>
        <w:pStyle w:val="BodyText"/>
      </w:pPr>
      <w:r>
        <w:t xml:space="preserve">flood belongs to this affair of redemption, for it was one thing that was done in fulfillment of the covenant of grace as it was revealed to Adam: "I will put enmity between thee and [her seed]; it shall bruise thy head."</w:t>
      </w:r>
      <w:r>
        <w:rPr>
          <w:rStyle w:val="FootnoteReference"/>
        </w:rPr>
        <w:footnoteReference w:id="358"/>
      </w:r>
      <w:r>
        <w:t xml:space="preserve"> This destruction was only a destruction of the seed of the serpent in the midst of their most violent rage against the seed of the woman, and so delivering the seed of the woman from them when in utmost peril by them. We read of scarce any great destruction of nations anywhere in Scripture but that one main reason given for it was their</w:t>
      </w:r>
      <w:r>
        <w:rPr>
          <w:rStyle w:val="FootnoteReference"/>
        </w:rPr>
        <w:footnoteReference w:id="359"/>
      </w:r>
      <w:r>
        <w:t xml:space="preserve"> enmity and injuries against God's church; and doubtless this is one main reason of the destruction of all nations by the flood. Those giants that were in those days in all likelihood got themselves their renown by their great exploits against heaven and against Christ and his church, the remaining sons of God that had not corrupted themselves.</w:t>
      </w:r>
    </w:p>
    <w:p>
      <w:pPr>
        <w:pStyle w:val="BodyText"/>
      </w:pPr>
      <w:r>
        <w:t xml:space="preserve">We read that, just before the world shall be destroyed by fire, the nations that are in the four quarters of the earth shall gather together against it as the sand of the sea and shall go up on the breadth of the earth and compass the enemies of the saints about, and the beloved city, and then fire shall come down from God out of heaven and devour them, Revelation 20:8–9. And it seems as though there was that which was very parallel to it just before the world was destroyed by water. And therefore their destruction was a work of God that did as much belong to the Work of Redemption as the destruction of the Egyptians belonged to the redemption of the children of Israel out of Egypt, or as the destruction of Sennacherib's mighty army that had compassed about Jerusalem to destroy</w:t>
      </w:r>
      <w:r>
        <w:rPr>
          <w:rStyle w:val="FootnoteReference"/>
        </w:rPr>
        <w:footnoteReference w:id="360"/>
      </w:r>
      <w:r>
        <w:t xml:space="preserve"> it belonged to God's work of redeeming of that city from them.</w:t>
      </w:r>
      <w:r>
        <w:rPr>
          <w:rStyle w:val="FootnoteReference"/>
        </w:rPr>
        <w:footnoteReference w:id="361"/>
      </w:r>
      <w:r>
        <w:t xml:space="preserve"> By means of this flood all the enemies of God's church, against whom that little handful had no strength, were swept off at once. God took their part and appeared for them against their enemies, and drowned those of whom they had been afraid in the flood of water, as he drowned the enemies of Israel that pursued 'em in the Red Sea.</w:t>
      </w:r>
    </w:p>
    <w:p>
      <w:pPr>
        <w:pStyle w:val="BodyText"/>
      </w:pPr>
      <w:r>
        <w:t xml:space="preserve">Indeed, God could have taken other methods to deliver his church. He could have converted all the world instead of drowning it, and so he could have taken another method than drowning the Egyptians in the Red Sea. But that is no argument that the method he did take</w:t>
      </w:r>
    </w:p>
    <w:p>
      <w:pPr>
        <w:pStyle w:val="SourcePage"/>
      </w:pPr>
      <w:r>
        <w:t xml:space="preserve">[p. 151]</w:t>
      </w:r>
    </w:p>
    <w:p>
      <w:pPr>
        <w:pStyle w:val="BodyText"/>
      </w:pPr>
      <w:r>
        <w:t xml:space="preserve">was not a method to show his redeeming mercy to them. By the wicked world's being drowned, the wicked, the enemies of God's people, were dispossessed of the earth and the whole earth was given to Noah and his family to possess in quiet, as God made room for the Israelites in Canaan by casting out their enemies from before 'em, and God's thus taking the earth</w:t>
      </w:r>
      <w:r>
        <w:rPr>
          <w:rStyle w:val="FootnoteReference"/>
        </w:rPr>
        <w:footnoteReference w:id="362"/>
      </w:r>
      <w:r>
        <w:t xml:space="preserve"> from the possession of the enemies of the church and giving it all to the church, was agreeable to that promise of the covenant of grace, Psalms 37:9–11 ["those that wait upon the Lord shall … inherit the earth. For yet a little while, and the wicked shall not be.… But the meek shall inherit the earth"]. The just shall inherit the earth.</w:t>
      </w:r>
    </w:p>
    <w:p>
      <w:pPr>
        <w:pStyle w:val="BodyText"/>
      </w:pPr>
      <w:r>
        <w:t xml:space="preserve">2.</w:t>
      </w:r>
      <w:r>
        <w:rPr>
          <w:rStyle w:val="FootnoteReference"/>
        </w:rPr>
        <w:footnoteReference w:id="363"/>
      </w:r>
      <w:r>
        <w:t xml:space="preserve"> Another thing here belonging to the same work was God's so wonderfully preserving that family of which the Redeemer was to proceed when all the rest of the world was drowned.</w:t>
      </w:r>
      <w:r>
        <w:rPr>
          <w:rStyle w:val="FootnoteReference"/>
        </w:rPr>
        <w:footnoteReference w:id="364"/>
      </w:r>
      <w:r>
        <w:t xml:space="preserve"> God's drowning the world and saving Noah and his family both were works reducible to this great work. The saving Noah and his family belonged to it two ways: 1. as that family was the family of which the Redeemer was to proceed, and 2. as that family was the church that he had redeemed. It was the mystical body of Christ that was there saved. The manner of God's saving those persons when all the world besides was so overthrown was very wonderful and remarkable; it was a wonderful work of God and a remarkable type of the redemption of Christ, of that redemption that is sealed by the baptism of water and is so spoken of in the New Testament, as 1 Peter 3:20–21</w:t>
      </w:r>
      <w:r>
        <w:rPr>
          <w:rStyle w:val="FootnoteReference"/>
        </w:rPr>
        <w:footnoteReference w:id="365"/>
      </w:r>
      <w:r>
        <w:t xml:space="preserve"> 1 Peter 3:20–21 ["In the days of Noah … eight souls were saved by water. The like figure whereunto even baptism doth also now save us"].</w:t>
      </w:r>
      <w:r>
        <w:rPr>
          <w:rStyle w:val="FootnoteReference"/>
        </w:rPr>
        <w:footnoteReference w:id="366"/>
      </w:r>
    </w:p>
    <w:p>
      <w:pPr>
        <w:pStyle w:val="BodyText"/>
      </w:pPr>
      <w:r>
        <w:t xml:space="preserve">That water that washed away the filth of the world, that cleared the world of wicked men, was a type of the blood of Christ that takes away the sin of the world. That water that delivered Noah and his sons from their enemies is a type of that blood that delivers God's church from their sins, their worst enemies. That water that was so plentiful and abundant that it filled the world and reached above the tops of the highest mountains was a type of that blood the sufficiency of which is so abundant baptismal for the whole world's baptism, to</w:t>
      </w:r>
    </w:p>
    <w:p>
      <w:pPr>
        <w:pStyle w:val="SourcePage"/>
      </w:pPr>
      <w:r>
        <w:t xml:space="preserve">[p. 152]</w:t>
      </w:r>
    </w:p>
    <w:p>
      <w:pPr>
        <w:pStyle w:val="BodyText"/>
      </w:pPr>
      <w:r>
        <w:t xml:space="preserve">bury the biggest mountains of sin. The ark that was the refuge and hiding place of the church in this time of storm and floods was a type of Christ, the true hiding place of the church from the storms and floods of God's wrath.</w:t>
      </w:r>
    </w:p>
    <w:p>
      <w:pPr>
        <w:pStyle w:val="BodyText"/>
      </w:pPr>
      <w:r>
        <w:t xml:space="preserve">3.</w:t>
      </w:r>
      <w:r>
        <w:rPr>
          <w:rStyle w:val="FootnoteReference"/>
        </w:rPr>
        <w:footnoteReference w:id="367"/>
      </w:r>
      <w:r>
        <w:t xml:space="preserve"> The next thing I would observe was the new grant of the earth God made to Noah and his family immediately after the flood, as founded on the covenant of grace, when Noah moved out of the ark. The sacrifice of Christ was represented by</w:t>
      </w:r>
      <w:r>
        <w:rPr>
          <w:rStyle w:val="FootnoteReference"/>
        </w:rPr>
        <w:footnoteReference w:id="368"/>
      </w:r>
      <w:r>
        <w:t xml:space="preserve"> Noah's building an altar to the Lord and offering a sacrifice of every clean beast and every clean fowl. And here we have an account, that of his accepting this sacrificing. And thereupon [God] blessed Noah and established his covenant with him and with his seed, promising no more in like manner to destroy the earth, signifying how, here too by the sacrifice of Christ, that God's favor is obtained and his people are in safety from God's destroying judgment and do obtain the blessing of the Lord.</w:t>
      </w:r>
      <w:r>
        <w:rPr>
          <w:rStyle w:val="FootnoteReference"/>
        </w:rPr>
        <w:footnoteReference w:id="369"/>
      </w:r>
      <w:r>
        <w:t xml:space="preserve"> And God now on occasion of the sacrifice that Noah offered to God gives him and his posterity a new grant of the earth, a new power of dominion over the creatures as founded on that sacrifice, and so founded on the covenant of grace;</w:t>
      </w:r>
      <w:r>
        <w:rPr>
          <w:rStyle w:val="FootnoteReference"/>
        </w:rPr>
        <w:footnoteReference w:id="370"/>
      </w:r>
      <w:r>
        <w:t xml:space="preserve"> and so is to be looked upon [as] a diverse grant from that which [was] made to Adam that we have, Genesis 1:28 ["Be fruitful and multiply and replenish the earth, and subdue it; and have dominion … over every living thing"]. Which grant was not founded on the covenant of grace, for it was</w:t>
      </w:r>
      <w:r>
        <w:rPr>
          <w:rStyle w:val="FootnoteReference"/>
        </w:rPr>
        <w:footnoteReference w:id="371"/>
      </w:r>
      <w:r>
        <w:t xml:space="preserve"> given to Adam while he was under a covenant of works and therefore was antiquated when that covenant ceased.</w:t>
      </w:r>
    </w:p>
    <w:p>
      <w:pPr>
        <w:pStyle w:val="BodyText"/>
      </w:pPr>
      <w:r>
        <w:t xml:space="preserve">The first grant of the earth to Adam was founded on the first covenant, and therefore when the first covenant was broken the right conveyed to him by that first covenant was forfeited and lost. And hence it came to pass that the earth was taken away from mankind by the flood, for the first grant was forfeited and God never had made another after that till after the flood. If the first covenant had not been broken, God never would [have] drowned the world and so have taken it away from mankind; for then the first grant made to Adam would have stood good. But that was broken, and so God after a while destroyed the earth when the wickedness of men was great.</w:t>
      </w:r>
    </w:p>
    <w:p>
      <w:pPr>
        <w:pStyle w:val="SourcePage"/>
      </w:pPr>
      <w:r>
        <w:t xml:space="preserve">[p. 153]</w:t>
      </w:r>
    </w:p>
    <w:p>
      <w:pPr>
        <w:pStyle w:val="BodyText"/>
      </w:pPr>
      <w:r>
        <w:t xml:space="preserve">But after the flood, on Noah's offering a sacrifice that represented the sacrifice of Christ, God in smelling a sweet savor or accepting that sacrifice, as it was a representation of the true sacrifice of Christ which is a sweet savor</w:t>
      </w:r>
      <w:r>
        <w:rPr>
          <w:rStyle w:val="FootnoteReference"/>
        </w:rPr>
        <w:footnoteReference w:id="372"/>
      </w:r>
      <w:r>
        <w:t xml:space="preserve"> indeed to God, he gives Noah a new grant of the earth founded on that sacrifice of Christ or that covenant of grace which is by that sacrifice of Christ, and with a promise annexed that now the earth should no more be destroyed till the consummation of all things, as you may see, Genesis 8:20–22 and Genesis 9:1–3 and verse 7.</w:t>
      </w:r>
      <w:r>
        <w:rPr>
          <w:rStyle w:val="FootnoteReference"/>
        </w:rPr>
        <w:footnoteReference w:id="373"/>
      </w:r>
      <w:r>
        <w:t xml:space="preserve"> The reason why such a promise that God would no more destroy the earth was made to this grant made to Noah and not to that made to Adam was because these words [were] founded on the covenant of grace, that Christ was the surety, and therefore [it] could not be broken. And therefore it comes to pass now that though the wickedness of man has dreadfully raged, and the earth has been filled with violence and wickedness thousands of times and</w:t>
      </w:r>
      <w:r>
        <w:rPr>
          <w:rStyle w:val="FootnoteReference"/>
        </w:rPr>
        <w:footnoteReference w:id="374"/>
      </w:r>
      <w:r>
        <w:t xml:space="preserve"> one age after another, and much more dreadful and aggravated wickedness than the world was full of before the flood, being against so much greater light and mercy especially in these days of the gospel, yet God's patience holds. God don't destroy the earth; his mercy and forbearance abides according to his promise, and his grant established with Noah and his sons abides firm and good, being founded on that covenant.</w:t>
      </w:r>
    </w:p>
    <w:p>
      <w:pPr>
        <w:pStyle w:val="BodyText"/>
      </w:pPr>
      <w:r>
        <w:t xml:space="preserve">4.</w:t>
      </w:r>
      <w:r>
        <w:rPr>
          <w:rStyle w:val="FootnoteReference"/>
        </w:rPr>
        <w:footnoteReference w:id="375"/>
      </w:r>
      <w:r>
        <w:t xml:space="preserve"> In this God renews with Noah and his sons the covenant of grace—Genesis 9:10 ["I establish my covenant with you, and with your seed.… And with every living creature"]</w:t>
      </w:r>
      <w:r>
        <w:rPr>
          <w:rStyle w:val="FootnoteReference"/>
        </w:rPr>
        <w:footnoteReference w:id="376"/>
      </w:r>
      <w:r>
        <w:t xml:space="preserve">—which was the covenant of grace which even the brute creatures this benefit of share. When we have this expression in Scripture, "my covenant," it commonly is to be understood of the covenant of grace. The manner of expression, "I will establish my covenant with you,"—shows plainly that it was a covenant already in being that had been</w:t>
      </w:r>
      <w:r>
        <w:rPr>
          <w:rStyle w:val="FootnoteReference"/>
        </w:rPr>
        <w:footnoteReference w:id="377"/>
      </w:r>
      <w:r>
        <w:t xml:space="preserve"> made already and that Noah would understand what covenant it was by that denomination.</w:t>
      </w:r>
    </w:p>
    <w:p>
      <w:pPr>
        <w:pStyle w:val="BodyText"/>
      </w:pPr>
      <w:r>
        <w:rPr>
          <w:rStyle w:val="FootnoteReference"/>
        </w:rPr>
        <w:footnoteReference w:id="378"/>
      </w:r>
      <w:r>
        <w:t xml:space="preserve">5.</w:t>
      </w:r>
      <w:r>
        <w:rPr>
          <w:rStyle w:val="FootnoteReference"/>
        </w:rPr>
        <w:footnoteReference w:id="379"/>
      </w:r>
      <w:r>
        <w:t xml:space="preserve"> God's disappointing the design of building the city and tower</w:t>
      </w:r>
    </w:p>
    <w:p>
      <w:pPr>
        <w:pStyle w:val="SourcePage"/>
      </w:pPr>
      <w:r>
        <w:t xml:space="preserve">[p. 154]</w:t>
      </w:r>
    </w:p>
    <w:p>
      <w:pPr>
        <w:pStyle w:val="BodyText"/>
      </w:pPr>
      <w:r>
        <w:t xml:space="preserve">of Babel.</w:t>
      </w:r>
      <w:r>
        <w:rPr>
          <w:rStyle w:val="FootnoteReference"/>
        </w:rPr>
        <w:footnoteReference w:id="380"/>
      </w:r>
      <w:r>
        <w:t xml:space="preserve"> This work of God belongs to this great Work ‹of Redemption›, for that building was what was undertaken in opposition to this great building of God that we are speaking of. Man's going about to build such a city and tower was an effect of the great corruption that mankind were now soon fallen into. City and tower was set up in opposition to the city of God, as the god that they built it to was their pride, being sunk into a disposition to forsake the true God. The first idol they set up in his room was themselves, their own glory.</w:t>
      </w:r>
      <w:r>
        <w:rPr>
          <w:rStyle w:val="FootnoteReference"/>
        </w:rPr>
        <w:footnoteReference w:id="381"/>
      </w:r>
      <w:r>
        <w:t xml:space="preserve"> And as the city and tower had their foundation laid in the pride and vanity of men and the haughtiness of their minds, it was built on a foundation exceeding contrary to the nature of the foundation of the kingdom of Christ and his redeemed city, which has its foundation laid in humility.</w:t>
      </w:r>
    </w:p>
    <w:p>
      <w:pPr>
        <w:pStyle w:val="BodyText"/>
      </w:pPr>
      <w:r>
        <w:t xml:space="preserve">Therefore God saw it tended to frustrate the design of that great building that was founded not on the haughtiness of men but Christ's</w:t>
      </w:r>
      <w:r>
        <w:rPr>
          <w:rStyle w:val="FootnoteReference"/>
        </w:rPr>
        <w:footnoteReference w:id="382"/>
      </w:r>
      <w:r>
        <w:t xml:space="preserve"> blood; and therefore the thing that they did displeased the Lord and he baffled and confounded the design and did not suffer 'em to bring it to perfection, as God will frustrate and confound all other buildings that are set up in opposition to ‹the Work of Redemption›. In the Isaiah 2 when the prophet is foretelling of God's setting up the kingdom of Christ in the world, he foretells how that God will,</w:t>
      </w:r>
      <w:r>
        <w:rPr>
          <w:rStyle w:val="FootnoteReference"/>
        </w:rPr>
        <w:footnoteReference w:id="383"/>
      </w:r>
      <w:r>
        <w:t xml:space="preserve"> in order to it, bring down the haughtiness of men, and how the "day of the Lord shall be on every high tower and [every fenced well]." Christ's kingdom is established by bringing down every high thing to make way for it, 2 Corinthians 10:4–5 ["the weapons of our warfare … are mighty through God to the pulling down of strong holds.… Casting down … every high thing that exalteth itself"]. What is done in a particular soul to make way for the setting up Christ's kingdom is to destroy Babel in him.</w:t>
      </w:r>
    </w:p>
    <w:p>
      <w:pPr>
        <w:pStyle w:val="BodyText"/>
      </w:pPr>
      <w:r>
        <w:t xml:space="preserve">That building they intended, to build Babel up to heaven, that is the subject we are upon, was a building God intended to build up so high that its top should reach up to heaven; indeed so it will to the highest heavens at the end of the world when it shall be finished, and that he would not suffer the building of his enemies that they designed</w:t>
      </w:r>
    </w:p>
    <w:p>
      <w:pPr>
        <w:pStyle w:val="SourcePage"/>
      </w:pPr>
      <w:r>
        <w:t xml:space="preserve">[p. 155]</w:t>
      </w:r>
    </w:p>
    <w:p>
      <w:pPr>
        <w:pStyle w:val="BodyText"/>
      </w:pPr>
      <w:r>
        <w:t xml:space="preserve">to build up to heaven in opposition to it to prosper.</w:t>
      </w:r>
      <w:r>
        <w:rPr>
          <w:rStyle w:val="FootnoteReference"/>
        </w:rPr>
        <w:footnoteReference w:id="384"/>
      </w:r>
      <w:r>
        <w:t xml:space="preserve"> If they had gone on and prospered in building that city and tower it might have kept the world of wicked men, the enemies of the church, together as that was their design. They might have remained united in one vast powerful city, and so they might have been too powerful for the city of God and have quite swallowed [it].</w:t>
      </w:r>
    </w:p>
    <w:p>
      <w:pPr>
        <w:pStyle w:val="BodyText"/>
      </w:pPr>
      <w:r>
        <w:t xml:space="preserve">The city was Babylon, in the original, at Babel. This was a city that is always spoken of in Scripture as chiefly opposite to the city of God. Palestine and Jerusalem and Zion is opposed often in both Old Testament and New. This city was a terrible powerful enemy to the city of God afterwards, notwithstanding this great check put to the building of it in the beginning, but it would probably have been vastly more powerful. Thus it was tenderness to his church and in prosecution of the great design of redemption, [that he brought down that city].</w:t>
      </w:r>
    </w:p>
    <w:p>
      <w:pPr>
        <w:pStyle w:val="BodyText"/>
      </w:pPr>
      <w:r>
        <w:rPr>
          <w:rStyle w:val="FootnoteReference"/>
        </w:rPr>
        <w:footnoteReference w:id="385"/>
      </w:r>
      <w:r>
        <w:t xml:space="preserve">6.</w:t>
      </w:r>
      <w:r>
        <w:rPr>
          <w:rStyle w:val="FootnoteReference"/>
        </w:rPr>
        <w:footnoteReference w:id="386"/>
      </w:r>
      <w:r>
        <w:t xml:space="preserve"> The dispersing the nations and dividing the earth among its inhabitants immediately after God caused the building of Babel to cease. This was done so as most to suit that great design, and particularly God therein had an eye to the future propagation of the gospel among the nations. They were so placed, the ends of their habitation so limited round about the land of Canaan, the place laid out for the habitation of God's people, as most suited the design of propagating the gospel among them, Deuteronomy 32:8–9 …; Acts 17:26–27 …;</w:t>
      </w:r>
      <w:r>
        <w:rPr>
          <w:rStyle w:val="FootnoteReference"/>
        </w:rPr>
        <w:footnoteReference w:id="387"/>
      </w:r>
      <w:r>
        <w:t xml:space="preserve"> the land of Canaan, the most conveniently positioned of any place in the world for that purpose.</w:t>
      </w:r>
      <w:r>
        <w:rPr>
          <w:rStyle w:val="FootnoteReference"/>
        </w:rPr>
        <w:footnoteReference w:id="388"/>
      </w:r>
      <w:r>
        <w:t xml:space="preserve"> The inhabited world was chiefly in the Roman empire in the times immediately after Christ, which was in the countries round about Jerusalem. The devil afterwards led many nations unto remote parts of the world to that end to get 'em out of the way of the gospel, led 'em unto America.</w:t>
      </w:r>
      <w:r>
        <w:rPr>
          <w:rStyle w:val="FootnoteReference"/>
        </w:rPr>
        <w:footnoteReference w:id="389"/>
      </w:r>
      <w:r>
        <w:t xml:space="preserve"> Others were led unto northern cold regions that are almost inaccessible.</w:t>
      </w:r>
    </w:p>
    <w:p>
      <w:pPr>
        <w:pStyle w:val="SourcePage"/>
      </w:pPr>
      <w:r>
        <w:t xml:space="preserve">[p. 156]</w:t>
      </w:r>
    </w:p>
    <w:p>
      <w:pPr>
        <w:pStyle w:val="BodyText"/>
      </w:pPr>
      <w:r>
        <w:rPr>
          <w:rStyle w:val="FootnoteReference"/>
        </w:rPr>
        <w:footnoteReference w:id="390"/>
      </w:r>
      <w:r>
        <w:t xml:space="preserve">7.</w:t>
      </w:r>
      <w:r>
        <w:rPr>
          <w:rStyle w:val="FootnoteReference"/>
        </w:rPr>
        <w:footnoteReference w:id="391"/>
      </w:r>
      <w:r>
        <w:t xml:space="preserve"> Another thing I would mention in this period was God's preserving serving the true religion in the line of which Christ was to proceed when the world in general apostatized to idolatry. Though God had wrought so wonderfully, shown such great mercy, had renewed and established his covenant of grace with Noah and his sons, yet so prone is the corrupt heart of man to depart from God and sink into the depths of wickedness, and so prone to darkness, delusion, and idolatry that the world soon [apostatized]. So that before Abraham the distemper was become almost universal. The earth was become very corrupt at the time of the building up of Babel, and even God's people themselves, even that line of whom Christ was to come, therefore became corrupted in a measure with idolatry, Joshua 24:2 ["And Joshua said … Your fathers dwelt on the other side of the flood in old time, even Terah, the father of Abraham … served other gods"].</w:t>
      </w:r>
      <w:r>
        <w:rPr>
          <w:rStyle w:val="FootnoteReference"/>
        </w:rPr>
        <w:footnoteReference w:id="392"/>
      </w:r>
      <w:r>
        <w:t xml:space="preserve"> "On the other side of the flood" meaning ‹after the covenant with Noah›.</w:t>
      </w:r>
    </w:p>
    <w:p>
      <w:pPr>
        <w:pStyle w:val="BodyText"/>
      </w:pPr>
      <w:r>
        <w:t xml:space="preserve">We are not to understand that they were wholly drawn off to idolatry to forsake the true God, for God is said to be the Lord of Nahor, Genesis 31:53, "The God of Nahor judge betwixt us." For they only partook in some measure of the general and almost universal corruption of the times, as Solomon was in a measure infected with idolatrous corruption,</w:t>
      </w:r>
      <w:r>
        <w:rPr>
          <w:rStyle w:val="FootnoteReference"/>
        </w:rPr>
        <w:footnoteReference w:id="393"/>
      </w:r>
      <w:r>
        <w:t xml:space="preserve"> and as the children of Israel in Egypt are said to serve other gods in Egypt, though yet there was the true church of God among them,</w:t>
      </w:r>
      <w:r>
        <w:rPr>
          <w:rStyle w:val="FootnoteReference"/>
        </w:rPr>
        <w:footnoteReference w:id="394"/>
      </w:r>
      <w:r>
        <w:t xml:space="preserve"> and as there were images kept for a considerable time in the family of Jacob himself, the corruption being brought from Padan Aram whence he fetched his wives.</w:t>
      </w:r>
      <w:r>
        <w:rPr>
          <w:rStyle w:val="FootnoteReference"/>
        </w:rPr>
        <w:footnoteReference w:id="395"/>
      </w:r>
      <w:r>
        <w:t xml:space="preserve"> This was the second [time] that the church was almost brought to nothing by the corruption and general defection of the world from true religion. But still the true religion was kept up in ‹the line of whom Christ was to come›, which is another instance of God's remarkably preserving his church in a time</w:t>
      </w:r>
      <w:r>
        <w:rPr>
          <w:rStyle w:val="FootnoteReference"/>
        </w:rPr>
        <w:footnoteReference w:id="396"/>
      </w:r>
      <w:r>
        <w:t xml:space="preserve"> of a general deluge of wickedness. And, however, though the gods of this world raged and almost swallowed it up (God's church),</w:t>
      </w:r>
      <w:r>
        <w:rPr>
          <w:rStyle w:val="FootnoteReference"/>
        </w:rPr>
        <w:footnoteReference w:id="397"/>
      </w:r>
      <w:r>
        <w:t xml:space="preserve"> yet God did not "suffer the gates of hell to prevail against it."</w:t>
      </w:r>
      <w:r>
        <w:rPr>
          <w:rStyle w:val="FootnoteReference"/>
        </w:rPr>
        <w:footnoteReference w:id="398"/>
      </w:r>
    </w:p>
    <w:p>
      <w:pPr>
        <w:pStyle w:val="SourcePage"/>
      </w:pPr>
      <w:r>
        <w:t xml:space="preserve">[p. 157]</w:t>
      </w:r>
    </w:p>
    <w:p>
      <w:pPr>
        <w:pStyle w:val="Heading2"/>
      </w:pPr>
      <w:bookmarkStart w:name="heading_no_2_sermon_four" w:id="37"/>
      <w:r>
        <w:t xml:space="preserve">No. 2: SERMON FOUR</w:t>
      </w:r>
      <w:bookmarkEnd w:id="37"/>
    </w:p>
    <w:p>
      <w:pPr>
        <w:pStyle w:val="BodyText"/>
      </w:pPr>
      <w:r>
        <w:rPr>
          <w:rStyle w:val="FootnoteReference"/>
        </w:rPr>
        <w:footnoteReference w:id="399"/>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3" w:id="38"/>
      <w:r>
        <w:t xml:space="preserve">DOCTRINE</w:t>
      </w:r>
      <w:bookmarkEnd w:id="38"/>
    </w:p>
    <w:p>
      <w:pPr>
        <w:pStyle w:val="BlockQuote"/>
      </w:pPr>
      <w:r>
        <w:rPr>
          <w:i/>
          <w:iCs/>
        </w:rPr>
        <w:t xml:space="preserve">[The Work of Redemption is a work that God carries on from the fall of man to the end of the world.]</w:t>
      </w:r>
    </w:p>
    <w:p>
      <w:pPr>
        <w:pStyle w:val="BodyText"/>
      </w:pPr>
      <w:r>
        <w:t xml:space="preserve">YOU may remember that after having explained the terms of the doctrine and shown what were the great things to be done that God aimed at in this work, I proceeded directly to show how the work is carried on from ‹the fall of man to the end of the world›, and to that end, divided the whole space of time from the fall into three ‹periods› that I might show how the Work of Redemption was carried on through each, which was proposed to be done under three propositions.</w:t>
      </w:r>
      <w:r>
        <w:rPr>
          <w:rStyle w:val="FootnoteReference"/>
        </w:rPr>
        <w:footnoteReference w:id="400"/>
      </w:r>
    </w:p>
    <w:p>
      <w:pPr>
        <w:pStyle w:val="BodyText"/>
      </w:pPr>
      <w:r>
        <w:t xml:space="preserve">And to show how the Work of Redemption is carried on through this, I subdivided ‹the period reaching from the fall of man to Christ's incarnation› into six lesser periods.</w:t>
      </w:r>
    </w:p>
    <w:p>
      <w:pPr>
        <w:pStyle w:val="BodyText"/>
      </w:pPr>
      <w:r>
        <w:t xml:space="preserve">I have shown how the Work of Redemption was carried on under the two former of these, viz. first, from the fall to the flood, and 2. from thence to the initial calling of Abraham. Under the second of those, I observed the following seven points: 1. flood, 2. family of Christ preserved, 3. new covenant, 4. renewing covenant, 5. Babel, 6. dispersion, 7. preserving.</w:t>
      </w:r>
    </w:p>
    <w:p>
      <w:pPr>
        <w:pStyle w:val="SourcePage"/>
      </w:pPr>
      <w:r>
        <w:t xml:space="preserve">[p. 158]</w:t>
      </w:r>
    </w:p>
    <w:p>
      <w:pPr>
        <w:pStyle w:val="BodyText"/>
      </w:pPr>
      <w:r>
        <w:t xml:space="preserve">I now therefore proceed,</w:t>
      </w:r>
    </w:p>
    <w:p>
      <w:pPr>
        <w:pStyle w:val="BodyText"/>
      </w:pPr>
      <w:r>
        <w:t xml:space="preserve">Thirdly,</w:t>
      </w:r>
      <w:r>
        <w:rPr>
          <w:rStyle w:val="FootnoteReference"/>
        </w:rPr>
        <w:footnoteReference w:id="401"/>
      </w:r>
      <w:r>
        <w:t xml:space="preserve"> to show how the Work of Redemption was carried on through the third period of the times of the Old Testament beginning with the calling of Abraham and extending to Moses. And here,</w:t>
      </w:r>
    </w:p>
    <w:p>
      <w:pPr>
        <w:pStyle w:val="BodyText"/>
      </w:pPr>
      <w:r>
        <w:t xml:space="preserve">1.</w:t>
      </w:r>
      <w:r>
        <w:rPr>
          <w:rStyle w:val="FootnoteReference"/>
        </w:rPr>
        <w:footnoteReference w:id="402"/>
      </w:r>
      <w:r>
        <w:t xml:space="preserve"> It pleased God now to separate that person of whom Christ was to come from the rest of the world, that his church might be upheld in his family and posterity till Christ should come; as he did in calling Abraham out of his own country and from his kindred to go into a distant country that God should show</w:t>
      </w:r>
      <w:r>
        <w:rPr>
          <w:rStyle w:val="FootnoteReference"/>
        </w:rPr>
        <w:footnoteReference w:id="403"/>
      </w:r>
      <w:r>
        <w:t xml:space="preserve"> him of, and bringing him first out of Ur of the Chaldees, to Charran and then to the land of Canaan.</w:t>
      </w:r>
      <w:r>
        <w:rPr>
          <w:rStyle w:val="FootnoteReference"/>
        </w:rPr>
        <w:footnoteReference w:id="404"/>
      </w:r>
      <w:r>
        <w:t xml:space="preserve"> It was before observed that the corruption of the world with idolatry was now become general; mankind were almost wholly overrun with idolatry. God therefore saw it necessary in order to the upholding of the true religion in the world that there should be a family separated from the rest of the world. It proved to be high time to take this course lest the church of Christ should be wholly carried away with the apostasy, for the church of God itself that had been upheld in the line of Abraham's ancestors was already considerably corrupted. Abraham's own country and kindred had most of 'em fallen off, and without some extraordinary interposition of providence in all likelihood in a generation or two more the true religion in this line would be extinct. And therefore God saw it to be time to call Abraham, the person in whose family he intended to uphold the true religion, out of his own country and from his kindred to a far distant country, that his posterity might there remain a people separate from all the rest of the world, that so the true religion might be upheld there while all mankind besides were swallowed up in heathenism.</w:t>
      </w:r>
    </w:p>
    <w:p>
      <w:pPr>
        <w:pStyle w:val="BodyText"/>
      </w:pPr>
      <w:r>
        <w:rPr>
          <w:rStyle w:val="FootnoteReference"/>
        </w:rPr>
        <w:footnoteReference w:id="405"/>
      </w:r>
      <w:r>
        <w:t xml:space="preserve">The land of the Chaldees that Abraham was called to go out of was the country about Babel. Babel or Babylon was the chief city of the land of Chaldea. Learned men do suppose by what they gather from some of the most ancient accounts of things, that it was this land that idolatry first began in, that Babel and Chaldea were the original and chief seat of the worship of idols, whence it spread unto other nations. And therefore the land of the Chaldeans or the country</w:t>
      </w:r>
    </w:p>
    <w:p>
      <w:pPr>
        <w:pStyle w:val="SourcePage"/>
      </w:pPr>
      <w:r>
        <w:t xml:space="preserve">[p. 159]</w:t>
      </w:r>
    </w:p>
    <w:p>
      <w:pPr>
        <w:pStyle w:val="BodyText"/>
      </w:pPr>
      <w:r>
        <w:t xml:space="preserve">of Babylon is in Scripture called the land of graven images, as you may see, Jeremiah 50:35, together with the Jeremiah 50:38. God calls Abraham out of this idolatrous country to a great distance from it, and when he came there he gave him none inheritance in it, no not so much as to set his feet on it. But he remained as a stranger and sojourner, that he and his family might be kept separate from all the world.</w:t>
      </w:r>
    </w:p>
    <w:p>
      <w:pPr>
        <w:pStyle w:val="BodyText"/>
      </w:pPr>
      <w:r>
        <w:t xml:space="preserve">This was a new thing; God had never taken any such method before. His church had never [in] this manner been separated from the rest of the world till now, but were wont to dwell with them without any bar or fence to keep 'em separate, the mischievous consequences of which had been found once and again. The effect before the flood [of] God's people living intermingled with the whole</w:t>
      </w:r>
      <w:r>
        <w:rPr>
          <w:rStyle w:val="FootnoteReference"/>
        </w:rPr>
        <w:footnoteReference w:id="406"/>
      </w:r>
      <w:r>
        <w:t xml:space="preserve"> world without any remarkable wall of separation, was that the sons of the church joined in marriage with others, and thereby almost all soon became infected and the church was almost brought to nothing. The method that God took then to save the church was to drown the wicked world and save the church in the ark. And now the world before Abraham was called was become corrupt again, but now God took another method. He did not destroy the wicked world and save Abraham and his wife and Lot in an ark, but he calls these persons to go and live separate from the rest of the world.</w:t>
      </w:r>
    </w:p>
    <w:p>
      <w:pPr>
        <w:pStyle w:val="BodyText"/>
      </w:pPr>
      <w:r>
        <w:t xml:space="preserve">This was a new thing and a great thing that God did towards the Work of Redemption. This thing was done now about the middle of the space of time between the fall of man and the coming of Christ, and there was about two thousand years yet to come before Jesus Christ the great Redeemer was to come. But by this calling of Abraham, the ancestor of Christ, foundation was laid for the upholding the church of Christ in the world till Christ should come, for the world having become idolatrous there was a necessity that the seed of the woman should thus be separated from the idolatrous world in order to that. And then it was needful that there should be a particular nation separated from the rest</w:t>
      </w:r>
      <w:r>
        <w:rPr>
          <w:rStyle w:val="FootnoteReference"/>
        </w:rPr>
        <w:footnoteReference w:id="407"/>
      </w:r>
      <w:r>
        <w:t xml:space="preserve"> of the world to receive these types and prophecies that were needful to [be] given of Christ to prepare the way for his coming: that to them might be committed the oracles of God, and that in them the history of God's great works of creation and providence might be upheld, and that so Christ might</w:t>
      </w:r>
    </w:p>
    <w:p>
      <w:pPr>
        <w:pStyle w:val="SourcePage"/>
      </w:pPr>
      <w:r>
        <w:t xml:space="preserve">[p. 160]</w:t>
      </w:r>
    </w:p>
    <w:p>
      <w:pPr>
        <w:pStyle w:val="BodyText"/>
      </w:pPr>
      <w:r>
        <w:t xml:space="preserve">be born of this nation, and that from hence the light of the gospel might shine forth to the rest of the world. These ends could not well be obtained if God's people through all that two thousand years had lived intermixed with the heathen world.</w:t>
      </w:r>
    </w:p>
    <w:p>
      <w:pPr>
        <w:pStyle w:val="BodyText"/>
      </w:pPr>
      <w:r>
        <w:t xml:space="preserve">So that this calling of Abraham may be looked upon as a kind of new foundation laid for a visible church of God in a more distinct and regular state, to be upheld and built upon this foundation from hence forward till Christ should actually come, and then through him to be propagated to all nations. So that Abraham, being the person in whom this foundation is laid, is represented in Scripture as though he were the father of all the church, the father of all them that believe or, as it were, a root whence the visible church thence forward through Christ, Abraham's root and offspring,</w:t>
      </w:r>
      <w:r>
        <w:rPr>
          <w:rStyle w:val="FootnoteReference"/>
        </w:rPr>
        <w:footnoteReference w:id="408"/>
      </w:r>
      <w:r>
        <w:t xml:space="preserve"> rose as a tree distinct from all other plants, of which tree Christ was the branch of righteousness and from which tree, after Christ came, the natural branches were broken off and the Gentiles were grafted onto the same tree.</w:t>
      </w:r>
      <w:r>
        <w:rPr>
          <w:rStyle w:val="FootnoteReference"/>
        </w:rPr>
        <w:footnoteReference w:id="409"/>
      </w:r>
      <w:r>
        <w:t xml:space="preserve"> So that Abraham still remains the father of the church or root of the tree through Christ his seed; 'tis still the same tree that flourishes from that small beginning that was in Abraham's days, and has in the days of the gospel spread its branches over great parts of the earth and will fill the whole earth in due time; and at the end of the world shall be transplanted from an earthly soil into the paradise of God.</w:t>
      </w:r>
    </w:p>
    <w:p>
      <w:pPr>
        <w:pStyle w:val="BodyText"/>
      </w:pPr>
      <w:r>
        <w:t xml:space="preserve">2.</w:t>
      </w:r>
      <w:r>
        <w:rPr>
          <w:rStyle w:val="FootnoteReference"/>
        </w:rPr>
        <w:footnoteReference w:id="410"/>
      </w:r>
      <w:r>
        <w:t xml:space="preserve"> There accompanied this a more particular and full revelation and confirmation of the covenant of grace than ever had been before. There had before this been as it were two particular and solemn editions or institutions</w:t>
      </w:r>
      <w:r>
        <w:rPr>
          <w:rStyle w:val="FootnoteReference"/>
        </w:rPr>
        <w:footnoteReference w:id="411"/>
      </w:r>
      <w:r>
        <w:t xml:space="preserve"> of this covenant; one at the beginning of the first period, which was that whereby the covenant of grace was revealed to our first parents soon after the fall, the other at the beginning of the second period, whereby God solemnly renewed the covenant of grace with Noah and his family soon after the flood. And now there is a third at the beginning of the</w:t>
      </w:r>
      <w:r>
        <w:rPr>
          <w:rStyle w:val="FootnoteReference"/>
        </w:rPr>
        <w:footnoteReference w:id="412"/>
      </w:r>
      <w:r>
        <w:t xml:space="preserve"> third period at and after the calling of Abraham. And it now being much nearer the time of the coming of Christ than when the covenant of grace was first revealed,</w:t>
      </w:r>
    </w:p>
    <w:p>
      <w:pPr>
        <w:pStyle w:val="SourcePage"/>
      </w:pPr>
      <w:r>
        <w:t xml:space="preserve">[p. 161]</w:t>
      </w:r>
    </w:p>
    <w:p>
      <w:pPr>
        <w:pStyle w:val="BodyText"/>
      </w:pPr>
      <w:r>
        <w:t xml:space="preserve">being as was said before about halfway between the fall and the coming of Christ, the revelation of the covenant now was much more full than any that had been before. The covenant was now more particularly revealed; it was now revealed not only that Christ should be, but it was revealed to Abraham that he should be his seed. And it was now promised that all the families of the earth should be blessed in him. And God was much in the promises of this to Abraham; the first promise was when he first called him, Genesis 12:2 ["And I will make of thee a great nation, and I will bless thee … and thou shalt be a blessing"], and again the same promise was renewed after he came into the land of Canaan, Genesis 13, Genesis 14, etc., and the covenant was again renewed after Abraham had returned from the slaughter of the kings, Genesis 15:5–6, and again in the beginning of the Genesis 17, and again after the offering up Isaac, Genesis 22:16–18.</w:t>
      </w:r>
    </w:p>
    <w:p>
      <w:pPr>
        <w:pStyle w:val="BodyText"/>
      </w:pPr>
      <w:r>
        <w:t xml:space="preserve">And in this renewal of the covenant of grace with Abraham, several particulars concerning that covenant were revealed more fully than ever had been before, not only that Christ was to be of Abraham's seed but also the calling of the Gentiles and the</w:t>
      </w:r>
      <w:r>
        <w:rPr>
          <w:rStyle w:val="FootnoteReference"/>
        </w:rPr>
        <w:footnoteReference w:id="413"/>
      </w:r>
      <w:r>
        <w:t xml:space="preserve"> bringing all nations unto the church. A blessing [of] all the families of the earth was now made known. And then the great condition of the covenant of grace which is faith was now more fully made known, Genesis 15:5–6, "and he said unto him so shall thy seed be," and Abraham believed God and it was counted unto him for righteousness, which is much taken notice of in the New Testament, as that whence Abraham was called the father of them that believe.</w:t>
      </w:r>
      <w:r>
        <w:rPr>
          <w:rStyle w:val="FootnoteReference"/>
        </w:rPr>
        <w:footnoteReference w:id="414"/>
      </w:r>
    </w:p>
    <w:p>
      <w:pPr>
        <w:pStyle w:val="BodyText"/>
      </w:pPr>
      <w:r>
        <w:t xml:space="preserve">And there was now a further revelation of the covenant of grace, so there was a further confirmation of it by seals and pledges than ever it had been before, as particularly, God did now institute a certain sacrament to be a steady seal of this covenant in the visible church till Christ should come, viz. circumcision.</w:t>
      </w:r>
      <w:r>
        <w:rPr>
          <w:rStyle w:val="FootnoteReference"/>
        </w:rPr>
        <w:footnoteReference w:id="415"/>
      </w:r>
      <w:r>
        <w:t xml:space="preserve"> Circumcision was a seal of the covenant of grace as appears by the first institution, as we have an account of it in the Genesis 17. It there appears to be a seal of that covenant by which God promised to make him the father of many nations, as appears by the Genesis 17:5 compared with the Genesis 17:9–10. And we are expressly taught that it was a seal of the righteousness of faith, Romans 4:11; speaking</w:t>
      </w:r>
    </w:p>
    <w:p>
      <w:pPr>
        <w:pStyle w:val="SourcePage"/>
      </w:pPr>
      <w:r>
        <w:t xml:space="preserve">[p. 162]</w:t>
      </w:r>
    </w:p>
    <w:p>
      <w:pPr>
        <w:pStyle w:val="BodyText"/>
      </w:pPr>
      <w:r>
        <w:t xml:space="preserve">of Abraham, the Apostle says he received "the sign of circumcision a seal of the righteousness of faith."</w:t>
      </w:r>
    </w:p>
    <w:p>
      <w:pPr>
        <w:pStyle w:val="BodyText"/>
      </w:pPr>
      <w:r>
        <w:rPr>
          <w:rStyle w:val="FootnoteReference"/>
        </w:rPr>
        <w:footnoteReference w:id="416"/>
      </w:r>
      <w:r>
        <w:t xml:space="preserve">As I observed before, God called Abraham that his family a posterity might be kept separate from the rest of the world till Christ should come, which God saw to be necessary on the forementioned accounts, and the sacrament was the principal wall of separation; it chiefly distinguished Abraham's seed from the world and kept up a distinction and separation more than any other particular observance</w:t>
      </w:r>
      <w:r>
        <w:rPr>
          <w:rStyle w:val="FootnoteReference"/>
        </w:rPr>
        <w:footnoteReference w:id="417"/>
      </w:r>
      <w:r>
        <w:t xml:space="preserve"> whatsoever. And besides this there were other occasional seals, pledges, and confirmations that Abraham had of this covenant, as particularly God gave Abraham a remarkable pledge of the fulfillment of the promise he had made him in his victory [over] Chedorlaomer and the kings that were with [him]. Chedorlaomer seems to have been a great emperor that reigned over great part of the world at that day. And though he had his seat at Elam, which was not much if anything short of a thousand miles distant from the land of Canaan, yet he extended his empire so as to reign over many parts of the land of Canaan, as appears by the beginning of the Genesis 14:4–7, and so on.</w:t>
      </w:r>
      <w:r>
        <w:rPr>
          <w:rStyle w:val="FootnoteReference"/>
        </w:rPr>
        <w:footnoteReference w:id="418"/>
      </w:r>
      <w:r>
        <w:t xml:space="preserve"> 'Tis supposed by learned men that he was a king of the Assyrian empire at that day which</w:t>
      </w:r>
      <w:r>
        <w:rPr>
          <w:rStyle w:val="FootnoteReference"/>
        </w:rPr>
        <w:footnoteReference w:id="419"/>
      </w:r>
      <w:r>
        <w:t xml:space="preserve"> [had] been before begun by Nimrod at Babel.</w:t>
      </w:r>
    </w:p>
    <w:p>
      <w:pPr>
        <w:pStyle w:val="BodyText"/>
      </w:pPr>
      <w:r>
        <w:t xml:space="preserve">And that as it was the honor of kings in those days themselves to build new cities to make the seat of their empire, as appears by the Genesis 10:10–12 verses, so 'tis conjectured that he had gone forth and built him a city in Elam and made that his seat,</w:t>
      </w:r>
      <w:r>
        <w:rPr>
          <w:rStyle w:val="FootnoteReference"/>
        </w:rPr>
        <w:footnoteReference w:id="420"/>
      </w:r>
      <w:r>
        <w:t xml:space="preserve"> and that those other kings that came with him were his deputies in the several cities and countries where they reigned. But yet as mighty an empire as he had, and as great an army as he now came with into the land where Abraham was, yet Abraham only with his trained servants that were born in his own house conquered, subdued and baffled this mighty emperor and the kings that were with him and all their army.</w:t>
      </w:r>
      <w:r>
        <w:rPr>
          <w:rStyle w:val="FootnoteReference"/>
        </w:rPr>
        <w:footnoteReference w:id="421"/>
      </w:r>
      <w:r>
        <w:t xml:space="preserve"> This he received of God as a pledge of what he had promised, viz. the victory that Christ his seed should obtain over all</w:t>
      </w:r>
    </w:p>
    <w:p>
      <w:pPr>
        <w:pStyle w:val="SourcePage"/>
      </w:pPr>
      <w:r>
        <w:t xml:space="preserve">[p. 163]</w:t>
      </w:r>
    </w:p>
    <w:p>
      <w:pPr>
        <w:pStyle w:val="BodyText"/>
      </w:pPr>
      <w:r>
        <w:t xml:space="preserve">nations of the earth whereby he should possess the gate of his enemies. 'Tis plainly spoken of as such in the Isaiah 41. In that chapter is foretold the future glorious victory the church shall obtain over the nations of the world. As you may see in the Isaiah 41:1, Isaiah 41:10, and Isaiah 41:15 and so throughout the chapter.</w:t>
      </w:r>
      <w:r>
        <w:rPr>
          <w:rStyle w:val="FootnoteReference"/>
        </w:rPr>
        <w:footnoteReference w:id="422"/>
      </w:r>
      <w:r>
        <w:t xml:space="preserve"> But here this victory of Abraham over such a great emperor and his mighty forces</w:t>
      </w:r>
      <w:r>
        <w:rPr>
          <w:rStyle w:val="FootnoteReference"/>
        </w:rPr>
        <w:footnoteReference w:id="423"/>
      </w:r>
      <w:r>
        <w:t xml:space="preserve"> is spoken of as a pledge and earnest of this as you may see [in the] Isaiah 41:2–3: ["Who raised up the righteous man from the east, called him to his foot, gave the nations before him, and made him rule over kings? He gave them as the dust to his sword, and as driven stubble to his bow. He pursued them, and passed safely; even by the way that he had not gone with his feet"].</w:t>
      </w:r>
      <w:r>
        <w:rPr>
          <w:rStyle w:val="FootnoteReference"/>
        </w:rPr>
        <w:footnoteReference w:id="424"/>
      </w:r>
    </w:p>
    <w:p>
      <w:pPr>
        <w:pStyle w:val="BodyText"/>
      </w:pPr>
      <w:r>
        <w:t xml:space="preserve">Another remarkable confirmation Abraham received of the covenant of grace was when he returned from the slaughter of the kings, when Melchizedek, the king of Salem, the priest of the most high God, that great type of Christ, met him and blessed him and brought forth bread and wine.</w:t>
      </w:r>
      <w:r>
        <w:rPr>
          <w:rStyle w:val="FootnoteReference"/>
        </w:rPr>
        <w:footnoteReference w:id="425"/>
      </w:r>
      <w:r>
        <w:t xml:space="preserve"> The bread and wine signified the same blessings of the covenant of grace that the bread and wine does in the sacrament of the Lord's Supper. So that as Abraham had a seal of the covenant in circumcision that was equivalent to baptism, so now he had a seal of it equivalent to the Lord's Supper. And Melchizedek's coming to meet him with such a seal of the covenant of grace on the occasion of this victory of his over the kings of the earth, confirms that that victory was a pledge of God's fulfillment of the same covenant; for that is the mercy that Melchizedek with his bread and wine takes notice of, as you may see by what he says, Genesis 14:19–20.</w:t>
      </w:r>
      <w:r>
        <w:rPr>
          <w:rStyle w:val="FootnoteReference"/>
        </w:rPr>
        <w:footnoteReference w:id="426"/>
      </w:r>
    </w:p>
    <w:p>
      <w:pPr>
        <w:pStyle w:val="BodyText"/>
      </w:pPr>
      <w:r>
        <w:t xml:space="preserve">Another confirmation that God gave Abraham of the covenant of grace, was the vision that he had in the deep sleep that fell upon him</w:t>
      </w:r>
      <w:r>
        <w:rPr>
          <w:rStyle w:val="FootnoteReference"/>
        </w:rPr>
        <w:footnoteReference w:id="427"/>
      </w:r>
      <w:r>
        <w:t xml:space="preserve"> of the smoking furnace and burning lamp that passed between</w:t>
      </w:r>
    </w:p>
    <w:p>
      <w:pPr>
        <w:pStyle w:val="SourcePage"/>
      </w:pPr>
      <w:r>
        <w:t xml:space="preserve">[p. 164]</w:t>
      </w:r>
    </w:p>
    <w:p>
      <w:pPr>
        <w:pStyle w:val="BodyText"/>
      </w:pPr>
      <w:r>
        <w:t xml:space="preserve">the parts of his sacrifice as in the latter part of the Genesis 15.</w:t>
      </w:r>
      <w:r>
        <w:rPr>
          <w:rStyle w:val="FootnoteReference"/>
        </w:rPr>
        <w:footnoteReference w:id="428"/>
      </w:r>
      <w:r>
        <w:t xml:space="preserve"> The sacrifice, as all sacrifices do, signified the sacrifice of Christ; the smoking furnace that passed through the midst of that sacrifice first signified the sufferings of Christ, but the burning lamp that followed which shone with a clear bright light signifies the glory that followed Christ's sufferings and was procured by 'em.</w:t>
      </w:r>
    </w:p>
    <w:p>
      <w:pPr>
        <w:pStyle w:val="BodyText"/>
      </w:pPr>
      <w:r>
        <w:t xml:space="preserve">Another remarkable confirmation and promise God gave Abraham of the covenant of grace was his giving of the child of whom Christ was to come in his old age;</w:t>
      </w:r>
      <w:r>
        <w:rPr>
          <w:rStyle w:val="FootnoteReference"/>
        </w:rPr>
        <w:footnoteReference w:id="429"/>
      </w:r>
      <w:r>
        <w:t xml:space="preserve"> this is spoken of as such in Scripture, Hebrews 11:11–12 ["Through faith also Sara herself received strength to conceive seed … because she judged him faithful who had promised.… Therefore sprang there even of one … so many as the stars of the sky"], and so Romans 4:18 etc. [Abraham "against hope believed … that he might become the father of many nations.… He considered not his own body … neither yet the deadness of Sara's womb … but was strong in faith"].</w:t>
      </w:r>
      <w:r>
        <w:rPr>
          <w:rStyle w:val="FootnoteReference"/>
        </w:rPr>
        <w:footnoteReference w:id="430"/>
      </w:r>
    </w:p>
    <w:p>
      <w:pPr>
        <w:pStyle w:val="BodyText"/>
      </w:pPr>
      <w:r>
        <w:t xml:space="preserve">Again, another remarkable pledge that God gave Abraham of the fulfillment of the covenant of grace was his delivering Isaac after he was laid upon the wood of the sacrifice to be slain.</w:t>
      </w:r>
      <w:r>
        <w:rPr>
          <w:rStyle w:val="FootnoteReference"/>
        </w:rPr>
        <w:footnoteReference w:id="431"/>
      </w:r>
      <w:r>
        <w:t xml:space="preserve"> This was a confirmation of Abraham's faith in the promise that God had made of [the] choice of Isaac's posterity, and was a representation of the resurrection of Christ, as you may see, Hebrews 11:17–19 ["By faith Abraham … offered up his only begotten son.… Accounting that God was able to raise him up, even from the dead; from whence also he received him in a figure"].</w:t>
      </w:r>
      <w:r>
        <w:rPr>
          <w:rStyle w:val="FootnoteReference"/>
        </w:rPr>
        <w:footnoteReference w:id="432"/>
      </w:r>
      <w:r>
        <w:t xml:space="preserve"> And because this was given as a confirmation of the covenant of grace, therefore God renewed that covenant with Abraham on this occasion, as you may see, Genesis 22:15 etc. ["Because thou hast done this thing … I will multiply thy seed as</w:t>
      </w:r>
    </w:p>
    <w:p>
      <w:pPr>
        <w:pStyle w:val="SourcePage"/>
      </w:pPr>
      <w:r>
        <w:t xml:space="preserve">[p. 165]</w:t>
      </w:r>
    </w:p>
    <w:p>
      <w:pPr>
        <w:pStyle w:val="BodyText"/>
      </w:pPr>
      <w:r>
        <w:t xml:space="preserve">the stars of the heaven … and in thy seed shall all the nations of the earth be blessed"].</w:t>
      </w:r>
      <w:r>
        <w:rPr>
          <w:rStyle w:val="FootnoteReference"/>
        </w:rPr>
        <w:footnoteReference w:id="433"/>
      </w:r>
    </w:p>
    <w:p>
      <w:pPr>
        <w:pStyle w:val="BodyText"/>
      </w:pPr>
      <w:r>
        <w:t xml:space="preserve">Thus you see how much more fully the covenant of grace was revealed and confirmed in Abraham's time than ever it had been before, by means of which Abraham seems to have had a more clear understanding and sight of Christ the great Redeemer and the future things that were to be accomplished by him than any of the saints that had gone before had had. And therefore Christ takes notice of it that Abraham "rejoiced to see" his "day and he saw it and was glad," John 8:56.</w:t>
      </w:r>
      <w:r>
        <w:rPr>
          <w:rStyle w:val="FootnoteReference"/>
        </w:rPr>
        <w:footnoteReference w:id="434"/>
      </w:r>
      <w:r>
        <w:t xml:space="preserve"> So great an advance did it please God now to make in this building which he had been carrying on from the beginning of the world.</w:t>
      </w:r>
    </w:p>
    <w:p>
      <w:pPr>
        <w:pStyle w:val="BodyText"/>
      </w:pPr>
      <w:r>
        <w:t xml:space="preserve">3.</w:t>
      </w:r>
      <w:r>
        <w:rPr>
          <w:rStyle w:val="FootnoteReference"/>
        </w:rPr>
        <w:footnoteReference w:id="435"/>
      </w:r>
      <w:r>
        <w:t xml:space="preserve"> The next thing that I would take notice of here is God's wonderfully preserving the patriarchs for so long a time in the midst of the wicked inhabitants of Canaan and from all other enemies. The patriarchs Abraham, Isaac, and Jacob were those of whom Christ was to proceed; and they were now separated from the world that in them his church might be upheld. Therefore in preserving them the great design</w:t>
      </w:r>
      <w:r>
        <w:rPr>
          <w:rStyle w:val="FootnoteReference"/>
        </w:rPr>
        <w:footnoteReference w:id="436"/>
      </w:r>
      <w:r>
        <w:t xml:space="preserve"> of redemption was upheld and carried on; he preserved them and kept the inhabitants of the land where they sojourned from destroying them, which was a remarkable dispensation of providence, for the inhabitants of the land were at this day exceeding wicked, though they grew more wicked afterwards. This appears by Genesis 15:16, "In the fourth generation they shall come hither again; for the iniquity of the Amorites is not yet full." As much as to say, though it be very great, yet it is not full.</w:t>
      </w:r>
    </w:p>
    <w:p>
      <w:pPr>
        <w:pStyle w:val="BodyText"/>
      </w:pPr>
      <w:r>
        <w:t xml:space="preserve">And their great wickedness also appears by Abraham and Isaac's aversion to their children's marrying any of the daughters of the land. Abraham when he was old could not be content till he had made his servant swear ["that thou shalt not take a wife unto my son of the daughters of the Canaanites"].</w:t>
      </w:r>
      <w:r>
        <w:rPr>
          <w:rStyle w:val="FootnoteReference"/>
        </w:rPr>
        <w:footnoteReference w:id="437"/>
      </w:r>
      <w:r>
        <w:t xml:space="preserve"> And Isaac and Rebecca were content</w:t>
      </w:r>
    </w:p>
    <w:p>
      <w:pPr>
        <w:pStyle w:val="SourcePage"/>
      </w:pPr>
      <w:r>
        <w:t xml:space="preserve">[p. 166]</w:t>
      </w:r>
    </w:p>
    <w:p>
      <w:pPr>
        <w:pStyle w:val="BodyText"/>
      </w:pPr>
      <w:r>
        <w:t xml:space="preserve">to send away Jacob [to find a wife].</w:t>
      </w:r>
      <w:r>
        <w:rPr>
          <w:rStyle w:val="FootnoteReference"/>
        </w:rPr>
        <w:footnoteReference w:id="438"/>
      </w:r>
      <w:r>
        <w:t xml:space="preserve"> And when Esau married some of the daughters of the land we are told they were "a grief of mind" to [Isaac and Rebecca].</w:t>
      </w:r>
      <w:r>
        <w:rPr>
          <w:rStyle w:val="FootnoteReference"/>
        </w:rPr>
        <w:footnoteReference w:id="439"/>
      </w:r>
      <w:r>
        <w:t xml:space="preserve"> Another argument of their great wickedness was the instances we have in the inhabitants of Sodom and Gomorrah, Admah [and Zeboim]</w:t>
      </w:r>
      <w:r>
        <w:rPr>
          <w:rStyle w:val="FootnoteReference"/>
        </w:rPr>
        <w:footnoteReference w:id="440"/>
      </w:r>
      <w:r>
        <w:t xml:space="preserve"> which were some of 'em, though they were probably distinguishingly wicked.</w:t>
      </w:r>
      <w:r>
        <w:rPr>
          <w:rStyle w:val="FootnoteReference"/>
        </w:rPr>
        <w:footnoteReference w:id="441"/>
      </w:r>
      <w:r>
        <w:t xml:space="preserve"> And they being thus wicked were likely to have the most bitter enmity against these holy men, agreeable to what was declared at first, "I will put enmity … [between thy seed and her seed]."</w:t>
      </w:r>
      <w:r>
        <w:rPr>
          <w:rStyle w:val="FootnoteReference"/>
        </w:rPr>
        <w:footnoteReference w:id="442"/>
      </w:r>
      <w:r>
        <w:t xml:space="preserve"> Their holy lives were a continual condemnation of their wickedness. And besides, it could not be otherwise but that they must be much in reproving their wickedness, as we find Lot was in Sodom who, we are told, "vexed his righteous soul [from day to day with their unlawful deeds],"</w:t>
      </w:r>
      <w:r>
        <w:rPr>
          <w:rStyle w:val="FootnoteReference"/>
        </w:rPr>
        <w:footnoteReference w:id="443"/>
      </w:r>
      <w:r>
        <w:t xml:space="preserve"> and was a preacher of righteousness to 'em.</w:t>
      </w:r>
    </w:p>
    <w:p>
      <w:pPr>
        <w:pStyle w:val="BodyText"/>
      </w:pPr>
      <w:r>
        <w:t xml:space="preserve">And they were the more exposed to 'em, being strangers and sojourners in the land and having no inheritance there, as yet men are more apt to find fault with strangers and to be irritated by anything in them that offends, as they were with Lot in Sodom. He very gently reproved their wickedness, and they say upon it, that's one fellow "came in to sojourn and he will needs be" a ruler and a judge, and threatened what they would do to him.</w:t>
      </w:r>
      <w:r>
        <w:rPr>
          <w:rStyle w:val="FootnoteReference"/>
        </w:rPr>
        <w:footnoteReference w:id="444"/>
      </w:r>
      <w:r>
        <w:t xml:space="preserve"> But God wonderfully preserved Abraham and Lot and Isaac and</w:t>
      </w:r>
      <w:r>
        <w:rPr>
          <w:rStyle w:val="FootnoteReference"/>
        </w:rPr>
        <w:footnoteReference w:id="445"/>
      </w:r>
      <w:r>
        <w:t xml:space="preserve"> Jacob and their families amongst 'em, though they were few in number and might quickly have destroyed them, which is taken notice of as a wonderful instance of God's preserving mercy towards his church in Psalms 105:12 etc. Speaking there of Abraham, Isaac and Jacob, the psalmist says ["When they were but a few men in number; yea, very few, and strangers in it. When they went from one nation to another, from one kingdom to another people, he suffered no man to do them wrong; yea, he reproved kings for their sakes, saying, Touch not mine anointed, and do my prophets no harm"].</w:t>
      </w:r>
      <w:r>
        <w:rPr>
          <w:rStyle w:val="FootnoteReference"/>
        </w:rPr>
        <w:footnoteReference w:id="446"/>
      </w:r>
      <w:r>
        <w:t xml:space="preserve"> This preservation was in</w:t>
      </w:r>
    </w:p>
    <w:p>
      <w:pPr>
        <w:pStyle w:val="SourcePage"/>
      </w:pPr>
      <w:r>
        <w:t xml:space="preserve">[p. 167]</w:t>
      </w:r>
    </w:p>
    <w:p>
      <w:pPr>
        <w:pStyle w:val="BodyText"/>
      </w:pPr>
      <w:r>
        <w:t xml:space="preserve">some instances especially very remarkable, instances that we have an account of wherein the people of the land were greatly irritated and provoked, as they were by Simeon and Levi's treatment of the Shechemites, as you may [see in] Genesis 34:30 ["And Jacob said to Simeon and Levi, Ye have troubled me to make me to stink among the inhabitants of the land … they shall gather themselves together against me"]. God then strangely preserved Jacob and his family, restraining the provoked people by an unusual terror on their minds, as you may see, Genesis 35:5 ["and the terror of God was upon the cities that were round about them, and they did not pursue after the sons of Jacob"].</w:t>
      </w:r>
    </w:p>
    <w:p>
      <w:pPr>
        <w:pStyle w:val="BodyText"/>
      </w:pPr>
      <w:r>
        <w:t xml:space="preserve">And God's preserving them not only from the Canaanites is here to be taken notice of, but his preserving them from all others that</w:t>
      </w:r>
      <w:r>
        <w:rPr>
          <w:rStyle w:val="FootnoteReference"/>
        </w:rPr>
        <w:footnoteReference w:id="447"/>
      </w:r>
      <w:r>
        <w:t xml:space="preserve"> intended to mischief; as that preserving Jacob and his company when pursued by Laban, full of rage and a disposition to overtake him as an enemy, God met him and rebuked and bid him, "Take heed that thou [speak not to Jacob either good or bad]."</w:t>
      </w:r>
      <w:r>
        <w:rPr>
          <w:rStyle w:val="FootnoteReference"/>
        </w:rPr>
        <w:footnoteReference w:id="448"/>
      </w:r>
      <w:r>
        <w:t xml:space="preserve"> And how wonderfully did he also preserve him from Esau his brother when he came forth with an army with a full design to cut him off; how did God in answer to his prayer when he wrestled with Christ at Penuel wonderfully turn Esau's heart and make him, instead of meeting him as an enemy with slaughter and destruction, to meet him as a friend and brother doing him no harm.</w:t>
      </w:r>
      <w:r>
        <w:rPr>
          <w:rStyle w:val="FootnoteReference"/>
        </w:rPr>
        <w:footnoteReference w:id="449"/>
      </w:r>
      <w:r>
        <w:t xml:space="preserve"> And thence were this handful, this little root that had the blessing of the Redeemer in it, preserved in the midst of enemies and dangers; which was not unlike to the preserving the ark in the midst of the tempestuous deluge.</w:t>
      </w:r>
    </w:p>
    <w:p>
      <w:pPr>
        <w:pStyle w:val="BodyText"/>
      </w:pPr>
      <w:r>
        <w:t xml:space="preserve">4.</w:t>
      </w:r>
      <w:r>
        <w:rPr>
          <w:rStyle w:val="FootnoteReference"/>
        </w:rPr>
        <w:footnoteReference w:id="450"/>
      </w:r>
      <w:r>
        <w:t xml:space="preserve"> The next thing I would mention is the awful destruction of Sodom and Gomorrah and the other neighboring cities.</w:t>
      </w:r>
      <w:r>
        <w:rPr>
          <w:rStyle w:val="FootnoteReference"/>
        </w:rPr>
        <w:footnoteReference w:id="451"/>
      </w:r>
      <w:r>
        <w:t xml:space="preserve"> This tended to promote the great design and work that is the subject of my present discourse two ways. It did so as it tended powerfully to restrain the inhabitants of the land from injuring those holy strangers that God had brought to sojourn amongst them. Lot was one of those strangers. He came into the land with Abraham, and Sodom was destroyed for their abusive disregard of Lot the preacher of righteousness that God</w:t>
      </w:r>
    </w:p>
    <w:p>
      <w:pPr>
        <w:pStyle w:val="SourcePage"/>
      </w:pPr>
      <w:r>
        <w:t xml:space="preserve">[p. 168]</w:t>
      </w:r>
    </w:p>
    <w:p>
      <w:pPr>
        <w:pStyle w:val="BodyText"/>
      </w:pPr>
      <w:r>
        <w:t xml:space="preserve">had sent among 'em. And their destruction came upon them, even just upon their committing a most injurious and abominable insult on Lot and the other strangers that were come to his house, even those angels whom they probably took to be some of Lot's former acquaintance come from the country that he came from to visit him. They in a most outrageous manner, beset Lot's house intending a monstrous abuse and act of violence on those strangers that were come thither, and threatening to serve Lot worse than them.</w:t>
      </w:r>
      <w:r>
        <w:rPr>
          <w:rStyle w:val="FootnoteReference"/>
        </w:rPr>
        <w:footnoteReference w:id="452"/>
      </w:r>
    </w:p>
    <w:p>
      <w:pPr>
        <w:pStyle w:val="BodyText"/>
      </w:pPr>
      <w:r>
        <w:t xml:space="preserve">But in the midst of this God smote them. And the next morning the city and the country about was overthrown in a terrible storm of fire and brimstone,</w:t>
      </w:r>
      <w:r>
        <w:rPr>
          <w:rStyle w:val="FootnoteReference"/>
        </w:rPr>
        <w:footnoteReference w:id="453"/>
      </w:r>
      <w:r>
        <w:t xml:space="preserve"> which dreadful destruction, as it was in the sight of the rest of the inhabitants of the land, therefore greatly tended to restrain them from hurting those holy strangers any more. It doubtless struck a dread and terror in their minds and made 'em afraid to hurt 'em, and probably was one principal means to restrain them and preserve the patriarchs. And when that reason is given why the inhabitants of the land did not pursue after Jacob when they were so provoked by the destruction of the Shechemites, viz. "that the terror of the Lord was upon [them],"</w:t>
      </w:r>
      <w:r>
        <w:rPr>
          <w:rStyle w:val="FootnoteReference"/>
        </w:rPr>
        <w:footnoteReference w:id="454"/>
      </w:r>
      <w:r>
        <w:t xml:space="preserve"> 'tis very likely that this was the terror that was set [upon them]; hence you [see] they were made the remembrance, the amazing destruction of ‹Sodom and Gomorrah› that came upon 'em upon their abusive treatment of Lot. And so [they] durst not hurt Jacob and his family though they were so much provoked to it.</w:t>
      </w:r>
    </w:p>
    <w:p>
      <w:pPr>
        <w:pStyle w:val="BodyText"/>
      </w:pPr>
      <w:r>
        <w:t xml:space="preserve">Another way that this awful destruction tended to promote this great affair of redemption was that hereby God did remarkably exhibit the terrors of his law to make men sensible of their need of redeeming mercy. The Work of Redemption never was carried on without this; the law from the beginning is made use of as a schoolmaster to bring</w:t>
      </w:r>
      <w:r>
        <w:rPr>
          <w:rStyle w:val="FootnoteReference"/>
        </w:rPr>
        <w:footnoteReference w:id="455"/>
      </w:r>
      <w:r>
        <w:t xml:space="preserve"> men to Christ.</w:t>
      </w:r>
      <w:r>
        <w:rPr>
          <w:rStyle w:val="FootnoteReference"/>
        </w:rPr>
        <w:footnoteReference w:id="456"/>
      </w:r>
      <w:r>
        <w:t xml:space="preserve"> But under the Old Testament there was much more need of some visible and sensible manifestations of God's wrath against sin than in these days of the gospel, since a future state and the eternal misery of hell is more clearly revealed, and since the awful justice of God against the sins of men has been so wonderfully displayed in the sufferings of Christ. And therefore the revelations</w:t>
      </w:r>
    </w:p>
    <w:p>
      <w:pPr>
        <w:pStyle w:val="SourcePage"/>
      </w:pPr>
      <w:r>
        <w:t xml:space="preserve">[p. 169]</w:t>
      </w:r>
    </w:p>
    <w:p>
      <w:pPr>
        <w:pStyle w:val="BodyText"/>
      </w:pPr>
      <w:r>
        <w:t xml:space="preserve">that God gave of himself in those days used to be accompanied with much more terror than in these days of the gospel. So when God appeared at Mount Sinai to give the law it was with "thunders and [lightnings, and a thick cloud upon the mount … so that all the people that was in the camp trembled]."</w:t>
      </w:r>
      <w:r>
        <w:rPr>
          <w:rStyle w:val="FootnoteReference"/>
        </w:rPr>
        <w:footnoteReference w:id="457"/>
      </w:r>
      <w:r>
        <w:t xml:space="preserve"> But some external awful manifestations of God's wrath against sin were on some accounts especially necessary before the giving the law, and therefore before the flood the terrors of the law handed by tradition from Adam forward. Adam lived 930 years himself to tell the church of God's awful threatenings denounced in the covenant made with him, and how dreadful the consequences of the fall were as he was an eye witness and subject. And others that conversed with</w:t>
      </w:r>
      <w:r>
        <w:rPr>
          <w:rStyle w:val="FootnoteReference"/>
        </w:rPr>
        <w:footnoteReference w:id="458"/>
      </w:r>
      <w:r>
        <w:t xml:space="preserve"> Adam lived till the flood. And then the destruction of the wicked world by the flood served to exhibit the terrors of the law and manifest the wrath of God against sin and so to make ['em] sensible of the absolute necessity of redeeming mercy. And some that saw the flood were alive in Abraham's time. But this was now in a great measure forgotten. Now therefore God was pleased again in a most amazing manner to show his wrath against sin in the destruction of those cities, which was after such a manner as to be the liveliest image of hell of anything that ever had been. And therefore the apostle Jude says, they suffer the vengeance of eternal fire, Jude 7.</w:t>
      </w:r>
      <w:r>
        <w:rPr>
          <w:rStyle w:val="FootnoteReference"/>
        </w:rPr>
        <w:footnoteReference w:id="459"/>
      </w:r>
      <w:r>
        <w:t xml:space="preserve"> God rained storms, fire and brimstone upon them. The way that they were destroyed probably was by thick flashes of lightning; the streams of brimstone were so thick as to burn up all these cities so that they perished in the flames of divine wrath.</w:t>
      </w:r>
      <w:r>
        <w:rPr>
          <w:rStyle w:val="FootnoteReference"/>
        </w:rPr>
        <w:footnoteReference w:id="460"/>
      </w:r>
      <w:r>
        <w:t xml:space="preserve"> By this might be seen the dreadful wrath of God against the ungodliness and unrighteousness of men, which tended</w:t>
      </w:r>
      <w:r>
        <w:rPr>
          <w:rStyle w:val="FootnoteReference"/>
        </w:rPr>
        <w:footnoteReference w:id="461"/>
      </w:r>
      <w:r>
        <w:t xml:space="preserve"> to show men the necessity of redemption and so to promote and carry on that great work.</w:t>
      </w:r>
    </w:p>
    <w:p>
      <w:pPr>
        <w:pStyle w:val="BodyText"/>
      </w:pPr>
      <w:r>
        <w:t xml:space="preserve">5</w:t>
      </w:r>
      <w:r>
        <w:rPr>
          <w:rStyle w:val="FootnoteReference"/>
        </w:rPr>
        <w:footnoteReference w:id="462"/>
      </w:r>
      <w:r>
        <w:t xml:space="preserve"> God again renewed and confirmed the covenant of grace to Isaac and Jacob. He did so to Isaac as you may see, Genesis 26:3–4, "and I will perform the oath which I sware unto Abraham thy father; and I will make thy seed to multiply as the stars of heaven, and will give unto thy seed all these countries; and in thy seed shall all the</w:t>
      </w:r>
    </w:p>
    <w:p>
      <w:pPr>
        <w:pStyle w:val="SourcePage"/>
      </w:pPr>
      <w:r>
        <w:t xml:space="preserve">[p. 170]</w:t>
      </w:r>
    </w:p>
    <w:p>
      <w:pPr>
        <w:pStyle w:val="BodyText"/>
      </w:pPr>
      <w:r>
        <w:t xml:space="preserve">nations of the world [be blessed]." And then after this to Jacob, first in Isaac's blessing of him wherein he acted and spoke by extraordinary divine direction. In that blessing, the blessings of the covenant of grace were established with Jacob and his seed, as Genesis 27:29, "Let people serve thee, and nations bow down to thee: be lord over thy brethren and let thy mother's sons bow down to thee: cursed be every one that curseth thee, and blessed be he that blesseth thee." And therefore Esau in missing of this blessing, he missed of being blessed as the heir of the benefits of the covenant of grace.</w:t>
      </w:r>
    </w:p>
    <w:p>
      <w:pPr>
        <w:pStyle w:val="BodyText"/>
      </w:pPr>
      <w:r>
        <w:t xml:space="preserve">This covenant was again renewed and confirmed to Jacob at Bethel in his vision of the ladder which reached to heaven; which ladder was a symbol of the way of salvation</w:t>
      </w:r>
      <w:r>
        <w:rPr>
          <w:rStyle w:val="FootnoteReference"/>
        </w:rPr>
        <w:footnoteReference w:id="463"/>
      </w:r>
      <w:r>
        <w:t xml:space="preserve"> by Christ.</w:t>
      </w:r>
      <w:r>
        <w:rPr>
          <w:rStyle w:val="FootnoteReference"/>
        </w:rPr>
        <w:footnoteReference w:id="464"/>
      </w:r>
      <w:r>
        <w:t xml:space="preserve"> For the stone that Jacob rested upon was a type of Christ, the stone of Israel which the spiritual Israel or Jacob rests upon, as is evident because this stone was on this occasion anointed and was made use of as an altar. But we know that Christ is the anointed of God and is the only true altar of God. While Jacob was resting on this stone and saw this ladder, God appears to him as his covenant God and renews the covenant of grace with him, as Genesis 28:14, "And thy seed shall be as the dust of the earth, and thou shall spread abroad to the west, and to the east, to the north, and to the south; and in thee and in thy seed shall all the families [of the earth be blessed]." And Jacob had another remarkable confirmation of this covenant at Penuel, where he wrestled with God and prevailed, where Christ appeared to him in an human form, in the form of that nature [in which he was to appear].</w:t>
      </w:r>
      <w:r>
        <w:rPr>
          <w:rStyle w:val="FootnoteReference"/>
        </w:rPr>
        <w:footnoteReference w:id="465"/>
      </w:r>
      <w:r>
        <w:t xml:space="preserve"> And God renewed his covenant with him again after he was come out of Padan Aram and was come upon to Bethel to the stone that he had rested on, and where he had the vision of the ladder, as you may see, Genesis 35:10 etc.</w:t>
      </w:r>
    </w:p>
    <w:p>
      <w:pPr>
        <w:pStyle w:val="BodyText"/>
      </w:pPr>
      <w:r>
        <w:t xml:space="preserve">Thus the covenant of grace was now often renewed, much oftener than it had been before.</w:t>
      </w:r>
      <w:r>
        <w:rPr>
          <w:rStyle w:val="FootnoteReference"/>
        </w:rPr>
        <w:footnoteReference w:id="466"/>
      </w:r>
      <w:r>
        <w:t xml:space="preserve"> The light of the gospel now began to shine much brighter as the time drew nearer that Christ should come.</w:t>
      </w:r>
    </w:p>
    <w:p>
      <w:pPr>
        <w:pStyle w:val="BodyText"/>
      </w:pPr>
      <w:r>
        <w:t xml:space="preserve">6.</w:t>
      </w:r>
      <w:r>
        <w:rPr>
          <w:rStyle w:val="FootnoteReference"/>
        </w:rPr>
        <w:footnoteReference w:id="467"/>
      </w:r>
      <w:r>
        <w:t xml:space="preserve"> The next thing I would observe is God's so remarkably preserving</w:t>
      </w:r>
    </w:p>
    <w:p>
      <w:pPr>
        <w:pStyle w:val="SourcePage"/>
      </w:pPr>
      <w:r>
        <w:t xml:space="preserve">[p. 171]</w:t>
      </w:r>
    </w:p>
    <w:p>
      <w:pPr>
        <w:pStyle w:val="BodyText"/>
      </w:pPr>
      <w:r>
        <w:t xml:space="preserve">the family of which Christ was to proceed from perishing by famine by the instrumentality of Joseph.</w:t>
      </w:r>
      <w:r>
        <w:rPr>
          <w:rStyle w:val="FootnoteReference"/>
        </w:rPr>
        <w:footnoteReference w:id="468"/>
      </w:r>
      <w:r>
        <w:t xml:space="preserve"> When there was a seven years' famine approaching, God was pleased by a wonderful providence to send Joseph into Egypt there to provide for and feed Jacob and his family, to keep the holy seed alive which otherwise must have perished. Joseph was sent into Egypt for that end, as he observes, Genesis 50:20, "But as for you, ye thought evil against me; but God meant it unto good, to save much people alive."</w:t>
      </w:r>
      <w:r>
        <w:rPr>
          <w:rStyle w:val="FootnoteReference"/>
        </w:rPr>
        <w:footnoteReference w:id="469"/>
      </w:r>
      <w:r>
        <w:t xml:space="preserve"> How often had this holy root that had the future branch of righteousness, the glorious Redeemer, in it been in danger of being destroyed, but [for] God wonderfully preserving [it].</w:t>
      </w:r>
    </w:p>
    <w:p>
      <w:pPr>
        <w:pStyle w:val="BodyText"/>
      </w:pPr>
      <w:r>
        <w:t xml:space="preserve">This salvation of the house of Israel by Joseph was upon many accounts very much a semblance of the salvation of Christ. The children of Jacob or Israel were saved by Joseph their near kinsman and brother from perishing by famine,</w:t>
      </w:r>
      <w:r>
        <w:rPr>
          <w:rStyle w:val="FootnoteReference"/>
        </w:rPr>
        <w:footnoteReference w:id="470"/>
      </w:r>
      <w:r>
        <w:t xml:space="preserve"> as he that saves the souls of the spiritual Israel from spiritual famine is their near kinsman and one that is not ashamed [to] call them brethren.</w:t>
      </w:r>
      <w:r>
        <w:rPr>
          <w:rStyle w:val="FootnoteReference"/>
        </w:rPr>
        <w:footnoteReference w:id="471"/>
      </w:r>
      <w:r>
        <w:t xml:space="preserve"> Joseph was a brother that they had hated and sold and as it were killed, for they had designed to kill him; so Christ is one that we naturally hate and by our wicked lives have sold for the vain things of the world and that by our sins we have slain. Joseph was first in a state of humiliation. He was a servant as Christ appeared in the form of a servant, and then was cast into a dungeon as Christ descended into the grave. And then when he rose out of the dungeon he was in a state of great exaltation at the king's right hand as his deputy to reign over all his kingdom, to provide food to preserve life.</w:t>
      </w:r>
      <w:r>
        <w:rPr>
          <w:rStyle w:val="FootnoteReference"/>
        </w:rPr>
        <w:footnoteReference w:id="472"/>
      </w:r>
      <w:r>
        <w:t xml:space="preserve"> And being in this state of exaltation he dispensed food to his brethren and so gives them life, as Christ was exalted at God's right hand to be a prince and savior to his brethren and received gifts for man, even for the rebellious and them that hated and had sold him.</w:t>
      </w:r>
    </w:p>
    <w:p>
      <w:pPr>
        <w:pStyle w:val="BodyText"/>
      </w:pPr>
      <w:r>
        <w:rPr>
          <w:rStyle w:val="FootnoteReference"/>
        </w:rPr>
        <w:footnoteReference w:id="473"/>
      </w:r>
      <w:r>
        <w:t xml:space="preserve">7.</w:t>
      </w:r>
      <w:r>
        <w:rPr>
          <w:rStyle w:val="FootnoteReference"/>
        </w:rPr>
        <w:footnoteReference w:id="474"/>
      </w:r>
      <w:r>
        <w:t xml:space="preserve"> After this there was a prophecy given forth of Christ on some accounts more particular than ever had been before, even that which</w:t>
      </w:r>
    </w:p>
    <w:p>
      <w:pPr>
        <w:pStyle w:val="SourcePage"/>
      </w:pPr>
      <w:r>
        <w:t xml:space="preserve">[p. 172]</w:t>
      </w:r>
    </w:p>
    <w:p>
      <w:pPr>
        <w:pStyle w:val="BodyText"/>
      </w:pPr>
      <w:r>
        <w:t xml:space="preserve">was in Jacob's blessing his son Judah.</w:t>
      </w:r>
      <w:r>
        <w:rPr>
          <w:rStyle w:val="FootnoteReference"/>
        </w:rPr>
        <w:footnoteReference w:id="475"/>
      </w:r>
      <w:r>
        <w:t xml:space="preserve"> This was more particular than ever had been before as it more particularly showed of whose posterity he was to be. When God called Abraham it was revealed that he was to be of Abraham's posterity. Before we have no account of any revelation concerning Christ's pedigree confined to narrower limits than the posterity of Noah or</w:t>
      </w:r>
      <w:r>
        <w:rPr>
          <w:rStyle w:val="FootnoteReference"/>
        </w:rPr>
        <w:footnoteReference w:id="476"/>
      </w:r>
      <w:r>
        <w:t xml:space="preserve"> limb of Shem. And after this it was confined to still narrower limits, for though Abraham had many sons, yet it was revealed that Christ was to be of Isaac's posterity. And then it was limited more still, for when Isaac had two sons it was revealed that Christ was to be of Jacob's posterity; and now though Jacob had twelve sons, yet 'tis revealed that Christ was to be of Judah's posterity: Christ is the lion of the tribe of Judah.</w:t>
      </w:r>
      <w:r>
        <w:rPr>
          <w:rStyle w:val="FootnoteReference"/>
        </w:rPr>
        <w:footnoteReference w:id="477"/>
      </w:r>
      <w:r>
        <w:t xml:space="preserve"> Respect is chiefly had to his great acts when it is said here, Genesis 49:8–9. ["Judah, thou art he whom thy brethren shall praise: thy hand shall be in the neck of thine enemies; thy father's children shall bow down before thee. Judah is a lion's whelp: from the prey, my son, thou art gone up: he stooped down, he couched as a lion, and as an old lion; who shall rouse him up?"]</w:t>
      </w:r>
      <w:r>
        <w:rPr>
          <w:rStyle w:val="FootnoteReference"/>
        </w:rPr>
        <w:footnoteReference w:id="478"/>
      </w:r>
      <w:r>
        <w:t xml:space="preserve"> And then this prediction is more particular concerning the time of Christ's coming than any had been before, as in verse ten ["The sceptre shall not depart from Judah, nor a lawgiver from between his feet, until Shiloh come; and unto him shall the gathering of the people be"]. The prophecy here of the calling of the Gentiles consequent on Christ's coming seems to be more plain than any had been before in the expression "to him shall the gathering [of the people be]." Thus you see how that gospel light which dawned immediately after the fall of man gradually increases.</w:t>
      </w:r>
    </w:p>
    <w:p>
      <w:pPr>
        <w:pStyle w:val="SourcePage"/>
      </w:pPr>
      <w:r>
        <w:t xml:space="preserve">[p. 173]</w:t>
      </w:r>
    </w:p>
    <w:p>
      <w:pPr>
        <w:pStyle w:val="Heading2"/>
      </w:pPr>
      <w:bookmarkStart w:name="heading_sermon_five" w:id="39"/>
      <w:r>
        <w:t xml:space="preserve">SERMON FIVE</w:t>
      </w:r>
      <w:bookmarkEnd w:id="39"/>
    </w:p>
    <w:p>
      <w:pPr>
        <w:pStyle w:val="BodyText"/>
      </w:pPr>
      <w:r>
        <w:rPr>
          <w:rStyle w:val="FootnoteReference"/>
        </w:rPr>
        <w:footnoteReference w:id="479"/>
      </w:r>
    </w:p>
    <w:p>
      <w:pPr>
        <w:pStyle w:val="BodyText"/>
      </w:pPr>
      <w:r>
        <w:rPr>
          <w:rStyle w:val="FootnoteReference"/>
        </w:rPr>
        <w:footnoteReference w:id="480"/>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4" w:id="40"/>
      <w:r>
        <w:t xml:space="preserve">[DOCTRINE]</w:t>
      </w:r>
      <w:bookmarkEnd w:id="40"/>
    </w:p>
    <w:p>
      <w:pPr>
        <w:pStyle w:val="BlockQuote"/>
      </w:pPr>
      <w:r>
        <w:rPr>
          <w:i/>
          <w:iCs/>
        </w:rPr>
        <w:t xml:space="preserve">[The Work of Redemption is a work that God carries on from the fall of man to the end of the world.]</w:t>
      </w:r>
    </w:p>
    <w:p>
      <w:pPr>
        <w:pStyle w:val="BodyText"/>
      </w:pPr>
      <w:r>
        <w:t xml:space="preserve">8.</w:t>
      </w:r>
      <w:r>
        <w:rPr>
          <w:rStyle w:val="FootnoteReference"/>
        </w:rPr>
        <w:footnoteReference w:id="481"/>
      </w:r>
      <w:r>
        <w:t xml:space="preserve"> The next thing that I would observe: God's wonderfully preserving the children of Israel in Egypt when the power of Egypt was engaged</w:t>
      </w:r>
      <w:r>
        <w:rPr>
          <w:rStyle w:val="FootnoteReference"/>
        </w:rPr>
        <w:footnoteReference w:id="482"/>
      </w:r>
      <w:r>
        <w:t xml:space="preserve"> utterly to destroy them.</w:t>
      </w:r>
      <w:r>
        <w:rPr>
          <w:rStyle w:val="FootnoteReference"/>
        </w:rPr>
        <w:footnoteReference w:id="483"/>
      </w:r>
      <w:r>
        <w:t xml:space="preserve"> They seemed to be wholly in the hands of the Egyptians; they were their servants and were subject to the power of Pharaoh, and Pharaoh set himself to weaken 'em with hard bondage; and then he saw that did not do, he set himself to extirpate the race of them by commanding that every male child should be drowned.</w:t>
      </w:r>
      <w:r>
        <w:rPr>
          <w:rStyle w:val="FootnoteReference"/>
        </w:rPr>
        <w:footnoteReference w:id="484"/>
      </w:r>
      <w:r>
        <w:t xml:space="preserve"> But for all that Pharaoh could do, God wonderfully preserved 'em, and not only so but increased 'em exceedingly, so that instead of being extirpated they greatly multiplied.</w:t>
      </w:r>
      <w:r>
        <w:rPr>
          <w:rStyle w:val="FootnoteReference"/>
        </w:rPr>
        <w:footnoteReference w:id="485"/>
      </w:r>
    </w:p>
    <w:p>
      <w:pPr>
        <w:pStyle w:val="SourcePage"/>
      </w:pPr>
      <w:r>
        <w:t xml:space="preserve">[p. 174]</w:t>
      </w:r>
    </w:p>
    <w:p>
      <w:pPr>
        <w:pStyle w:val="BodyText"/>
      </w:pPr>
      <w:r>
        <w:rPr>
          <w:rStyle w:val="FootnoteReference"/>
        </w:rPr>
        <w:footnoteReference w:id="486"/>
      </w:r>
      <w:r>
        <w:t xml:space="preserve">9.</w:t>
      </w:r>
      <w:r>
        <w:rPr>
          <w:rStyle w:val="FootnoteReference"/>
        </w:rPr>
        <w:footnoteReference w:id="487"/>
      </w:r>
      <w:r>
        <w:t xml:space="preserve"> Here is to [be] observed not only the preservation of the nation, but God's wonderfully preserving and upholding his invisible church in that nation when in danger of being overwhelmed with the idolatry of Egypt. The children of Israel being long amongst the Egyptians, and being servants under them, and so not under advantages to keep up God's ordinances among themselves, and maintain any public worship or public instruction whereby the true religion might be upheld, and there being now no written word of God, they by degrees in a great measure lost the true religion and learned the idolatry of Egypt. And the bigger part of the people fell away to the worship of their gods. This we learn by Ezekiel 20:6–8 and Ezekiel 23:8.</w:t>
      </w:r>
      <w:r>
        <w:rPr>
          <w:rStyle w:val="FootnoteReference"/>
        </w:rPr>
        <w:footnoteReference w:id="488"/>
      </w:r>
    </w:p>
    <w:p>
      <w:pPr>
        <w:pStyle w:val="BodyText"/>
      </w:pPr>
      <w:r>
        <w:t xml:space="preserve">This now was the third time that God's church was almost swallowed up and carried away with the wickedness of the world, once before the flood and the other time before</w:t>
      </w:r>
      <w:r>
        <w:rPr>
          <w:rStyle w:val="FootnoteReference"/>
        </w:rPr>
        <w:footnoteReference w:id="489"/>
      </w:r>
      <w:r>
        <w:t xml:space="preserve"> the calling of Abraham, and now the third time in Egypt. But yet God did not suffer his church to be quite overwhelmed. He still saved it like an ark in a flood, and as he saved Moses in the midst of the waters in an ark of bulrushes where he was in the utmost danger of being swallowed up.</w:t>
      </w:r>
      <w:r>
        <w:rPr>
          <w:rStyle w:val="FootnoteReference"/>
        </w:rPr>
        <w:footnoteReference w:id="490"/>
      </w:r>
      <w:r>
        <w:t xml:space="preserve"> The true religion was still kept up with some, and God had still a people among them even in that most corrupt and dark time. The parents of Moses were true servants of God, as we learn by Hebrews 11:23, "By faith Moses, when he was born, was hid three months of his parents, because they saw he was a proper child; and they were not afraid of the king's commandment."</w:t>
      </w:r>
    </w:p>
    <w:p>
      <w:pPr>
        <w:pStyle w:val="BodyText"/>
      </w:pPr>
      <w:r>
        <w:t xml:space="preserve">I have now gone through the third period of the Old Testament time, and have shown how the Work of Redemption was carried on from the calling of Abraham to Moses, in which we have seen many great things [done] towards this work and a great advancement of this building beyond what had been before. I now proceed to the</w:t>
      </w:r>
    </w:p>
    <w:p>
      <w:pPr>
        <w:pStyle w:val="BodyText"/>
      </w:pPr>
      <w:r>
        <w:rPr>
          <w:rStyle w:val="FootnoteReference"/>
        </w:rPr>
        <w:footnoteReference w:id="491"/>
      </w:r>
      <w:r>
        <w:t xml:space="preserve">Fourth period,</w:t>
      </w:r>
      <w:r>
        <w:rPr>
          <w:rStyle w:val="FootnoteReference"/>
        </w:rPr>
        <w:footnoteReference w:id="492"/>
      </w:r>
      <w:r>
        <w:t xml:space="preserve"> which reaches from Moses to David, and would show how the Work of Redemption was further carried on through this space of time also. And here the,</w:t>
      </w:r>
    </w:p>
    <w:p>
      <w:pPr>
        <w:pStyle w:val="SourcePage"/>
      </w:pPr>
      <w:r>
        <w:t xml:space="preserve">[p. 175]</w:t>
      </w:r>
    </w:p>
    <w:p>
      <w:pPr>
        <w:pStyle w:val="BodyText"/>
      </w:pPr>
      <w:r>
        <w:t xml:space="preserve">1.</w:t>
      </w:r>
      <w:r>
        <w:rPr>
          <w:rStyle w:val="FootnoteReference"/>
        </w:rPr>
        <w:footnoteReference w:id="493"/>
      </w:r>
      <w:r>
        <w:t xml:space="preserve"> [first] thing that offers itself to consideration is the redemption of the children of Israel out of Egypt, the most remarkable of all the Old Testament redemptions of God's church and that which was the greatest pledge and forerunner of the future redemption of Christ of any; and therefore is much more insisted on in Scripture than any other of these redemptions. And indeed it was the greatest type of Christ's redemption of any providential event whatsoever. This redemption was by Jesus Christ as is evident, for it was wrought by him that appeared to Moses in the bush; for that was the person that sent Moses to redeem the people but that was Christ, as is evident because he is called the angel of the Lord, Exodus 3:2–3. The bush represented the human nature of Christ that is called the branch.</w:t>
      </w:r>
      <w:r>
        <w:rPr>
          <w:rStyle w:val="FootnoteReference"/>
        </w:rPr>
        <w:footnoteReference w:id="494"/>
      </w:r>
      <w:r>
        <w:t xml:space="preserve"> The bush grew on Mount Sinai, or Horeb, which is a word that signifies a dry place, as the human nature of Christ was a root out of a dry ground.</w:t>
      </w:r>
      <w:r>
        <w:rPr>
          <w:rStyle w:val="FootnoteReference"/>
        </w:rPr>
        <w:footnoteReference w:id="495"/>
      </w:r>
      <w:r>
        <w:t xml:space="preserve"> The bush burning with fire represented the sufferings of Christ in the fire of God's wrath. It burned and was not consumed, so Christ though he suffered extremely yet perished not, but overcame at last and rose from his suffering. Because this great mystery of the incarnation and suffering of Christ was here represented, therefore Moses says, I will turn aside and behold this great sight.</w:t>
      </w:r>
      <w:r>
        <w:rPr>
          <w:rStyle w:val="FootnoteReference"/>
        </w:rPr>
        <w:footnoteReference w:id="496"/>
      </w:r>
      <w:r>
        <w:t xml:space="preserve"> A great sight he might well call it when there was to be seen represented God manifested in the flesh, and suffering a dreadful death, and rising from the dead.</w:t>
      </w:r>
    </w:p>
    <w:p>
      <w:pPr>
        <w:pStyle w:val="BodyText"/>
      </w:pPr>
      <w:r>
        <w:t xml:space="preserve">This glorious Redeemer was he that redeemed the church out of Egypt from under the hand of Pharaoh, as Christ by his death and suffering redeemed his people from Satan, the spiritual Pharaoh. He redeemed them from hard service and cruel bondage, as Christ redeems his people from the cruel slavery of sin and Satan.</w:t>
      </w:r>
      <w:r>
        <w:rPr>
          <w:rStyle w:val="FootnoteReference"/>
        </w:rPr>
        <w:footnoteReference w:id="497"/>
      </w:r>
      <w:r>
        <w:t xml:space="preserve"> He redeemed as it is said from the iron furnace, as Christ redeems his church from a furnace of fire and everlasting burnings.</w:t>
      </w:r>
      <w:r>
        <w:rPr>
          <w:rStyle w:val="FootnoteReference"/>
        </w:rPr>
        <w:footnoteReference w:id="498"/>
      </w:r>
      <w:r>
        <w:t xml:space="preserve"> He redeemed with a strong hand and outstretched arm and great and terrible judgments on their</w:t>
      </w:r>
      <w:r>
        <w:rPr>
          <w:rStyle w:val="FootnoteReference"/>
        </w:rPr>
        <w:footnoteReference w:id="499"/>
      </w:r>
      <w:r>
        <w:t xml:space="preserve"> enemies, as Christ with mighty power triumphs over principalities [and powers]</w:t>
      </w:r>
      <w:r>
        <w:rPr>
          <w:rStyle w:val="FootnoteReference"/>
        </w:rPr>
        <w:footnoteReference w:id="500"/>
      </w:r>
      <w:r>
        <w:t xml:space="preserve"> and executes complete</w:t>
      </w:r>
      <w:r>
        <w:rPr>
          <w:rStyle w:val="FootnoteReference"/>
        </w:rPr>
        <w:footnoteReference w:id="501"/>
      </w:r>
    </w:p>
    <w:p>
      <w:pPr>
        <w:pStyle w:val="SourcePage"/>
      </w:pPr>
      <w:r>
        <w:t xml:space="preserve">[p. 176]</w:t>
      </w:r>
    </w:p>
    <w:p>
      <w:pPr>
        <w:pStyle w:val="BodyText"/>
      </w:pPr>
      <w:r>
        <w:t xml:space="preserve">judgment on his church's enemies, bruising the serpent's head.</w:t>
      </w:r>
      <w:r>
        <w:rPr>
          <w:rStyle w:val="FootnoteReference"/>
        </w:rPr>
        <w:footnoteReference w:id="502"/>
      </w:r>
      <w:r>
        <w:t xml:space="preserve"> He saved them, when others were destroyed, by the sprinkling of the blood of the paschal lamb,</w:t>
      </w:r>
      <w:r>
        <w:rPr>
          <w:rStyle w:val="FootnoteReference"/>
        </w:rPr>
        <w:footnoteReference w:id="503"/>
      </w:r>
      <w:r>
        <w:t xml:space="preserve"> as God's church is saved from death by the sprinkling of the blood of Christ when the rest of the world is destroyed. God brought forth the people sorely against the will of the Egyptians when they could not bear to let 'em go,</w:t>
      </w:r>
      <w:r>
        <w:rPr>
          <w:rStyle w:val="FootnoteReference"/>
        </w:rPr>
        <w:footnoteReference w:id="504"/>
      </w:r>
      <w:r>
        <w:t xml:space="preserve"> so Christ rescues his people out of the hands of [the] devil sorely against his will when his proud heart cannot bear to be so overcome.</w:t>
      </w:r>
    </w:p>
    <w:p>
      <w:pPr>
        <w:pStyle w:val="BodyText"/>
      </w:pPr>
      <w:r>
        <w:t xml:space="preserve">Christ then did not only in the redemption redeem the people from the Egyptians, but he redeemed them from the devils, the gods of Egypt; for before they had been in a state of servitude to the gods of Egypt as well as to the men. And Christ, the seed of the woman, did now in a very remarkable manner fulfill the curse on the serpent in bruising his head, Exodus 12:12, "For I will pass through the land of Egypt this night, and will smite all the first born in the</w:t>
      </w:r>
      <w:r>
        <w:rPr>
          <w:rStyle w:val="FootnoteReference"/>
        </w:rPr>
        <w:footnoteReference w:id="505"/>
      </w:r>
      <w:r>
        <w:t xml:space="preserve"> land of Egypt, both man and beast; and against all the gods of Egypt will I execute judgment." Hell was as much and much more engaged in this affair as Egypt was; the pride and cruelty of Satan, that old serpent, was more concerned in it than Pharaoh's. He did his utmost against the people, and to his utmost opposed their redemption. But 'tis said that when God redeemed his people out of Egypt, then he broke the heads of the dragons in the waters. He broke the heads of leviathan in pieces and gave him to be meat, Psalms 74:12–14.</w:t>
      </w:r>
      <w:r>
        <w:rPr>
          <w:rStyle w:val="FootnoteReference"/>
        </w:rPr>
        <w:footnoteReference w:id="506"/>
      </w:r>
      <w:r>
        <w:t xml:space="preserve"> God forced their enemies to let 'em go that they might serve him, as Zacharias, Luke 1:74–75.</w:t>
      </w:r>
      <w:r>
        <w:rPr>
          <w:rStyle w:val="FootnoteReference"/>
        </w:rPr>
        <w:footnoteReference w:id="507"/>
      </w:r>
    </w:p>
    <w:p>
      <w:pPr>
        <w:pStyle w:val="BodyText"/>
      </w:pPr>
      <w:r>
        <w:t xml:space="preserve">The people went out with an high hand and Christ went before 'em in a pillar of cloud and fire. There was a glorious triumph over both and hell in that deliverance. And when Pharaoh and his hosts, and Satan by them, pursued the people, Christ overthrew their enemies in the Red Sea: the Lord triumphed gloriously, the horse and his rider cast into the sea, and there they slept their last sleep</w:t>
      </w:r>
      <w:r>
        <w:rPr>
          <w:rStyle w:val="FootnoteReference"/>
        </w:rPr>
        <w:footnoteReference w:id="508"/>
      </w:r>
      <w:r>
        <w:t xml:space="preserve"> and never followed the children of Israel any more,</w:t>
      </w:r>
      <w:r>
        <w:rPr>
          <w:rStyle w:val="FootnoteReference"/>
        </w:rPr>
        <w:footnoteReference w:id="509"/>
      </w:r>
      <w:r>
        <w:t xml:space="preserve"> as all Christ's enemies</w:t>
      </w:r>
    </w:p>
    <w:p>
      <w:pPr>
        <w:pStyle w:val="SourcePage"/>
      </w:pPr>
      <w:r>
        <w:t xml:space="preserve">[p. 177]</w:t>
      </w:r>
    </w:p>
    <w:p>
      <w:pPr>
        <w:pStyle w:val="BodyText"/>
      </w:pPr>
      <w:r>
        <w:t xml:space="preserve">are overthrown in his blood which by its abundant sufficiency and the greatness of the sufferings with which it was shed may well be represented by a sea. The Red Sea did represent Christ's blood, as is evident because the Apostle compares the children of Israel's passing through the Red Sea to baptism, 1 Corinthians 10:1–2 ["All our fathers were under the cloud, and all passed through the sea; And all were baptized unto Moses in the cloud and in the sea"]. But we all know that the water of baptism represents Christ's blood.</w:t>
      </w:r>
      <w:r>
        <w:rPr>
          <w:rStyle w:val="FootnoteReference"/>
        </w:rPr>
        <w:footnoteReference w:id="510"/>
      </w:r>
      <w:r>
        <w:t xml:space="preserve"> Thus Christ the angel of God's presence in his love and in his pity redeemed his people and carried [them] in the days of old as on eagles' wings,</w:t>
      </w:r>
      <w:r>
        <w:rPr>
          <w:rStyle w:val="FootnoteReference"/>
        </w:rPr>
        <w:footnoteReference w:id="511"/>
      </w:r>
      <w:r>
        <w:t xml:space="preserve"> so that none of their proud and spiteful enemies, neither Egyptians nor devils, could touch 'em.</w:t>
      </w:r>
    </w:p>
    <w:p>
      <w:pPr>
        <w:pStyle w:val="BodyText"/>
      </w:pPr>
      <w:r>
        <w:t xml:space="preserve">This was quite a new thing that God did towards this great Work of Redemption. God had never done anything like it before, Deuteronomy 4:32–34 ["Did ever people hear the voice of God speaking out of the midst of the fire … and live? Or hath God assayed to go and take him a nation … that the Lord your God did for you in Egypt?"]</w:t>
      </w:r>
      <w:r>
        <w:rPr>
          <w:rStyle w:val="FootnoteReference"/>
        </w:rPr>
        <w:footnoteReference w:id="512"/>
      </w:r>
      <w:r>
        <w:t xml:space="preserve"> This was a great advancement of the Work of Redemption that had been begun and carried on from the fall of man, a great step taken in divine providence towards a preparation for Christ's coming in the world and working out his great and eternal redemption. For this was the people of whom Christ was to come and now we may see how that plant flourished that God planted in Abraham.</w:t>
      </w:r>
    </w:p>
    <w:p>
      <w:pPr>
        <w:pStyle w:val="BodyText"/>
      </w:pPr>
      <w:r>
        <w:t xml:space="preserve">Though the family of whom Christ was to come had been in a degree separated from the rest of the world before in the calling of Abraham, yet the separation that was then made appeared not to be sufficient without a further separation. For though by that separation they were kept as strangers and sojourners, and kept from being united with other people in the same political societies, yet they remained mixed among them by which means as it had proved they had been endangered wholly to lose the true religion and to [be] overrun with the idolatry of their neighbors. God now therefore by this redemption separated [them] as a nation from all other nations to subsist by themselves in their own political and</w:t>
      </w:r>
      <w:r>
        <w:rPr>
          <w:rStyle w:val="FootnoteReference"/>
        </w:rPr>
        <w:footnoteReference w:id="513"/>
      </w:r>
      <w:r>
        <w:t xml:space="preserve"> ecclesiastical state</w:t>
      </w:r>
    </w:p>
    <w:p>
      <w:pPr>
        <w:pStyle w:val="SourcePage"/>
      </w:pPr>
      <w:r>
        <w:t xml:space="preserve">[p. 178]</w:t>
      </w:r>
    </w:p>
    <w:p>
      <w:pPr>
        <w:pStyle w:val="BodyText"/>
      </w:pPr>
      <w:r>
        <w:t xml:space="preserve">without having any concern with the heathen nations, that they might so be kept separate till Christ should come and so that the church of Christ might be upheld and might keep the oracles of God till that time. That in them might be kept up those types and prophecies of Christ, and those histories and other divine previous instructions, that were necessary to prepare the way for Christ's coming.</w:t>
      </w:r>
    </w:p>
    <w:p>
      <w:pPr>
        <w:pStyle w:val="BodyText"/>
      </w:pPr>
      <w:r>
        <w:t xml:space="preserve">2.</w:t>
      </w:r>
      <w:r>
        <w:rPr>
          <w:rStyle w:val="FootnoteReference"/>
        </w:rPr>
        <w:footnoteReference w:id="514"/>
      </w:r>
      <w:r>
        <w:t xml:space="preserve"> As this people was separated to be God's peculiar people, so all other people upon the face of the whole earth were wholly rejected and given over to heathenism. This, so far as the providence of God was concerned in it, belongs to the great affair of redemption that we are upon; and was one thing that God ordered in his providence to prepare the way for Christ's coming, and the great salvation he was to accomplish in the world. For it was only to prepare the way for the more glorious and signal victory and triumph, and Christ's power and grace over the wicked and miserable world, and that Christ's salvation of the world of mankind might become the more sensible. This is the account</w:t>
      </w:r>
      <w:r>
        <w:rPr>
          <w:rStyle w:val="FootnoteReference"/>
        </w:rPr>
        <w:footnoteReference w:id="515"/>
      </w:r>
      <w:r>
        <w:t xml:space="preserve"> the Scripture itself gives us of the matter, Romans 11:30–32. The Apostle there speaking to the Gentiles that had formerly been heathens says, "So as ye in times past have not believed God, yet now have obtained mercy through their unbelief, even so have these also now not believed that through your mercy they also might obtain mercy. For God hath concluded them all in unbelief, that he might have mercy upon all."</w:t>
      </w:r>
      <w:r>
        <w:rPr>
          <w:rStyle w:val="FootnoteReference"/>
        </w:rPr>
        <w:footnoteReference w:id="516"/>
      </w:r>
      <w:r>
        <w:t xml:space="preserve"> I.e. it was the will of God that the whole world, Jews and Gentiles, should be concluded in a visible and professed unbelief that so God's mercy and Christ's salvation towards them all might be visible and sensible. For the Apostle is not speaking only of that unbelief that is natural to all God's professing people as well as others, but that which appears and is visible such as the Jews fell into when they openly rejected Christ and ceased to be a professing people. The Apostle observes how that first the Gentiles, even all Gentile nations, were included in a professed unbelief, open opposition to the true religion before Christ came, to prepare the way for the calling of the Gentiles; which was soon after Christ came that God's</w:t>
      </w:r>
      <w:r>
        <w:rPr>
          <w:rStyle w:val="FootnoteReference"/>
        </w:rPr>
        <w:footnoteReference w:id="517"/>
      </w:r>
      <w:r>
        <w:t xml:space="preserve"> mercy might be the more visible to them. And then the Jews were rejected and apostatized from the visible church to prepare the way for the calling of the Jews which shall be</w:t>
      </w:r>
    </w:p>
    <w:p>
      <w:pPr>
        <w:pStyle w:val="SourcePage"/>
      </w:pPr>
      <w:r>
        <w:t xml:space="preserve">[p. 179]</w:t>
      </w:r>
    </w:p>
    <w:p>
      <w:pPr>
        <w:pStyle w:val="BodyText"/>
      </w:pPr>
      <w:r>
        <w:t xml:space="preserve">in the latter days. So that it may be seen of all nations, Jews and Gentiles, how that they are visibly redeemed by Christ from being visibly aliens from the commonwealth of Israel, without hope and without God in the world.</w:t>
      </w:r>
    </w:p>
    <w:p>
      <w:pPr>
        <w:pStyle w:val="BodyText"/>
      </w:pPr>
      <w:r>
        <w:t xml:space="preserve">We can't certainly determine precisely at what time the apostasy of the Gentile nations from the true God, or these being concluded in visible unbelief, became universal. Their falling away was a gradual thing as we observed before. It was general in Abraham's time, but not universal, for there we find Melchizedek one of the kings of Canaan was priest of the most high God. And after this the true religion was kept up for a while among some of the rest of Abraham's posterity besides the family of Jacob, and also in some of the posterity of Nahor as we have instances in Job and his three friends and Elihu. The land of Uz where Job lived was a land possessed by the posterity of Uz or Huz, the son of Nahor,</w:t>
      </w:r>
      <w:r>
        <w:rPr>
          <w:rStyle w:val="FootnoteReference"/>
        </w:rPr>
        <w:footnoteReference w:id="518"/>
      </w:r>
      <w:r>
        <w:t xml:space="preserve"> Abraham's brother of whom we read, Genesis 22:21. Bildad the Shuhite was one of the offspring of Shuah, Abraham's son by Keturah, Genesis 25:1–2, and Elihu the Buzite was of Buz, the son of Nahor, the brother of Abraham. So the true religion lasted a while among some other people besides the Israelites, a while after Abraham. But it did not last long, and 'tis probable that the time of their total rejection and giving up to idolatry was about the time when [God] separated the children of Israel from Egypt to serve him, for they are often put in mind on that occasion that God had now separated [them] to be his peculiar people or to be distinguished from all other people upon earth, to be his people alone, to [be] his portion when all others were rejected. Which seems to hold forth this much to us, that God now chose 'em in such a manner that this visible choice of 'em was accompanied with a visible rejection of all other nations in the world, that God visibly came and took up his residence with them as forsaking all other nations. And so as the first calling of the Gentiles after Christ came was accompanied with a rejection of the Jews, so the first</w:t>
      </w:r>
      <w:r>
        <w:rPr>
          <w:rStyle w:val="FootnoteReference"/>
        </w:rPr>
        <w:footnoteReference w:id="519"/>
      </w:r>
      <w:r>
        <w:t xml:space="preserve"> calling of the Jews to be God's people when they were called out of Egypt was accompanied with a rejection of the Gentiles. Thus all the Gentile nations throughout the whole world, all nations but only the Israelites and those that embodied themselves with them, were left and given up to idolatry, and so continued a great many ages even from this time till Christ came,</w:t>
      </w:r>
    </w:p>
    <w:p>
      <w:pPr>
        <w:pStyle w:val="SourcePage"/>
      </w:pPr>
      <w:r>
        <w:t xml:space="preserve">[p. 180]</w:t>
      </w:r>
    </w:p>
    <w:p>
      <w:pPr>
        <w:pStyle w:val="BodyText"/>
      </w:pPr>
      <w:r>
        <w:t xml:space="preserve">which was about fifteen hundred years. They were concluded so long a time in unbelief that there might be a thorough proof of the necessity of a savior, that it might appear by so long a trial past all contradiction that mankind were utterly insufficient to deliver themselves from that gross darkness and misery and subjection to the devil that they had fallen into. That it might appear that all the wisdom of the philosophers and the wisest men that the heathen had among 'em could not deliver [them] from their darkness, for the greater glory to Jesus Christ who when he came enlightened and delivered them by his glorious gospel.</w:t>
      </w:r>
    </w:p>
    <w:p>
      <w:pPr>
        <w:pStyle w:val="BodyText"/>
      </w:pPr>
      <w:r>
        <w:t xml:space="preserve">Herein the wonderful wisdom of God appeared in thus preparing the way for Christ's redemption. This the Scripture teaches</w:t>
      </w:r>
      <w:r>
        <w:rPr>
          <w:rStyle w:val="FootnoteReference"/>
        </w:rPr>
        <w:footnoteReference w:id="520"/>
      </w:r>
      <w:r>
        <w:t xml:space="preserve"> us, as 1 Corinthians 1:21, "For after that in the wisdom of God the world by wisdom knew not God, it pleased God by the foolishness of preaching to save them that believe."</w:t>
      </w:r>
      <w:r>
        <w:rPr>
          <w:rStyle w:val="FootnoteReference"/>
        </w:rPr>
        <w:footnoteReference w:id="521"/>
      </w:r>
    </w:p>
    <w:p>
      <w:pPr>
        <w:pStyle w:val="BodyText"/>
      </w:pPr>
      <w:r>
        <w:t xml:space="preserve">3.</w:t>
      </w:r>
      <w:r>
        <w:rPr>
          <w:rStyle w:val="FootnoteReference"/>
        </w:rPr>
        <w:footnoteReference w:id="522"/>
      </w:r>
      <w:r>
        <w:t xml:space="preserve"> The next thing that I shall take notice of here that was done towards the Work [of] Redemption was God's giving the moral law in so awful a manner at Mount Sinai.</w:t>
      </w:r>
      <w:r>
        <w:rPr>
          <w:rStyle w:val="FootnoteReference"/>
        </w:rPr>
        <w:footnoteReference w:id="523"/>
      </w:r>
      <w:r>
        <w:t xml:space="preserve"> This was another new thing that God did, a new step taken in this great affair, Deuteronomy 4:33, "Did ever a people hear the voice of God speaking out of the midst of the fire, as thou hast heard, and live?" And it was a great thing that God did towards this work, and that whether we consider it as delivered as a new exhibition of the covenant of works or given as a rule of life.</w:t>
      </w:r>
    </w:p>
    <w:p>
      <w:pPr>
        <w:pStyle w:val="BodyText"/>
      </w:pPr>
      <w:r>
        <w:t xml:space="preserve">The covenant of works was here exhibited to be as a schoolmaster to lead to Christ, not only for the use of that nation in the ages of the Old Testament, but for the use of God's church throughout all ages to the end of the world, as an instrument that the great Redeemer makes use of to convince men of their sin and misery and helplessness and God's awful and tremendous majesty and justice as a lawgiver, and so to make men sensible of the necessity of Christ as a savior. The Work of Redemption in its saving effect in men's souls</w:t>
      </w:r>
    </w:p>
    <w:p>
      <w:pPr>
        <w:pStyle w:val="SourcePage"/>
      </w:pPr>
      <w:r>
        <w:t xml:space="preserve">[p. 181]</w:t>
      </w:r>
    </w:p>
    <w:p>
      <w:pPr>
        <w:pStyle w:val="BodyText"/>
      </w:pPr>
      <w:r>
        <w:t xml:space="preserve">in all the progress of</w:t>
      </w:r>
      <w:r>
        <w:rPr>
          <w:rStyle w:val="FootnoteReference"/>
        </w:rPr>
        <w:footnoteReference w:id="524"/>
      </w:r>
      <w:r>
        <w:t xml:space="preserve"> it to the end of it, is not carried on without the use of this law that was now delivered at Sinai.</w:t>
      </w:r>
    </w:p>
    <w:p>
      <w:pPr>
        <w:pStyle w:val="BodyText"/>
      </w:pPr>
      <w:r>
        <w:t xml:space="preserve">It was given in an awful manner with a terrible voice, exceeding loud and awful so that all the people that were in the camp trembled, and Moses himself though so intimate a friend of God, yet said, I exceedingly fear and quake; the voice being accompanied with thunders and lightnings and the mountain burning with fire to the midst of heaven, and the earth itself shaking and trembling to make all sensible how great that authority, power, and justice was that stood engaged to exact the fulfillment of this law, and to see it fully executed, and how strictly God would require the fulfillment, and how terrible his wrath should be against every breach of it. That men being sensible of these things might have a thorough trial of themselves, and might prove their own hearts and know how impossible it was for them to have salvation by the works of the law, and might see the absolute necessity they stood in of a mediator. And if we regard this law now given at</w:t>
      </w:r>
      <w:r>
        <w:rPr>
          <w:rStyle w:val="FootnoteReference"/>
        </w:rPr>
        <w:footnoteReference w:id="525"/>
      </w:r>
      <w:r>
        <w:t xml:space="preserve"> Mount Sinai not as a covenant of works but as a rule of life, so it is made use [of] by the Redeemer from that time to the end of the world as a directory to his people, to show them the way in which they must walk, as they would go to heaven. For a way of sincere and universal obedience to this law is the narrow way that leads to life.</w:t>
      </w:r>
    </w:p>
    <w:p>
      <w:pPr>
        <w:pStyle w:val="BodyText"/>
      </w:pPr>
      <w:r>
        <w:t xml:space="preserve">4.</w:t>
      </w:r>
      <w:r>
        <w:rPr>
          <w:rStyle w:val="FootnoteReference"/>
        </w:rPr>
        <w:footnoteReference w:id="526"/>
      </w:r>
      <w:r>
        <w:t xml:space="preserve"> The next thing that is observable in this period was God's giving the typical law in which I suppose [were] included mostly all those precepts that were given by Moses that did not properly belong to the moral law, not only those laws that are commonly called ceremonial in distinction from judicial laws, which are the laws prescribing the ceremonies and circumstances of the Jewish worship and their ecclesiastical state, but also many if not all those divine laws that were political and for regulating the Jewish commonwealth, commonly called judicial laws. These were at last many of them typical.</w:t>
      </w:r>
    </w:p>
    <w:p>
      <w:pPr>
        <w:pStyle w:val="BodyText"/>
      </w:pPr>
      <w:r>
        <w:t xml:space="preserve">The giving this typical law was another great thing that God did in this period [that] tended [to the] building up this glorious structure of redemption that had been carrying on from the beginning of the world. There had been many typical</w:t>
      </w:r>
      <w:r>
        <w:rPr>
          <w:rStyle w:val="FootnoteReference"/>
        </w:rPr>
        <w:footnoteReference w:id="527"/>
      </w:r>
      <w:r>
        <w:t xml:space="preserve"> events of providence before</w:t>
      </w:r>
    </w:p>
    <w:p>
      <w:pPr>
        <w:pStyle w:val="SourcePage"/>
      </w:pPr>
      <w:r>
        <w:t xml:space="preserve">[p. 182]</w:t>
      </w:r>
    </w:p>
    <w:p>
      <w:pPr>
        <w:pStyle w:val="BodyText"/>
      </w:pPr>
      <w:r>
        <w:t xml:space="preserve">that represented Christ and his redemption, and some typical ordinances as particularly those two of sacrifices and circumcision. But now instead of representing the great Redeemer in a few institutions, God gives forth a law full of nothing else but various and innumerable typical representations of good things to come by which that nation were directed how every year, month, and day in their religious actions and in their conduct of themselves in all that appertained to their ecclesiastical and civil state, to show forth something of Christ, one observance showing one thing, exhibiting one doctrine or one benefit, another another. So that the whole nation by this law was as it were constituted in a typical state. Thus the gospel was abundantly held forth to that nation so that there is scarce any doctrine of it but is particularly taught and exhibited by some observance of this law, though it was in shadows and under a veil as Moses put a veil over his face when it shone.</w:t>
      </w:r>
      <w:r>
        <w:rPr>
          <w:rStyle w:val="FootnoteReference"/>
        </w:rPr>
        <w:footnoteReference w:id="528"/>
      </w:r>
      <w:r>
        <w:t xml:space="preserve"> To this typical law belong all the precepts that relate to building the tabernacle that was set up in the wilderness and all the forms, and circumstances, and utensils of it.</w:t>
      </w:r>
      <w:r>
        <w:rPr>
          <w:rStyle w:val="FootnoteReference"/>
        </w:rPr>
        <w:footnoteReference w:id="529"/>
      </w:r>
    </w:p>
    <w:p>
      <w:pPr>
        <w:pStyle w:val="BodyText"/>
      </w:pPr>
      <w:r>
        <w:rPr>
          <w:rStyle w:val="FootnoteReference"/>
        </w:rPr>
        <w:footnoteReference w:id="530"/>
      </w:r>
      <w:r>
        <w:t xml:space="preserve">5.</w:t>
      </w:r>
      <w:r>
        <w:rPr>
          <w:rStyle w:val="FootnoteReference"/>
        </w:rPr>
        <w:footnoteReference w:id="531"/>
      </w:r>
      <w:r>
        <w:t xml:space="preserve"> About this time was given to God's church the first written word of God that ever was enjoyed by God's people. This was another great thing done towards the affair of redemption, a new and glorious advancement of the building. Not far from this time was the beginning of that great standing written rule that God has given 'em for the regulation of the faith, worship, and practice of his church in all ages henceforward to the end of the world, which rule grew and was added to from that time for many ages till it was finished and the canon of the Scripture completed by the apostle John. 'Tis not very material here whether the first written word that ever was was the ten commandments written on tables of stone with the finger of God, or the book of Job. And whether the book of Job was written by Moses as some suppose or by Elihu as others. If it was written by Elihu, it was written before this period that we are now upon, but yet could not be far from it as appears by considering whose posterity</w:t>
      </w:r>
      <w:r>
        <w:rPr>
          <w:rStyle w:val="FootnoteReference"/>
        </w:rPr>
        <w:footnoteReference w:id="532"/>
      </w:r>
      <w:r>
        <w:t xml:space="preserve"> the persons were that are spoken of in it together with Job's great age that was all past before this was written.</w:t>
      </w:r>
    </w:p>
    <w:p>
      <w:pPr>
        <w:pStyle w:val="BodyText"/>
      </w:pPr>
      <w:r>
        <w:t xml:space="preserve">The written word of God is this main instrument Christ has made</w:t>
      </w:r>
    </w:p>
    <w:p>
      <w:pPr>
        <w:pStyle w:val="SourcePage"/>
      </w:pPr>
      <w:r>
        <w:t xml:space="preserve">[p. 183]</w:t>
      </w:r>
    </w:p>
    <w:p>
      <w:pPr>
        <w:pStyle w:val="BodyText"/>
      </w:pPr>
      <w:r>
        <w:t xml:space="preserve">use of to carry on his Work of Redemption in all ages since it was given. There was a necessity now of the word of God's being committed to writing for a steady rule to God's church. Before this the church had the word of God by tradition, either by immediate tradition from eminent men that were inspired that were then living—for it was a common thing in those days before there was any written word [for God] to reveal himself immediately to eminent persons as appears by the book of Job—and many things that might be mentioned in the book of Genesis, or else they had it by tradition from former generations which might be had with tolerable certainty in ages preceding this by reason of the long lives of men. Noah might converse with Adam and receive traditions from him, and Noah lived till about Abraham's time, and the sons of Jacob lived a considerable time to deliver the revelations made</w:t>
      </w:r>
      <w:r>
        <w:rPr>
          <w:rStyle w:val="FootnoteReference"/>
        </w:rPr>
        <w:footnoteReference w:id="533"/>
      </w:r>
      <w:r>
        <w:t xml:space="preserve"> to Abraham, Isaac, and Jacob to their posterity in Egypt. But now the distance from the beginning of things was become so great and the lives of men become so short—being brought down to the present standard about Moses' time—and God having now separated a nation to be his peculiar people partly for that end to be the keepers of the oracles of God, God saw it to be a needful and convenient time now to commit his word to writing to remain henceforward for a steady rule throughout all ages. And therefore, besides the book of Job, Christ wrote the ten commandments on tables of stone with his own finger, and after this the whole law as containing the substance of the five books of Moses was by God's special command committed to writing—which was called the Book of the Law—and was laid up in the tabernacle to be kept there for the use of his church, as you may see, Deuteronomy 31:24–26 ["When Moses had made an end of writing the words of this law in a book … Moses commanded the Levites … saying, Take this book of the law, and put it in the side of the ark of the covenant … for a witness against thee"].</w:t>
      </w:r>
      <w:r>
        <w:rPr>
          <w:rStyle w:val="FootnoteReference"/>
        </w:rPr>
        <w:footnoteReference w:id="534"/>
      </w:r>
    </w:p>
    <w:p>
      <w:pPr>
        <w:pStyle w:val="BodyText"/>
      </w:pPr>
      <w:r>
        <w:t xml:space="preserve">6.</w:t>
      </w:r>
      <w:r>
        <w:rPr>
          <w:rStyle w:val="FootnoteReference"/>
        </w:rPr>
        <w:footnoteReference w:id="535"/>
      </w:r>
      <w:r>
        <w:t xml:space="preserve"> God was pleased now wonderfully to represent the progress of his redeemed church through the world to their eternal inheritance by the journey of the children of Israel through</w:t>
      </w:r>
      <w:r>
        <w:rPr>
          <w:rStyle w:val="FootnoteReference"/>
        </w:rPr>
        <w:footnoteReference w:id="536"/>
      </w:r>
      <w:r>
        <w:t xml:space="preserve"> the wilderness from Egypt to Canaan. Here all the various steps of the redemption of the church of Christ was represented, from the beginning of it to its</w:t>
      </w:r>
    </w:p>
    <w:p>
      <w:pPr>
        <w:pStyle w:val="SourcePage"/>
      </w:pPr>
      <w:r>
        <w:t xml:space="preserve">[p. 184]</w:t>
      </w:r>
    </w:p>
    <w:p>
      <w:pPr>
        <w:pStyle w:val="BodyText"/>
      </w:pPr>
      <w:r>
        <w:t xml:space="preserve">consummation in glory. The state they are redeemed from is represented by Egypt and their bondage there which they left. The purchase of their redemption was represented [by]</w:t>
      </w:r>
      <w:r>
        <w:rPr>
          <w:rStyle w:val="FootnoteReference"/>
        </w:rPr>
        <w:footnoteReference w:id="537"/>
      </w:r>
      <w:r>
        <w:t xml:space="preserve"> sacrifice of the paschal lamb</w:t>
      </w:r>
      <w:r>
        <w:rPr>
          <w:rStyle w:val="FootnoteReference"/>
        </w:rPr>
        <w:footnoteReference w:id="538"/>
      </w:r>
      <w:r>
        <w:t xml:space="preserve"> [which was offered up] that night that God slew the first born. The beginning of the application of the redemption of Christ's church in their conversion [was represented by Israel] while going out of Egypt and passing through the Red Sea. [The] travel [of the church] through this evil world [and the] various changes [through which the church passes in the] different stages of it [were represented] by their journey through the wilderness.</w:t>
      </w:r>
      <w:r>
        <w:rPr>
          <w:rStyle w:val="FootnoteReference"/>
        </w:rPr>
        <w:footnoteReference w:id="539"/>
      </w:r>
      <w:r>
        <w:t xml:space="preserve"> The manner of their being conducted by Christ [was represented] by their being led by the pillar of cloud [by day] and [the pillar of] fire [by night]. The manner of their being supported in their progress and supplied from the beginning to the end of it with spiritual food and continual daily communications from God [was represented] by [God's supplying] manna [from heaven and] water out of the rock. [The] dangers [that] the saints meet with</w:t>
      </w:r>
      <w:r>
        <w:rPr>
          <w:rStyle w:val="FootnoteReference"/>
        </w:rPr>
        <w:footnoteReference w:id="540"/>
      </w:r>
      <w:r>
        <w:t xml:space="preserve"> in their course [were represented] by the pests, fiery flying serpents [which the children of Israel met with in the wilderness].</w:t>
      </w:r>
      <w:r>
        <w:rPr>
          <w:rStyle w:val="FootnoteReference"/>
        </w:rPr>
        <w:footnoteReference w:id="541"/>
      </w:r>
      <w:r>
        <w:t xml:space="preserve"> [The] conflicts the church has with her enemies [were represented] by the battle with the Amalekites and others they met with there.</w:t>
      </w:r>
      <w:r>
        <w:rPr>
          <w:rStyle w:val="FootnoteReference"/>
        </w:rPr>
        <w:footnoteReference w:id="542"/>
      </w:r>
      <w:r>
        <w:t xml:space="preserve"> And so innumerable other things might be mentioned; however the things they met with were lively images of [things which the church and saints meet with in all ages of the world]. That these things are typical of things that pertain to the Christian church is manifest, 1 Corinthians 10:11. There the Apostle, speaking of those things, says, all those things happened to them for </w:t>
      </w:r>
      <w:r>
        <w:rPr>
          <w:i/>
          <w:iCs/>
        </w:rPr>
        <w:t xml:space="preserve">types</w:t>
      </w:r>
      <w:r>
        <w:t xml:space="preserve">, etc. ["Now all these things happened unto them for ensamples: and they are written for our admonition, upon whom the ends of the world are come"].</w:t>
      </w:r>
    </w:p>
    <w:p>
      <w:pPr>
        <w:pStyle w:val="BodyText"/>
      </w:pPr>
      <w:r>
        <w:t xml:space="preserve">7.</w:t>
      </w:r>
      <w:r>
        <w:rPr>
          <w:rStyle w:val="FootnoteReference"/>
        </w:rPr>
        <w:footnoteReference w:id="543"/>
      </w:r>
      <w:r>
        <w:t xml:space="preserve"> Another thing here must not be omitted which was a great and remarkable dispensation of providence, respecting the whole world of mankind, which was finished in this period. And that was the shortening the days of man's life whereby it was brought down from</w:t>
      </w:r>
    </w:p>
    <w:p>
      <w:pPr>
        <w:pStyle w:val="SourcePage"/>
      </w:pPr>
      <w:r>
        <w:t xml:space="preserve">[p. 185]</w:t>
      </w:r>
    </w:p>
    <w:p>
      <w:pPr>
        <w:pStyle w:val="BodyText"/>
      </w:pPr>
      <w:r>
        <w:t xml:space="preserve">being between nine hundred and a thousand years to be but about seventy or eighty. The life of man began to be shortened immediately after the flood. It was brought down the first generation to six hundred years, and in the next to between four and five hundred years. And so the life of man gradually grew shorter and shorter</w:t>
      </w:r>
      <w:r>
        <w:rPr>
          <w:rStyle w:val="FootnoteReference"/>
        </w:rPr>
        <w:footnoteReference w:id="544"/>
      </w:r>
      <w:r>
        <w:t xml:space="preserve"> till about the time of that great mortality that was in the congregation of Israel after they had murmured at the report of the spies, and their carcasses fell in the wilderness, whereby all the men of war died and then the life of man was reduced to its present standard,</w:t>
      </w:r>
      <w:r>
        <w:rPr>
          <w:rStyle w:val="FootnoteReference"/>
        </w:rPr>
        <w:footnoteReference w:id="545"/>
      </w:r>
      <w:r>
        <w:t xml:space="preserve"> as Moses observes in that psalm that he wrote on occasion of their mortality, Psalms 90:10 ["The days of our years are threescore years and ten; and if by reason of strength they be fourscore years, yet is their strength labor and sorrow; for it is soon cut off, and we fly away"]</w:t>
      </w:r>
    </w:p>
    <w:p>
      <w:pPr>
        <w:pStyle w:val="BodyText"/>
      </w:pPr>
      <w:r>
        <w:t xml:space="preserve">This great dispensation of God tended to promote the grand design of the redemption of Christ. Man's life being cut so very short in this world tended to prepare the way for poor, mortal, short-lived men the more joyfully to entertain the glad tidings of everlasting life in another world that are brought to light by the gospel, and more readily to embrace a savior that purchases and offers such a blessing. If men's lives were still commonly above nine hundred years, how much less would they have to move them to regard the proffers of a future</w:t>
      </w:r>
      <w:r>
        <w:rPr>
          <w:rStyle w:val="FootnoteReference"/>
        </w:rPr>
        <w:footnoteReference w:id="546"/>
      </w:r>
      <w:r>
        <w:t xml:space="preserve"> life, how much greater temptation would they have to rest in the things of this world, they being of such long continuance, and to neglect any other life but this. (This probably greatly contributing to the wickedness of the antediluvians.)</w:t>
      </w:r>
      <w:r>
        <w:rPr>
          <w:rStyle w:val="FootnoteReference"/>
        </w:rPr>
        <w:footnoteReference w:id="547"/>
      </w:r>
      <w:r>
        <w:t xml:space="preserve"> How much greater motive have [men] to seek redemption and a better and longer life than this is by the great Redeemer, since the life of man is not one twelfth part of what it used to be, and men now universally die at the age when men formerly used to be but as it [were] setting out in the world.</w:t>
      </w:r>
    </w:p>
    <w:p>
      <w:pPr>
        <w:pStyle w:val="SourcePage"/>
      </w:pPr>
      <w:r>
        <w:t xml:space="preserve">[p. 186]</w:t>
      </w:r>
    </w:p>
    <w:p>
      <w:pPr>
        <w:pStyle w:val="Heading2"/>
      </w:pPr>
      <w:bookmarkStart w:name="heading_sermon_six" w:id="41"/>
      <w:r>
        <w:t xml:space="preserve">SERMON SIX</w:t>
      </w:r>
      <w:bookmarkEnd w:id="41"/>
    </w:p>
    <w:p>
      <w:pPr>
        <w:pStyle w:val="BodyText"/>
      </w:pPr>
      <w:r>
        <w:rPr>
          <w:rStyle w:val="FootnoteReference"/>
        </w:rPr>
        <w:footnoteReference w:id="548"/>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5" w:id="42"/>
      <w:r>
        <w:t xml:space="preserve">DOCTRINE</w:t>
      </w:r>
      <w:bookmarkEnd w:id="42"/>
    </w:p>
    <w:p>
      <w:pPr>
        <w:pStyle w:val="BlockQuote"/>
      </w:pPr>
      <w:r>
        <w:rPr>
          <w:i/>
          <w:iCs/>
        </w:rPr>
        <w:t xml:space="preserve">[The Work of Redemption is a work that God carries on from the fall of man to the end of the world.]</w:t>
      </w:r>
    </w:p>
    <w:p>
      <w:pPr>
        <w:pStyle w:val="BodyText"/>
      </w:pPr>
      <w:r>
        <w:t xml:space="preserve">WE were last showing how the Work of Redemption was carried on through the fourth period of the times of the Old Testament, viz. that from Moses to David; which I have shown already in the following particulars: 1. redemption out of Egypt, 2. the rejection of all other people on the face of the whole earth, 3. moral law, 4. typical law, 5. first written word, 6. journey of children of Israel through the wilderness, 7. shortening days of man's life.</w:t>
      </w:r>
    </w:p>
    <w:p>
      <w:pPr>
        <w:pStyle w:val="BodyText"/>
      </w:pPr>
      <w:r>
        <w:rPr>
          <w:rStyle w:val="FootnoteReference"/>
        </w:rPr>
        <w:footnoteReference w:id="549"/>
      </w:r>
      <w:r>
        <w:t xml:space="preserve">8.</w:t>
      </w:r>
      <w:r>
        <w:rPr>
          <w:rStyle w:val="FootnoteReference"/>
        </w:rPr>
        <w:footnoteReference w:id="550"/>
      </w:r>
      <w:r>
        <w:t xml:space="preserve"> [The work was carried on in]</w:t>
      </w:r>
      <w:r>
        <w:rPr>
          <w:rStyle w:val="FootnoteReference"/>
        </w:rPr>
        <w:footnoteReference w:id="551"/>
      </w:r>
      <w:r>
        <w:t xml:space="preserve"> preserving that people of whom Christ was to come from totally [perishing] in the wilderness by a constant miracle of forty years' continuance. I observed before many times how that God preserved those of whom the Redeemer was to proceed in a very wonderful manner, as he preserved Noah and his family from the flood, and as he preserved Abraham, [Isaac, and Jacob from the] wicked inhabitants of Canaan, and [as he preserved Jacob and his family from perishing by famine] by Joseph in Egypt. But this preservation of 'em for so long a time in the wilderness was on some accounts more remarkable than any of them, for it was by a continued miracle of so long a duration.</w:t>
      </w:r>
    </w:p>
    <w:p>
      <w:pPr>
        <w:pStyle w:val="SourcePage"/>
      </w:pPr>
      <w:r>
        <w:t xml:space="preserve">[p. 187]</w:t>
      </w:r>
    </w:p>
    <w:p>
      <w:pPr>
        <w:pStyle w:val="BodyText"/>
      </w:pPr>
      <w:r>
        <w:t xml:space="preserve">There was as may be fairly computed at least two millions of souls in that congregation that could not subsist any better without meat and drink than other men. But if this had been withheld, [they] must all have perished, every man, woman, and child, in less than one month's time, so that there would not have been one of 'em left. But yet this vast multitude subsisted for forty years together in a dry, barren wilderness without sowing or reaping or</w:t>
      </w:r>
      <w:r>
        <w:rPr>
          <w:rStyle w:val="FootnoteReference"/>
        </w:rPr>
        <w:footnoteReference w:id="552"/>
      </w:r>
      <w:r>
        <w:t xml:space="preserve"> tilling any land, having their bread daily rained down to 'em out of heaven, and being followed with water to satisfy them all out of a rock, and the same clothes with which they came out of Egypt lasting without wearing [out] for all that time. Never was any instance like this of a nation's being so upheld for so long a time together. Thus God upheld his church by a continual miracle, and kept alive that people in whom was the blessing, the promised seed and great Redeemer of the world.</w:t>
      </w:r>
    </w:p>
    <w:p>
      <w:pPr>
        <w:pStyle w:val="BodyText"/>
      </w:pPr>
      <w:r>
        <w:t xml:space="preserve">9.</w:t>
      </w:r>
      <w:r>
        <w:rPr>
          <w:rStyle w:val="FootnoteReference"/>
        </w:rPr>
        <w:footnoteReference w:id="553"/>
      </w:r>
      <w:r>
        <w:t xml:space="preserve"> God was pleased in this time of the children of Israel's being in the wilderness to give further revelation of Christ the Redeemer in predictions of him than had been before. Here are three prophecies given at this time that I would take notice of. The first is that of Balaam, Numbers 24:17–19 ["I shall see him, but not now: I shall behold him, but not nigh: there shall come a Star out of Jacob, and a Sceptre shall rise out of Israel, and shall smite the corners of Moab, and destroy all the children of Sheth. And Edom shall be a possession, Seir also shall be a possession for his enemies; and Israel shall do valiantly. Out of Jacob shall come he that shall have dominion, and shall destroy him that remaineth of the city"]. This is a plainer prophecy of Christ, especially with regard to his kingly office, than any had been before.</w:t>
      </w:r>
    </w:p>
    <w:p>
      <w:pPr>
        <w:pStyle w:val="BodyText"/>
      </w:pPr>
      <w:r>
        <w:t xml:space="preserve">But we have another that God gave by Moses that is plainer still, especially with respect</w:t>
      </w:r>
      <w:r>
        <w:rPr>
          <w:rStyle w:val="FootnoteReference"/>
        </w:rPr>
        <w:footnoteReference w:id="554"/>
      </w:r>
      <w:r>
        <w:t xml:space="preserve"> to his prophetical office, in Deuteronomy 18:15 etc.["I will raise them up a Prophet from among their brethren, like unto thee, and will put my words in his mouth; and he shall speak unto them all that I shall command him"].</w:t>
      </w:r>
      <w:r>
        <w:rPr>
          <w:rStyle w:val="FootnoteReference"/>
        </w:rPr>
        <w:footnoteReference w:id="555"/>
      </w:r>
      <w:r>
        <w:t xml:space="preserve"> This is a plainer prophecy of Christ than any ever had been before in this respect, that all the prophecies that had gone before of Christ were in figurative, mystical language. The first prophecy was so that the seed of the woman</w:t>
      </w:r>
    </w:p>
    <w:p>
      <w:pPr>
        <w:pStyle w:val="SourcePage"/>
      </w:pPr>
      <w:r>
        <w:t xml:space="preserve">[p. 188]</w:t>
      </w:r>
    </w:p>
    <w:p>
      <w:pPr>
        <w:pStyle w:val="BodyText"/>
      </w:pPr>
      <w:r>
        <w:t xml:space="preserve">[should bruise the serpent's head].</w:t>
      </w:r>
      <w:r>
        <w:rPr>
          <w:rStyle w:val="FootnoteReference"/>
        </w:rPr>
        <w:footnoteReference w:id="556"/>
      </w:r>
      <w:r>
        <w:t xml:space="preserve"> The promises made to Abraham, Isaac, and Jacob, "in their seed all the families [of the earth should be blessed]," which prophecy is not so particular because the expression "thy seed" is general and not plainly limited to a particular person. The prophecy of Jacob in his blessing of Judah</w:t>
      </w:r>
      <w:r>
        <w:rPr>
          <w:rStyle w:val="FootnoteReference"/>
        </w:rPr>
        <w:footnoteReference w:id="557"/>
      </w:r>
      <w:r>
        <w:t xml:space="preserve"> is in mystical language, [and] so [that] of Balaam is under the figurative expression of a star. But this is a plain prophecy without being veiled in any mystical language at all. There are several things contained in this prophecy of Christ. Here is his mediatorial office in general, Genesis 49:16. Here 'tis revealed how he should be a person to stand between them and God that was so terrible a being, a being of such awful majesty and holiness and justice that they could not have come to him and have intercourse with him immediately without a mediator</w:t>
      </w:r>
      <w:r>
        <w:rPr>
          <w:rStyle w:val="FootnoteReference"/>
        </w:rPr>
        <w:footnoteReference w:id="558"/>
      </w:r>
      <w:r>
        <w:t xml:space="preserve"> to stand between 'em, because if they came to such a dreadful sinrevenging God immediately, they should die; God would prove a consuming fire to 'em. And then here is a particular revelation of Christ with respect to his prophetical office ["I will raise them up a Prophet from among their brethren, like unto thee"]. And further, 'tis revealed what kind of prophet he should be, a prophet like unto Moses who was the head and leader of all the people and that under God had been their redeemer to bring 'em out of the house of bondage and was as it were their shepherd by whom God had led 'em through the Red Sea and the wilderness and was an intercessor. And was both a prophet and a king in the congregation, for Moses had the power of a king among them. 'Tis said of that one, Deuteronomy 33:5, "he was king in Jeshurun," and he was the prophet by whom God as it were built up his church and delivered his instruction of worship. Thus Christ was to be a prophet like unto Moses so that this is both the plainest and fullest prophecy of Christ that ever had been from the beginning of the world to this time.</w:t>
      </w:r>
    </w:p>
    <w:p>
      <w:pPr>
        <w:pStyle w:val="BodyText"/>
      </w:pPr>
      <w:r>
        <w:t xml:space="preserve">The next prophecy that I shall take notice [of] respects only the calling of the Gentiles, which should be after Christ's coming, of which God gave a very plain prophecy by Moses in the wilderness,</w:t>
      </w:r>
      <w:r>
        <w:rPr>
          <w:rStyle w:val="FootnoteReference"/>
        </w:rPr>
        <w:footnoteReference w:id="559"/>
      </w:r>
      <w:r>
        <w:t xml:space="preserve"> Deuteronomy 32:21 ["And I will move them to jealousy with those which are not a people; I will provoke them to anger with a foolish nation"]. This is a very plain prophecy of the rejecting the Jews and calling</w:t>
      </w:r>
    </w:p>
    <w:p>
      <w:pPr>
        <w:pStyle w:val="SourcePage"/>
      </w:pPr>
      <w:r>
        <w:t xml:space="preserve">[p. 189]</w:t>
      </w:r>
    </w:p>
    <w:p>
      <w:pPr>
        <w:pStyle w:val="BodyText"/>
      </w:pPr>
      <w:r>
        <w:t xml:space="preserve">the Gentiles. They moved God to jealousy by that which was not a god by casting off him and taking other gods that were not gods in his room. So god declares that he will move them to jealousy in like manner by casting off them and taking other people that had not been his people in their room. The apostle Paul takes notice of this prophecy as foretelling the calling the Gentiles in Romans 10:19–20, "But I say, did not Israel know? First Moses saith, I will provoke you to jealousy by them that are no people, and by a foolish nation I will anger you. But Esaias [is very bold]</w:t>
      </w:r>
      <w:r>
        <w:rPr>
          <w:rStyle w:val="FootnoteReference"/>
        </w:rPr>
        <w:footnoteReference w:id="560"/>
      </w:r>
      <w:r>
        <w:t xml:space="preserve"> and saith I was found of them that sought me not; I was made manifest unto them that asked not after me." Thus you see how the light of the gospel, which first began to dawn and glimmer immediately after the fall, gradually increase the nearer we come to Christ's time.</w:t>
      </w:r>
    </w:p>
    <w:p>
      <w:pPr>
        <w:pStyle w:val="BodyText"/>
      </w:pPr>
      <w:r>
        <w:t xml:space="preserve">10.</w:t>
      </w:r>
      <w:r>
        <w:rPr>
          <w:rStyle w:val="FootnoteReference"/>
        </w:rPr>
        <w:footnoteReference w:id="561"/>
      </w:r>
      <w:r>
        <w:t xml:space="preserve"> Another thing by which God carried on this work at this time was a remarkable pouring out of his spirit on the younger generation in the wilderness. The generation that was grown up when they came out of Egypt from twenty years old and upward was a very forward and</w:t>
      </w:r>
      <w:r>
        <w:rPr>
          <w:rStyle w:val="FootnoteReference"/>
        </w:rPr>
        <w:footnoteReference w:id="562"/>
      </w:r>
      <w:r>
        <w:t xml:space="preserve"> perverse generation. They were tainted with the idolatry and wickedness of Egypt and were never weaned from it, as the prophet Ezekiel takes notice, Ezekiel 20:6–8 ["In the day that I lifted up mine hand unto them, to bring them forth of the land of Egypt … said I unto them, … defile not yourselves with the idols of Egypt.… But they rebelled against me"]. Hence they made the golden calf in imitation of the idolatry of Egypt; they were wont to worship a bull or oxen, and therefore cattle are called "the abomination of the Egyptians," i.e. their idols.</w:t>
      </w:r>
    </w:p>
    <w:p>
      <w:pPr>
        <w:pStyle w:val="BodyText"/>
      </w:pPr>
      <w:r>
        <w:t xml:space="preserve">This generation God was exceeding angry with and swore in his wrath that they should not enter into his rest. But the younger generation were not so, the generation that were under twenty years old when they came out of Egypt and those that were born in the wilderness, the generation spoken of, Numbers 14:31, "But your little ones, which ye said should be a prey, them will I bring in, and they shall know the land that ye have despised." This was the generation with whom the covenant was renewed as we have an account in Deuteronomy, and that entered into the land of Canaan.</w:t>
      </w:r>
      <w:r>
        <w:rPr>
          <w:rStyle w:val="FootnoteReference"/>
        </w:rPr>
        <w:footnoteReference w:id="563"/>
      </w:r>
      <w:r>
        <w:t xml:space="preserve"> This generation God was pleased to make a generation to his praise, and they were</w:t>
      </w:r>
    </w:p>
    <w:p>
      <w:pPr>
        <w:pStyle w:val="SourcePage"/>
      </w:pPr>
      <w:r>
        <w:t xml:space="preserve">[p. 190]</w:t>
      </w:r>
    </w:p>
    <w:p>
      <w:pPr>
        <w:pStyle w:val="BodyText"/>
      </w:pPr>
      <w:r>
        <w:t xml:space="preserve">eminent for piety, as appears by many things said in the Scriptures about them, as particularly, Jeremiah 2:2–3, "I remember thee, the kindness of thy youth, the love of thine espousals, when … Israel was holiness to the Lord, … the firstfruits</w:t>
      </w:r>
      <w:r>
        <w:rPr>
          <w:rStyle w:val="FootnoteReference"/>
        </w:rPr>
        <w:footnoteReference w:id="564"/>
      </w:r>
      <w:r>
        <w:t xml:space="preserve"> of all his increase." Here the generation that went after God in the wilderness is spoken of with very high commendation as eminent for holiness, "Israel was holiness to the Lord and the firstfruits [of his increase]." And their love to God is spoken [of] as distinguishing, like the love of a bride at her espousals. The going after God in the wilderness that is here spoken of is not the going of the children of Israel out of Egypt into the wilderness of Sinai, but their following God through that dreadful wilderness that the congregation long wandered in after they went back from Kadesh Barnea, which is spoken of, Deuteronomy 8:15, "Who led thee through that great and terrible wilderness, wherein were fiery serpents, and scorpions, and drought where there was no water." Though this generation had a much greater trial than the generation of their fathers had before they came to Kadesh Barnea, yet [they] never murmured against God in any wise as their fathers had done. But their trials had a contrary effect upon [them] to awaken them, convince and humble them, and fit them for great mercy. They were awakened by those awful judgments of God that he inflicted on their fathers, whereby their carcasses fell in the wilderness and God poured out his spirit with those awakening providences towards their fathers, and their</w:t>
      </w:r>
      <w:r>
        <w:rPr>
          <w:rStyle w:val="FootnoteReference"/>
        </w:rPr>
        <w:footnoteReference w:id="565"/>
      </w:r>
      <w:r>
        <w:t xml:space="preserve"> own wilderness travail together with his word preached to 'em by Moses, whereby they were greatly awakened and made to see the badness of their own hearts, and be humbled, and at length multitudes of 'em savingly converted, as Deuteronomy 8:2–3, "And thou shalt remember the way which the Lord thy God led thee these forty years in the wilderness, to humble thee, and to prove [thee], and to know what was in thine heart, whether thou wouldst keep his commandments or no. And he humbled thee" etc. And Deuteronomy 8:16, "Who led thee through that great and terrible wilderness.… that he might humble thee, and that he might prove thee, to do thee good in thy latter [end]."</w:t>
      </w:r>
      <w:r>
        <w:rPr>
          <w:rStyle w:val="FootnoteReference"/>
        </w:rPr>
        <w:footnoteReference w:id="566"/>
      </w:r>
      <w:r>
        <w:t xml:space="preserve"> And therefore 'tis said, Hosea 13:5, "I did know thee in the wilderness, in the land of great drought." God allured 'em and</w:t>
      </w:r>
    </w:p>
    <w:p>
      <w:pPr>
        <w:pStyle w:val="SourcePage"/>
      </w:pPr>
      <w:r>
        <w:t xml:space="preserve">[p. 191]</w:t>
      </w:r>
    </w:p>
    <w:p>
      <w:pPr>
        <w:pStyle w:val="BodyText"/>
      </w:pPr>
      <w:r>
        <w:t xml:space="preserve">brought 'em into the wilderness, and spoke comfortably to 'em, as it was foretold that he would do afterwards, Hosea 2:14.</w:t>
      </w:r>
    </w:p>
    <w:p>
      <w:pPr>
        <w:pStyle w:val="BodyText"/>
      </w:pPr>
      <w:r>
        <w:t xml:space="preserve">Those terrible judgments that were executed in the congregation after their turning back from Kadesh Barnea in the matter of Korah and the matter of Peor, were chiefly on the old generation whom God consumed in the wilderness. For those rebellions were chiefly in the elders of the congregation which</w:t>
      </w:r>
      <w:r>
        <w:rPr>
          <w:rStyle w:val="FootnoteReference"/>
        </w:rPr>
        <w:footnoteReference w:id="567"/>
      </w:r>
      <w:r>
        <w:t xml:space="preserve"> were of the older generation that God had given up to their heart's lust; and they walked in their own counsels and God was grieved with their manners forty years in the wilderness.</w:t>
      </w:r>
      <w:r>
        <w:rPr>
          <w:rStyle w:val="FootnoteReference"/>
        </w:rPr>
        <w:footnoteReference w:id="568"/>
      </w:r>
    </w:p>
    <w:p>
      <w:pPr>
        <w:pStyle w:val="BodyText"/>
      </w:pPr>
      <w:r>
        <w:t xml:space="preserve">But that this younger congregation were eminent for piety appears by all their history. The former generation were wicked and followed with curses, but this was holy, and wonderful blessings followed them. God did great things for them. He fought for them and gave them the possession of Canaan, and as 'tis God's manner when he has very great blessings to bestow on a visible people first to fit them for them and then to bestow them upon 'em, so it was here. They believed in God and by faith overcame Sihon and Og and the giants of Canaan, and are commended for cleaving to the Lord, Joshua 23:8, Joshua says unto them, "Cleave unto the Lord as ye have done unto this day."</w:t>
      </w:r>
      <w:r>
        <w:rPr>
          <w:rStyle w:val="FootnoteReference"/>
        </w:rPr>
        <w:footnoteReference w:id="569"/>
      </w:r>
      <w:r>
        <w:t xml:space="preserve"> And so Israel did all the while that generation lived. But when Joshua and all that generation were dead, there arose another generation that knew not the Lord, Joshua 24:31.</w:t>
      </w:r>
      <w:r>
        <w:rPr>
          <w:rStyle w:val="FootnoteReference"/>
        </w:rPr>
        <w:footnoteReference w:id="570"/>
      </w:r>
      <w:r>
        <w:t xml:space="preserve"> This generation showed a laudable and fervent zeal for God on several occasions; on occasion of Achan's sin, but especially when they suspected the two tribes and half had set up an altar in opposition to the altar of burnt offering.</w:t>
      </w:r>
      <w:r>
        <w:rPr>
          <w:rStyle w:val="FootnoteReference"/>
        </w:rPr>
        <w:footnoteReference w:id="571"/>
      </w:r>
    </w:p>
    <w:p>
      <w:pPr>
        <w:pStyle w:val="SourcePage"/>
      </w:pPr>
      <w:r>
        <w:t xml:space="preserve">[p. 192]</w:t>
      </w:r>
    </w:p>
    <w:p>
      <w:pPr>
        <w:pStyle w:val="BodyText"/>
      </w:pPr>
      <w:r>
        <w:rPr>
          <w:rStyle w:val="FootnoteReference"/>
        </w:rPr>
        <w:footnoteReference w:id="572"/>
      </w:r>
      <w:r>
        <w:t xml:space="preserve">The men of the former wicked generation being dead and God having sanctified this younger generation to himself, he solemnly renewed his covenant with them as we have a particular account in the Deuteronomy 29.</w:t>
      </w:r>
      <w:r>
        <w:rPr>
          <w:rStyle w:val="FootnoteReference"/>
        </w:rPr>
        <w:footnoteReference w:id="573"/>
      </w:r>
      <w:r>
        <w:t xml:space="preserve"> We find that such solemn renovations of the covenant commonly accompanied any remarkable pouring out of the Spirit, causing a general reformation. So we find it was in Hezekiah's and Josiah's time</w:t>
      </w:r>
      <w:r>
        <w:rPr>
          <w:rStyle w:val="FootnoteReference"/>
        </w:rPr>
        <w:footnoteReference w:id="574"/>
      </w:r>
      <w:r>
        <w:t xml:space="preserve"> 'Tis questionable whether there ever was a time of so great a flourishing of religion in the Israelitish church as in that generation. And whether, as it was in the Christian church, religion was in its most flourishing circumstances in the day of its espousals—first setting up that church in the days of the apostles. So it was with the Jewish church in the days of its first establishment in Moses' and Joshua's times.</w:t>
      </w:r>
      <w:r>
        <w:rPr>
          <w:rStyle w:val="FootnoteReference"/>
        </w:rPr>
        <w:footnoteReference w:id="575"/>
      </w:r>
      <w:r>
        <w:t xml:space="preserve"> Thus God at this time did gloriously advance the Work of Redemption both by his word and by his Spirit.</w:t>
      </w:r>
    </w:p>
    <w:p>
      <w:pPr>
        <w:pStyle w:val="BodyText"/>
      </w:pPr>
      <w:r>
        <w:t xml:space="preserve">11.</w:t>
      </w:r>
      <w:r>
        <w:rPr>
          <w:rStyle w:val="FootnoteReference"/>
        </w:rPr>
        <w:footnoteReference w:id="576"/>
      </w:r>
      <w:r>
        <w:t xml:space="preserve"> The next thing that I would observe was God's bringing the people of Israel under the hand of Joshua and settling in that land where Christ was</w:t>
      </w:r>
      <w:r>
        <w:rPr>
          <w:rStyle w:val="FootnoteReference"/>
        </w:rPr>
        <w:footnoteReference w:id="577"/>
      </w:r>
      <w:r>
        <w:t xml:space="preserve"> to be born. And that was the great type of the heavenly Canaan that Christ purchased. This was done by Joshua who was of Joseph's posterity and was an eminent type of Christ, and is therefore called "the shepherd, the stone of Israel" in Jacob's blessing of Joseph, Genesis 49:24. Being such a type of Christ, he bore the name of Christ; Joshua and Jesus are the same name, only the one is Hebrew and the other Greek. And therefore in the New Testament, which was originally written in Greek, Joshua is called Jesus, Acts 7:45, "Which also our fathers … brought in with Jesus," i.e. Joshua, Hebrews 4:8, "If Jesus had given them rest, he would not have spoken of another day," i.e. if Joshua [had given them rest].</w:t>
      </w:r>
      <w:r>
        <w:rPr>
          <w:rStyle w:val="FootnoteReference"/>
        </w:rPr>
        <w:footnoteReference w:id="578"/>
      </w:r>
    </w:p>
    <w:p>
      <w:pPr>
        <w:pStyle w:val="SourcePage"/>
      </w:pPr>
      <w:r>
        <w:t xml:space="preserve">[p. 193]</w:t>
      </w:r>
    </w:p>
    <w:p>
      <w:pPr>
        <w:pStyle w:val="BodyText"/>
      </w:pPr>
      <w:r>
        <w:t xml:space="preserve">God wonderfully possessed his people of this land, conquering the former inhabitants of it and the mighty giants, as Christ conquered devils: first conquering the great kings of that part of the land that was on the eastern side of Jordan, Sihon, king of the Amorites, and Og, the king ‹of Bashan›, and then dividing the river Jordan as before he had done the Red Sea, causing the walls of Jericho to fall down flat at the sound of the trumpets of the priests, that sound typifying the sound of the gospel by the preaching of gospel ministers</w:t>
      </w:r>
      <w:r>
        <w:rPr>
          <w:rStyle w:val="FootnoteReference"/>
        </w:rPr>
        <w:footnoteReference w:id="579"/>
      </w:r>
      <w:r>
        <w:t xml:space="preserve"> and the walls of the accursed city, Jericho, signifying the walls of Satan's kingdom. And after this, wonderfully destroying the mighty host of the Amorites under the five kings, causing the sun and moon to stand still to help the people against their enemies at the prayer of the typical Jesus. Plainly holding this forth, that God would make the whole course of nature to be subservient to the affair of redemption so that everything should yield [to] the purposes of that work and give place to the welfare of God's redeemed people.</w:t>
      </w:r>
      <w:r>
        <w:rPr>
          <w:rStyle w:val="FootnoteReference"/>
        </w:rPr>
        <w:footnoteReference w:id="580"/>
      </w:r>
      <w:r>
        <w:t xml:space="preserve"> Thus did Christ show his great love to his elect that he would make the course of nature in the frame of the world that he had make and that he governed, to give place to their happiness and showed that sun and moon and all things visible and invisible were theirs by his purchase.</w:t>
      </w:r>
      <w:r>
        <w:rPr>
          <w:rStyle w:val="FootnoteReference"/>
        </w:rPr>
        <w:footnoteReference w:id="581"/>
      </w:r>
    </w:p>
    <w:p>
      <w:pPr>
        <w:pStyle w:val="BodyText"/>
      </w:pPr>
      <w:r>
        <w:t xml:space="preserve">At the same time Christ fought as the captain of their host and cast down great hailstones.</w:t>
      </w:r>
      <w:r>
        <w:rPr>
          <w:rStyle w:val="FootnoteReference"/>
        </w:rPr>
        <w:footnoteReference w:id="582"/>
      </w:r>
      <w:r>
        <w:t xml:space="preserve"> And after this Christ gave the people a mighty victory over a yet greater army in the</w:t>
      </w:r>
      <w:r>
        <w:rPr>
          <w:rStyle w:val="FootnoteReference"/>
        </w:rPr>
        <w:footnoteReference w:id="583"/>
      </w:r>
      <w:r>
        <w:t xml:space="preserve"> northern part of the land that were gathered together at the waters of Merom as the sand of the sea shore, as 'tis said, Joshua 11:4. And thus God gave the people whence Christ was to proceed the land where he was to be born and to live, and preach and work miracles, and die and rise again, and whence he was to ascend into heaven—as the land which was a great type, which is another thing whereby a great advance was made in the affair of redemption.</w:t>
      </w:r>
    </w:p>
    <w:p>
      <w:pPr>
        <w:pStyle w:val="BodyText"/>
      </w:pPr>
      <w:r>
        <w:t xml:space="preserve">12.</w:t>
      </w:r>
      <w:r>
        <w:rPr>
          <w:rStyle w:val="FootnoteReference"/>
        </w:rPr>
        <w:footnoteReference w:id="584"/>
      </w:r>
      <w:r>
        <w:t xml:space="preserve"> Another thing that God now did towards carrying on this</w:t>
      </w:r>
    </w:p>
    <w:p>
      <w:pPr>
        <w:pStyle w:val="SourcePage"/>
      </w:pPr>
      <w:r>
        <w:t xml:space="preserve">[p. 194]</w:t>
      </w:r>
    </w:p>
    <w:p>
      <w:pPr>
        <w:pStyle w:val="BodyText"/>
      </w:pPr>
      <w:r>
        <w:t xml:space="preserve">affair was his actually setting up his stated worship among the people as it had before been instituted in the wilderness. This worship appointed at Mount Sinai wholly in subserviency to this great affair of redemption. It was to make way for Christ's coming, and the innumerable ceremonial observances of it were typical of him and his redemption. This worship was chiefly instituted at Mount Sinai, but it was gradually set up in the practice.</w:t>
      </w:r>
      <w:r>
        <w:rPr>
          <w:rStyle w:val="FootnoteReference"/>
        </w:rPr>
        <w:footnoteReference w:id="585"/>
      </w:r>
      <w:r>
        <w:t xml:space="preserve"> It was partly set up in the wilderness where the tabernacle and its utensils were made,</w:t>
      </w:r>
      <w:r>
        <w:rPr>
          <w:rStyle w:val="FootnoteReference"/>
        </w:rPr>
        <w:footnoteReference w:id="586"/>
      </w:r>
      <w:r>
        <w:t xml:space="preserve"> but there were many parts of their instituted worship that could not be observed in the wilderness by reason of their unsettled itinerant state there. And then there were many precepts that respect the land of Canaan and their cities and places of habitation there which therefore could not be put in practice till they came into that land. But now when this was brought to pass, God set up his tabernacle in the midst of his people as he had before promised them, Leviticus 26:11, "I will set my tabernacle amongst you." The tabernacle was set up at Shiloh, Joshua 18:1, and the priests and Levites had their cities appointed them, and the cities of refuge were appointed. And now the people were in condition to observe their feasts of the firstfruits and their feasts of ingathering, and to bring all their tithes and appointed offerings to the Lord, and most parts of God's appointed worship were set up, though there were some things were not observed till afterwards.</w:t>
      </w:r>
      <w:r>
        <w:rPr>
          <w:rStyle w:val="FootnoteReference"/>
        </w:rPr>
        <w:footnoteReference w:id="587"/>
      </w:r>
    </w:p>
    <w:p>
      <w:pPr>
        <w:pStyle w:val="BodyText"/>
      </w:pPr>
      <w:r>
        <w:rPr>
          <w:rStyle w:val="FootnoteReference"/>
        </w:rPr>
        <w:footnoteReference w:id="588"/>
      </w:r>
      <w:r>
        <w:t xml:space="preserve">13.</w:t>
      </w:r>
      <w:r>
        <w:rPr>
          <w:rStyle w:val="FootnoteReference"/>
        </w:rPr>
        <w:footnoteReference w:id="589"/>
      </w:r>
      <w:r>
        <w:t xml:space="preserve"> The next thing I would take notice [of] was God's wonderfully preserving that people from this time forward when all the males went up three times in the year to the place where God's ark was.</w:t>
      </w:r>
      <w:r>
        <w:rPr>
          <w:rStyle w:val="FootnoteReference"/>
        </w:rPr>
        <w:footnoteReference w:id="590"/>
      </w:r>
      <w:r>
        <w:t xml:space="preserve"> The people of Israel generally were surrounded with enemies that sought all opportunities to destroy them and dispossess them of their land. And till David's time there were great numbers in the land of the remains of the Canaanites and the other former inhabitants of the land that were bitter enemies to the people. And these had from year to year to year, three times in the year, a fair opportunity of overrunning their country and getting possession of their cities</w:t>
      </w:r>
    </w:p>
    <w:p>
      <w:pPr>
        <w:pStyle w:val="SourcePage"/>
      </w:pPr>
      <w:r>
        <w:t xml:space="preserve">[p. 195]</w:t>
      </w:r>
    </w:p>
    <w:p>
      <w:pPr>
        <w:pStyle w:val="BodyText"/>
      </w:pPr>
      <w:r>
        <w:t xml:space="preserve">when all the males were gone and only the women and those that were not able to go up were left behind. And yet they were remarkably preserved throughout all generations at such seasons, agreeable to the promise that God had made, Exodus 34:23–24 ["For I will cast out the nations before thee, and enlarge thy borders"]</w:t>
      </w:r>
      <w:r>
        <w:rPr>
          <w:rStyle w:val="FootnoteReference"/>
        </w:rPr>
        <w:footnoteReference w:id="591"/>
      </w:r>
      <w:r>
        <w:t xml:space="preserve"> So wonderfully did God order affairs and influence the hearts of their enemies, that though they were so full of</w:t>
      </w:r>
      <w:r>
        <w:rPr>
          <w:rStyle w:val="FootnoteReference"/>
        </w:rPr>
        <w:footnoteReference w:id="592"/>
      </w:r>
      <w:r>
        <w:t xml:space="preserve"> enmity against Israel and of desire to dispossess them of their land, and had so fair and opportunity so often in their hands that the whole country was left naked and empty of all that could resist 'em, and it would have been only for them to have gone and taken possession and they could have had it without opposition, and though they were so eager to take other opportunities against them, yet we never read in all their history of any of their enemies taking these opportunities against [them]; which could be no less than a continual miracle that God, for the preservation of his church, kept up for so many generations even dispensation of divine providence to maintain and promote God's great design of redemption.</w:t>
      </w:r>
    </w:p>
    <w:p>
      <w:pPr>
        <w:pStyle w:val="BodyText"/>
      </w:pPr>
      <w:r>
        <w:t xml:space="preserve">14.</w:t>
      </w:r>
      <w:r>
        <w:rPr>
          <w:rStyle w:val="FootnoteReference"/>
        </w:rPr>
        <w:footnoteReference w:id="593"/>
      </w:r>
      <w:r>
        <w:t xml:space="preserve"> God's preserving his church and the true religion from being totally extinct in those frequent apostasies of the people in the time of the judges; how</w:t>
      </w:r>
      <w:r>
        <w:rPr>
          <w:rStyle w:val="FootnoteReference"/>
        </w:rPr>
        <w:footnoteReference w:id="594"/>
      </w:r>
      <w:r>
        <w:t xml:space="preserve"> prone was that people to forsake the true God that had done such wonderful things for 'em, and to fall into idolatry, and how did the land from time to time seem to be almost all overrun with idolatry. But yet God never suffered his true worship to be totally rooted out; his tabernacle stood still and the ark was preserved and the Book of the Law was kept from being destroyed and God's priesthood was upheld, and God still had a church among the people. And time after time, when religion seemed to be almost gone and it was come to the last extremity, then God granted a revival and sent some angel or prophet or raised up some eminent person to be an instrument of their reformation.</w:t>
      </w:r>
    </w:p>
    <w:p>
      <w:pPr>
        <w:pStyle w:val="BodyText"/>
      </w:pPr>
      <w:r>
        <w:t xml:space="preserve">15.</w:t>
      </w:r>
      <w:r>
        <w:rPr>
          <w:rStyle w:val="FootnoteReference"/>
        </w:rPr>
        <w:footnoteReference w:id="595"/>
      </w:r>
      <w:r>
        <w:t xml:space="preserve"> In God's preserving the nation from being destroyed and delivering them from time to time, although they were so often subdued and brought under the dominion of their enemies. It is a wonder not</w:t>
      </w:r>
    </w:p>
    <w:p>
      <w:pPr>
        <w:pStyle w:val="SourcePage"/>
      </w:pPr>
      <w:r>
        <w:t xml:space="preserve">[p. 196]</w:t>
      </w:r>
    </w:p>
    <w:p>
      <w:pPr>
        <w:pStyle w:val="BodyText"/>
      </w:pPr>
      <w:r>
        <w:t xml:space="preserve">only that the true religion was not wholly rooted out, and so the</w:t>
      </w:r>
      <w:r>
        <w:rPr>
          <w:rStyle w:val="FootnoteReference"/>
        </w:rPr>
        <w:footnoteReference w:id="596"/>
      </w:r>
      <w:r>
        <w:t xml:space="preserve"> church destroyed that way, but also that the very nation in which this church was, was not utterly destroyed; they were so often brought under the power of their enemies. One, while they were subdued by Chushanrishathaim, king of Mesopotamia,</w:t>
      </w:r>
      <w:r>
        <w:rPr>
          <w:rStyle w:val="FootnoteReference"/>
        </w:rPr>
        <w:footnoteReference w:id="597"/>
      </w:r>
      <w:r>
        <w:t xml:space="preserve"> another while [they were brought]</w:t>
      </w:r>
      <w:r>
        <w:rPr>
          <w:rStyle w:val="FootnoteReference"/>
        </w:rPr>
        <w:footnoteReference w:id="598"/>
      </w:r>
      <w:r>
        <w:t xml:space="preserve"> under the Moabites,</w:t>
      </w:r>
      <w:r>
        <w:rPr>
          <w:rStyle w:val="FootnoteReference"/>
        </w:rPr>
        <w:footnoteReference w:id="599"/>
      </w:r>
      <w:r>
        <w:t xml:space="preserve"> and then [under] Jabin, the king of Canaan,</w:t>
      </w:r>
      <w:r>
        <w:rPr>
          <w:rStyle w:val="FootnoteReference"/>
        </w:rPr>
        <w:footnoteReference w:id="600"/>
      </w:r>
      <w:r>
        <w:t xml:space="preserve"> and then under the Midianites,</w:t>
      </w:r>
      <w:r>
        <w:rPr>
          <w:rStyle w:val="FootnoteReference"/>
        </w:rPr>
        <w:footnoteReference w:id="601"/>
      </w:r>
      <w:r>
        <w:t xml:space="preserve"> and then were sore distressed by the children of Ammon,</w:t>
      </w:r>
      <w:r>
        <w:rPr>
          <w:rStyle w:val="FootnoteReference"/>
        </w:rPr>
        <w:footnoteReference w:id="602"/>
      </w:r>
      <w:r>
        <w:t xml:space="preserve"> and then [by the] Philistines.</w:t>
      </w:r>
      <w:r>
        <w:rPr>
          <w:rStyle w:val="FootnoteReference"/>
        </w:rPr>
        <w:footnoteReference w:id="603"/>
      </w:r>
      <w:r>
        <w:t xml:space="preserve"> But yet God in all these dangers preserved 'em and kept 'em from being wholly overthrown, and from time to time when it was come to extremity and God saw that they were upon the very brink of ruin, then God raised up a deliverer, agreeable to Deuteronomy 32:36 ["For the Lord shall judge his people, and repent himself for his servants, when he seeth that their power is gone, and there is none shut up, or left"].</w:t>
      </w:r>
    </w:p>
    <w:p>
      <w:pPr>
        <w:pStyle w:val="BodyText"/>
      </w:pPr>
      <w:r>
        <w:t xml:space="preserve">Those demonstrable dispensations of providence are very handily and elegantly set forth by the psalmist, Psalms 106:34 etc. ["They did not destroy the nations.… Nevertheless he regarded their affliction, when he heard their cry"].</w:t>
      </w:r>
      <w:r>
        <w:rPr>
          <w:rStyle w:val="FootnoteReference"/>
        </w:rPr>
        <w:footnoteReference w:id="604"/>
      </w:r>
      <w:r>
        <w:t xml:space="preserve"> These deliverers that God raised up from time to time were all types of the great redeemer</w:t>
      </w:r>
      <w:r>
        <w:rPr>
          <w:rStyle w:val="FootnoteReference"/>
        </w:rPr>
        <w:footnoteReference w:id="605"/>
      </w:r>
      <w:r>
        <w:t xml:space="preserve"> and deliverer of his church, and some of them very remarkably so, as particularly, Barak, Jephthah, Gideon, and Samson in very many particulars, and above all in the acts of Samson, as might be shown were it not that this would be too long.</w:t>
      </w:r>
      <w:r>
        <w:rPr>
          <w:rStyle w:val="FootnoteReference"/>
        </w:rPr>
        <w:footnoteReference w:id="606"/>
      </w:r>
    </w:p>
    <w:p>
      <w:pPr>
        <w:pStyle w:val="BodyText"/>
      </w:pPr>
      <w:r>
        <w:t xml:space="preserve">16.</w:t>
      </w:r>
      <w:r>
        <w:rPr>
          <w:rStyle w:val="FootnoteReference"/>
        </w:rPr>
        <w:footnoteReference w:id="607"/>
      </w:r>
      <w:r>
        <w:t xml:space="preserve"> It is observable that when Christ appeared to manage the affairs of his church in this period he often appeared also in the form of that nature that he took upon him in his incarnation. So he seems to have appeared to Moses from time to time, and particularly at that time when God spoke to him face to face as a man, and he beheld the "similitude of the Lord," Numbers 12:8. Then Moses beseeched him to show him his glory, which was the most remarkable vision that ever</w:t>
      </w:r>
    </w:p>
    <w:p>
      <w:pPr>
        <w:pStyle w:val="SourcePage"/>
      </w:pPr>
      <w:r>
        <w:t xml:space="preserve">[p. 197]</w:t>
      </w:r>
    </w:p>
    <w:p>
      <w:pPr>
        <w:pStyle w:val="BodyText"/>
      </w:pPr>
      <w:r>
        <w:t xml:space="preserve">he had of Christ.</w:t>
      </w:r>
      <w:r>
        <w:rPr>
          <w:rStyle w:val="FootnoteReference"/>
        </w:rPr>
        <w:footnoteReference w:id="608"/>
      </w:r>
      <w:r>
        <w:t xml:space="preserve"> There was a twofold discovery that Moses then had of Christ. One was spiritual, made to his mind by the word that was proclaimed when he proclaimed his name, saying ["The Lord, the Lord God, merciful and gracious, longsuffering, and abundant in goodness and truth"].</w:t>
      </w:r>
      <w:r>
        <w:rPr>
          <w:rStyle w:val="FootnoteReference"/>
        </w:rPr>
        <w:footnoteReference w:id="609"/>
      </w:r>
      <w:r>
        <w:t xml:space="preserve"> And another was external, which was that which Moses saw when Christ passed by and put him in the cleft of the rock and covered him with his hand while he passed by, and then took away his hand so that Moses saw his back parts; what he saw was doubtless the back parts of a glorious human form in which Christ appeared to him, and in all likelihood</w:t>
      </w:r>
      <w:r>
        <w:rPr>
          <w:rStyle w:val="FootnoteReference"/>
        </w:rPr>
        <w:footnoteReference w:id="610"/>
      </w:r>
      <w:r>
        <w:t xml:space="preserve"> the form of his glorified human nature in which he should afterwards, appear.</w:t>
      </w:r>
      <w:r>
        <w:rPr>
          <w:rStyle w:val="FootnoteReference"/>
        </w:rPr>
        <w:footnoteReference w:id="611"/>
      </w:r>
      <w:r>
        <w:t xml:space="preserve"> He saw not his face, for 'tis not to be supposed that any man could subsist under a sight of the glory of Christ's human nature as it now appears.</w:t>
      </w:r>
    </w:p>
    <w:p>
      <w:pPr>
        <w:pStyle w:val="BodyText"/>
      </w:pPr>
      <w:r>
        <w:t xml:space="preserve">So it was an human form in which Christ appeared to the seventy elders of which we have an account, Exodus 24:9–11, "Then went up Moses, and Aaron, Nadab, and Abihu, and seventy of the Elders [of Israel]: And they saw the God of Israel: and there was under his feet as it were a paved work of sapphire stone, and as it were the body [of heaven in his clearness. And upon the nobles of the children of Israel he laid not his hand: also they saw God, and did eat and drink]." So Christ appeared afterwards to Joshua in the form of the human nature, Joshua 5:13–15 ["And it came to pass, when Joshua was by Jericho, that he lifted up his eyes and looked, and, behold, there stood a man over against him with his sword drawn in his hand: and Joshua went unto him, and said unto him, Art thou for us, or for our adversaries? And he said, Nay; but as captain of the host of the Lord am I now come"]. And so he appeared to Gideon, Judges 6:11 etc. ["And there came an Angel of the Lord.… And the Angel of the Lord appeared unto him"]. So God appeared to Manoah, Judges 13:17–20 ["For it came to pass, when the flame went up toward heaven from off the altar, that the angel of the Lord ascended in the flame of the altar"].</w:t>
      </w:r>
      <w:r>
        <w:rPr>
          <w:rStyle w:val="FootnoteReference"/>
        </w:rPr>
        <w:footnoteReference w:id="612"/>
      </w:r>
      <w:r>
        <w:t xml:space="preserve"> Here Christ appeared to Manoah in a representation both of his incarnation and death: of his incarnation in that</w:t>
      </w:r>
    </w:p>
    <w:p>
      <w:pPr>
        <w:pStyle w:val="SourcePage"/>
      </w:pPr>
      <w:r>
        <w:t xml:space="preserve">[p. 198]</w:t>
      </w:r>
    </w:p>
    <w:p>
      <w:pPr>
        <w:pStyle w:val="BodyText"/>
      </w:pPr>
      <w:r>
        <w:t xml:space="preserve">he appeared in an human form, and of his death and sufferings represented by the sacrifice of this kid,</w:t>
      </w:r>
      <w:r>
        <w:rPr>
          <w:rStyle w:val="FootnoteReference"/>
        </w:rPr>
        <w:footnoteReference w:id="613"/>
      </w:r>
      <w:r>
        <w:t xml:space="preserve"> which Christ now signified by ascending up in the flame of the sacrifice—intimating that it was that was the great sacrifice that must be offered up to God for a sweet savor in the fire of his wrath, as that kid was burned and ascended up in that flame.</w:t>
      </w:r>
    </w:p>
    <w:p>
      <w:pPr>
        <w:pStyle w:val="BodyText"/>
      </w:pPr>
      <w:r>
        <w:t xml:space="preserve">Christ thus appeared time after time in the form of the nature he was afterwards to take upon him, because he now appeared on the same design and to carry on the same work that he was to appear in his nature to work out and carry on.</w:t>
      </w:r>
    </w:p>
    <w:p>
      <w:pPr>
        <w:pStyle w:val="SourcePage"/>
      </w:pPr>
      <w:r>
        <w:t xml:space="preserve">[p. 199]</w:t>
      </w:r>
    </w:p>
    <w:p>
      <w:pPr>
        <w:pStyle w:val="Heading2"/>
      </w:pPr>
      <w:bookmarkStart w:name="heading_sermon_seven" w:id="43"/>
      <w:r>
        <w:t xml:space="preserve">SERMON SEVEN</w:t>
      </w:r>
      <w:bookmarkEnd w:id="43"/>
    </w:p>
    <w:p>
      <w:pPr>
        <w:pStyle w:val="BodyText"/>
      </w:pPr>
      <w:r>
        <w:rPr>
          <w:rStyle w:val="FootnoteReference"/>
        </w:rPr>
        <w:footnoteReference w:id="614"/>
      </w:r>
    </w:p>
    <w:p>
      <w:pPr>
        <w:pStyle w:val="BodyText"/>
      </w:pPr>
      <w:r>
        <w:rPr>
          <w:rStyle w:val="FootnoteReference"/>
        </w:rPr>
        <w:footnoteReference w:id="615"/>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6" w:id="44"/>
      <w:r>
        <w:t xml:space="preserve">[DOCTRINE]</w:t>
      </w:r>
      <w:bookmarkEnd w:id="44"/>
    </w:p>
    <w:p>
      <w:pPr>
        <w:pStyle w:val="BlockQuote"/>
      </w:pPr>
      <w:r>
        <w:rPr>
          <w:i/>
          <w:iCs/>
        </w:rPr>
        <w:t xml:space="preserve">[The Work of Redemption is a work that God carries on from the fall of man to the end of the world.]</w:t>
      </w:r>
    </w:p>
    <w:p>
      <w:pPr>
        <w:pStyle w:val="BodyText"/>
      </w:pPr>
      <w:r>
        <w:t xml:space="preserve">17.</w:t>
      </w:r>
      <w:r>
        <w:rPr>
          <w:rStyle w:val="FootnoteReference"/>
        </w:rPr>
        <w:footnoteReference w:id="616"/>
      </w:r>
      <w:r>
        <w:t xml:space="preserve"> Another thing I would mention under this is the beginning of a succession of prophets and erecting a school of the prophets in Samuel's time. There was something of the spirit of prophecy in Israel after Moses before Samuel.</w:t>
      </w:r>
      <w:r>
        <w:rPr>
          <w:rStyle w:val="FootnoteReference"/>
        </w:rPr>
        <w:footnoteReference w:id="617"/>
      </w:r>
      <w:r>
        <w:t xml:space="preserve"> Joshua had it, and many of the judges had a degree of it,</w:t>
      </w:r>
      <w:r>
        <w:rPr>
          <w:rStyle w:val="FootnoteReference"/>
        </w:rPr>
        <w:footnoteReference w:id="618"/>
      </w:r>
      <w:r>
        <w:t xml:space="preserve"> and some of the high priests, particularly Eli. And that space of time was not wholly without instances of those that [were] especially set apart of God to that office, and so were called prophets. Such an one we read of, Judges 6:8, "The Lord sent a prophet unto the children of Israel, which said unto them,</w:t>
      </w:r>
      <w:r>
        <w:rPr>
          <w:rStyle w:val="FootnoteReference"/>
        </w:rPr>
        <w:footnoteReference w:id="619"/>
      </w:r>
      <w:r>
        <w:t xml:space="preserve"> etc." And such an one he seems to have been that we read of, 1 Samuel 2:27, "And there came a man of God to Eli, etc."</w:t>
      </w:r>
    </w:p>
    <w:p>
      <w:pPr>
        <w:pStyle w:val="BodyText"/>
      </w:pPr>
      <w:r>
        <w:t xml:space="preserve">But there was no such order of men upheld in Israel for any constancy before Samuel. The want of it is taken notice of in 1 Samuel 3:1, "And the word of the Lord was precious in those days; there was no open vision." But in Samuel there was begun a succession of prophets</w:t>
      </w:r>
    </w:p>
    <w:p>
      <w:pPr>
        <w:pStyle w:val="SourcePage"/>
      </w:pPr>
      <w:r>
        <w:t xml:space="preserve">[p. 200]</w:t>
      </w:r>
    </w:p>
    <w:p>
      <w:pPr>
        <w:pStyle w:val="BodyText"/>
      </w:pPr>
      <w:r>
        <w:t xml:space="preserve">that was maintained continually from that time, at least with very little interruption, till the spirit of prophecy ceased about Malachi's time. And therefore Samuel is spoken of in the New Testament as the beginning of this succession of prophets, Acts 3:24, "And all the prophets from Samuel and those that follow after, as many as have spoken, have foretold of these days." After Samuel was Nathan, and Gad, and Iddo, and Heman, and Asaph, and others. And afterwards at the latter end of Solomon's reign we read of Ahijah, and in Jeroboam and Rehoboam's time we read of prophets, and so continually, one prophet succeeded another till the captivity.</w:t>
      </w:r>
      <w:r>
        <w:rPr>
          <w:rStyle w:val="FootnoteReference"/>
        </w:rPr>
        <w:footnoteReference w:id="620"/>
      </w:r>
      <w:r>
        <w:t xml:space="preserve"> We read in the writings of those prophets that are inserted into the canon of the Scriptures, of prophets as being a constant order of men upheld in the land in those days. And in the time of</w:t>
      </w:r>
      <w:r>
        <w:rPr>
          <w:rStyle w:val="FootnoteReference"/>
        </w:rPr>
        <w:footnoteReference w:id="621"/>
      </w:r>
      <w:r>
        <w:t xml:space="preserve"> the captivity there were prophets still, as Ezekiel and Daniel, and after the captivity then more prophets, as Zechariah, Haggai, and Malachi.</w:t>
      </w:r>
    </w:p>
    <w:p>
      <w:pPr>
        <w:pStyle w:val="BodyText"/>
      </w:pPr>
      <w:r>
        <w:t xml:space="preserve">And because God intended a constant succession of prophets from Samuel's time, therefore in his time was begun a school of the prophets, that is, a school of young men that were trained up under some great prophet who was their master or teacher in the study of divine things and the practice of holiness, to fit them for this office as God should call them to it. Those young men that belonged to these schools were all called "sons of the prophets" and oftentimes they are called "prophets."</w:t>
      </w:r>
      <w:r>
        <w:rPr>
          <w:rStyle w:val="FootnoteReference"/>
        </w:rPr>
        <w:footnoteReference w:id="622"/>
      </w:r>
      <w:r>
        <w:t xml:space="preserve"> These at first were under the tuition of Samuel. Thus we read of Samuel's being appointed over them, 1 Samuel 19:20, "And when they saw the company of the prophets prophesying, and Samuel standing as appointed over them." The company of prophets that we read of, 1 Samuel 10:5, were the same. Afterwards we read of their being under Elijah. Elisha was one of his sons, but he desired to have a double portion of his spirit as his successor, as his first born, as the</w:t>
      </w:r>
      <w:r>
        <w:rPr>
          <w:rStyle w:val="FootnoteReference"/>
        </w:rPr>
        <w:footnoteReference w:id="623"/>
      </w:r>
      <w:r>
        <w:t xml:space="preserve"> eldest son was to have a double portion of the estate of his father. And therefore the sons of the prophets when they perceived that the spirit of Elijah rested on Elisha submitted themselves to him and owned him for their master as they had done Elijah before him, as you may see, 2 Kings 2:15, "And when the sons of the prophets</w:t>
      </w:r>
    </w:p>
    <w:p>
      <w:pPr>
        <w:pStyle w:val="SourcePage"/>
      </w:pPr>
      <w:r>
        <w:t xml:space="preserve">[p. 201]</w:t>
      </w:r>
    </w:p>
    <w:p>
      <w:pPr>
        <w:pStyle w:val="BodyText"/>
      </w:pPr>
      <w:r>
        <w:t xml:space="preserve">which were to view at Jericho [saw him] they said, The spirit of Elijah doth rest on Elisha. And they … bowed themselves to the ground before him."</w:t>
      </w:r>
    </w:p>
    <w:p>
      <w:pPr>
        <w:pStyle w:val="BodyText"/>
      </w:pPr>
      <w:r>
        <w:t xml:space="preserve">And so after this Elisha was their master or tutor. He had the instruction and care of them, as you may see, 2 Kings 4:38, "And Elisha came again to Gilgal: and there was a dearth in the land; and sons of the prophets were sitting before him: and he said unto his servant, Set on the great pot and seethe pottage for the sons of the prophets." In Elijah and Elisha's time there were several places where there resided companies of these sons of the prophets, as there was one at Bethel, and another at Jericho, and another at Gilgal, unless those at Gilgal and Jericho were the same. And possibly that that is called the college where Huldah the prophetess resided was another at Jerusalem; see 2 Kings 22:14, 'tis there said of Huldah the prophetess that she "dwelt in Jerusalem in the college."</w:t>
      </w:r>
      <w:r>
        <w:rPr>
          <w:rStyle w:val="FootnoteReference"/>
        </w:rPr>
        <w:footnoteReference w:id="624"/>
      </w:r>
      <w:r>
        <w:t xml:space="preserve"> They had houses built where they used to keep together. And therefore those at Jericho being multiplied, finding their house to be too little for them, desired leave of their master and teacher Elisha that they might go and hew timber to build a bigger ‹one›, as you may see in the beginning of the 2 Kings 6.</w:t>
      </w:r>
      <w:r>
        <w:rPr>
          <w:rStyle w:val="FootnoteReference"/>
        </w:rPr>
        <w:footnoteReference w:id="625"/>
      </w:r>
      <w:r>
        <w:t xml:space="preserve"> At sometimes there</w:t>
      </w:r>
      <w:r>
        <w:rPr>
          <w:rStyle w:val="FootnoteReference"/>
        </w:rPr>
        <w:footnoteReference w:id="626"/>
      </w:r>
      <w:r>
        <w:t xml:space="preserve"> [were] great numbers of these sons of the prophets in Israel, for when Jezebel cut off the prophets of the Lord it is said that Obadiah took an hundred of them and hid them by fifty in a cave, 1 Kings 18:4.</w:t>
      </w:r>
    </w:p>
    <w:p>
      <w:pPr>
        <w:pStyle w:val="BodyText"/>
      </w:pPr>
      <w:r>
        <w:t xml:space="preserve">These schools of the prophets, being set up by Samuel and afterwards kept up by such great prophets as Elijah and Elisha, must be of divine appointment. And accordingly we find that those sons of the prophets were often favored with a degree of inspiration while they continued under tuition in the schools of the prophets. And God commonly, when he called any prophet to the constant exercise of the prophetical office and to some extraordinary service, he took them from these schools though not universally. Hence the prophet Amos speaks of his being called to the prophetical office that he was one that had</w:t>
      </w:r>
      <w:r>
        <w:rPr>
          <w:rStyle w:val="FootnoteReference"/>
        </w:rPr>
        <w:footnoteReference w:id="627"/>
      </w:r>
      <w:r>
        <w:t xml:space="preserve"> not been educated in the schools of the prophets and was not one of the sons of the prophets, Amos 7:14–15 ["I was no prophet, neither was I a prophet's son; but I was an herdman.… And the Lord took me … and the Lord said … Go, prophesy"].</w:t>
      </w:r>
    </w:p>
    <w:p>
      <w:pPr>
        <w:pStyle w:val="SourcePage"/>
      </w:pPr>
      <w:r>
        <w:t xml:space="preserve">[p. 202]</w:t>
      </w:r>
    </w:p>
    <w:p>
      <w:pPr>
        <w:pStyle w:val="BodyText"/>
      </w:pPr>
      <w:r>
        <w:t xml:space="preserve">But Amos, taking notice of it as remarkable that he should be called to be a prophet that had not been educated in (a school of the prophets), shows that it was God's ordinary manner to take his prophets out of these schools; for therein he did but bless his own institutions.</w:t>
      </w:r>
    </w:p>
    <w:p>
      <w:pPr>
        <w:pStyle w:val="BodyText"/>
      </w:pPr>
      <w:r>
        <w:t xml:space="preserve">Now this remarkable dispensation of providence that we are upon, viz. God's beginning a constant succession of prophets in Samuel's time that was to last for many ages, and to that end as establishing a school of the prophets under Samuel thenceforward to be continued in Israel, was a step that God took in that great affair of redemption that we are upon. For the main business of all this succession of prophets was to foreshow Christ and the glorious redemption that he should accomplish, and so to prepare the way for his coming, as appears by that forementioned place, Acts 3:24, </w:t>
      </w:r>
      <w:r>
        <w:rPr>
          <w:rStyle w:val="FootnoteReference"/>
        </w:rPr>
        <w:footnoteReference w:id="628"/>
      </w:r>
      <w:r>
        <w:t xml:space="preserve"> and Acts 10:43, "To him give all the prophets witness," and Acts 3:18 ["But those things, which God before had shewed by the mouth of all his prophets, that Christ should suffer, he hath so fulfilled"]. "Yea and all the prophets from Samuel and them that follow after, as many as have spoken, have likewise foretold of these</w:t>
      </w:r>
      <w:r>
        <w:rPr>
          <w:rStyle w:val="FootnoteReference"/>
        </w:rPr>
        <w:footnoteReference w:id="629"/>
      </w:r>
      <w:r>
        <w:t xml:space="preserve"> days."</w:t>
      </w:r>
      <w:r>
        <w:rPr>
          <w:rStyle w:val="FootnoteReference"/>
        </w:rPr>
        <w:footnoteReference w:id="630"/>
      </w:r>
      <w:r>
        <w:t xml:space="preserve"> As I observed before, the Old Testament time was like a time of night wherein the church was not wholly without light, but had not the light of the sun directly but as reflected from the stars. Now these prophets were the stars that reflected the light of the sun, and accordingly they spoke abundantly of Jesus Christ, as appears by what we have of their prophecies in writing. And they made it very much their business when they studied in their schools or colleges and elsewhere, to search out the Work of Redemption agreeable to what the apostle Peter says of 'em, 1 Peter 1:10, 1 Peter 1:11 ["Of which salvation the prophets have inquired and searched diligently, who prophesied of the grace that should come unto you; searching what, or what manner of time the Spirit of Christ which was in them did signify, when it testified beforehand the sufferings of Christ, and the glory that should follow"]. We are told that the church of the Redeemer is "built on the foundation of the prophets and apostles," the Redeemer himself "being the chief corner stone," Ephesians 2:20.</w:t>
      </w:r>
    </w:p>
    <w:p>
      <w:pPr>
        <w:pStyle w:val="BodyText"/>
      </w:pPr>
      <w:r>
        <w:t xml:space="preserve">This was the first thing of this nature that ever was done in the world, and it was now a great thing that God did towards further advancing this great building of redemption. There had before been</w:t>
      </w:r>
    </w:p>
    <w:p>
      <w:pPr>
        <w:pStyle w:val="SourcePage"/>
      </w:pPr>
      <w:r>
        <w:t xml:space="preserve">[p. 203]</w:t>
      </w:r>
    </w:p>
    <w:p>
      <w:pPr>
        <w:pStyle w:val="BodyText"/>
      </w:pPr>
      <w:r>
        <w:t xml:space="preserve">occasional prophecies of Christ as was shown, but now the time drawing nearer when the Redeemer should come, it pleased God to appoint a certain order of men in constant</w:t>
      </w:r>
      <w:r>
        <w:rPr>
          <w:rStyle w:val="FootnoteReference"/>
        </w:rPr>
        <w:footnoteReference w:id="631"/>
      </w:r>
      <w:r>
        <w:t xml:space="preserve"> succession whose main business it should be to foreshow Christ and his redemption, and as his forerunners to prepare the way for his coming. And God established a school wherein multitudes were instructed and trained up to end, Revelation 19:10, "I am of thy brethren the prophets which have testimony of Jesus Christ: for the testimony of Jesus is the spirit of prophecy."</w:t>
      </w:r>
      <w:r>
        <w:rPr>
          <w:rStyle w:val="FootnoteReference"/>
        </w:rPr>
        <w:footnoteReference w:id="632"/>
      </w:r>
    </w:p>
    <w:p>
      <w:pPr>
        <w:pStyle w:val="BodyText"/>
      </w:pPr>
      <w:r>
        <w:t xml:space="preserve">I come now to the</w:t>
      </w:r>
    </w:p>
    <w:p>
      <w:pPr>
        <w:pStyle w:val="BodyText"/>
      </w:pPr>
      <w:r>
        <w:t xml:space="preserve">Fifth</w:t>
      </w:r>
      <w:r>
        <w:rPr>
          <w:rStyle w:val="FootnoteReference"/>
        </w:rPr>
        <w:footnoteReference w:id="633"/>
      </w:r>
      <w:r>
        <w:t xml:space="preserve"> period of the times of the Old Testament, beginning with David and extending to the Babylonish captivity, and would now proceed to show how the Work of Redemption was carried on through this period also. And here the,</w:t>
      </w:r>
    </w:p>
    <w:p>
      <w:pPr>
        <w:pStyle w:val="BodyText"/>
      </w:pPr>
      <w:r>
        <w:t xml:space="preserve">1.</w:t>
      </w:r>
      <w:r>
        <w:rPr>
          <w:rStyle w:val="FootnoteReference"/>
        </w:rPr>
        <w:footnoteReference w:id="634"/>
      </w:r>
      <w:r>
        <w:t xml:space="preserve"> [first] thing to be taken notice of is God's anointing this person that was to be the ancestor of Christ to be king over his people. The dispensations of providence that have been taken notice of through the last period from Moses to this time, respect the people whence Christ was to proceed. But now the Scripture history leads us to consider God's providence towards that particular person whence Christ was to proceed, viz. David. It pleased God at this time remarkably to select out that person of whom Christ was to come from all the thousands of Israel and to put a most honorable mark of distinction upon him by anointing him to be king over his people. It was only</w:t>
      </w:r>
      <w:r>
        <w:rPr>
          <w:rStyle w:val="FootnoteReference"/>
        </w:rPr>
        <w:footnoteReference w:id="635"/>
      </w:r>
      <w:r>
        <w:t xml:space="preserve"> God that could find him out; his father's house is spoken of as being little in Israel, and he was the youngest of all the sons of his father and was least expected to be the man that God had chosen by Samuel.</w:t>
      </w:r>
      <w:r>
        <w:rPr>
          <w:rStyle w:val="FootnoteReference"/>
        </w:rPr>
        <w:footnoteReference w:id="636"/>
      </w:r>
      <w:r>
        <w:t xml:space="preserve"> God had before in the former ages of the world remarkably distinguished the persons from whom Christ was to come, as God did Seth, and Noah, and Abraham, and Isaac, and Jacob. But the last that we have any account of God's marking out in any notable manner the very person of whom Christ was to come was in Jacob's blessing of his son Judah, unless be reckoned Nahshon's advancement in the wilderness to be the head of the tribe of Judah.</w:t>
      </w:r>
      <w:r>
        <w:rPr>
          <w:rStyle w:val="FootnoteReference"/>
        </w:rPr>
        <w:footnoteReference w:id="637"/>
      </w:r>
      <w:r>
        <w:t xml:space="preserve"> But this</w:t>
      </w:r>
    </w:p>
    <w:p>
      <w:pPr>
        <w:pStyle w:val="SourcePage"/>
      </w:pPr>
      <w:r>
        <w:t xml:space="preserve">[p. 204]</w:t>
      </w:r>
    </w:p>
    <w:p>
      <w:pPr>
        <w:pStyle w:val="BodyText"/>
      </w:pPr>
      <w:r>
        <w:t xml:space="preserve">distinction of the person of whom Christ was to come in David was very honorable, for it was God's anointing him to be king over his people.</w:t>
      </w:r>
      <w:r>
        <w:rPr>
          <w:rStyle w:val="FootnoteReference"/>
        </w:rPr>
        <w:footnoteReference w:id="638"/>
      </w:r>
      <w:r>
        <w:t xml:space="preserve"> And there was something further denoted by David's anointing than was in the anointing of Saul. God anointed Saul to be king personally, but God intended something further by sending Samuel to anoint David, viz. to establish the crown of Israel on him and in his family as long as Israel continued to be a kingdom.</w:t>
      </w:r>
      <w:r>
        <w:rPr>
          <w:rStyle w:val="FootnoteReference"/>
        </w:rPr>
        <w:footnoteReference w:id="639"/>
      </w:r>
      <w:r>
        <w:t xml:space="preserve"> And not only so but which was infinitely more still, establishing the crown of his universal church, his spiritual Israel, in his seed to the end of the world and throughout all eternity.</w:t>
      </w:r>
      <w:r>
        <w:rPr>
          <w:rStyle w:val="FootnoteReference"/>
        </w:rPr>
        <w:footnoteReference w:id="640"/>
      </w:r>
      <w:r>
        <w:t xml:space="preserve"> This was a great dispensation of God and a great step taken towards a further advancing the Work of Redemption according as the time now drew near wherein Christ was to come.</w:t>
      </w:r>
    </w:p>
    <w:p>
      <w:pPr>
        <w:pStyle w:val="BodyText"/>
      </w:pPr>
      <w:r>
        <w:t xml:space="preserve">David as he was the ancestor of Christ so he was the greatest personal type of Christ of all under the Old Testament. The types of Christ were of three sorts: those types of institution or instituted types, and providential types, and personal types. The ordinance of sacrificing was the greatest of the instituted types, and the redemption out of Egypt was the greatest of the providential types, and David the greatest of the personal types.</w:t>
      </w:r>
      <w:r>
        <w:rPr>
          <w:rStyle w:val="FootnoteReference"/>
        </w:rPr>
        <w:footnoteReference w:id="641"/>
      </w:r>
      <w:r>
        <w:t xml:space="preserve"> Hence Christ is often called David in the prophecies of Scripture, Ezekiel 34:23–24 ["And I will set up one shepherd over them, and he shall feed them, even my servant David: … My servant David a prince among them"], Ezekiel 37:24, "David my servant shall be king over them," and so in many other places. Christ is very often spoken of as the seed of David and the son of David.</w:t>
      </w:r>
      <w:r>
        <w:rPr>
          <w:rStyle w:val="FootnoteReference"/>
        </w:rPr>
        <w:footnoteReference w:id="642"/>
      </w:r>
    </w:p>
    <w:p>
      <w:pPr>
        <w:pStyle w:val="BodyText"/>
      </w:pPr>
      <w:r>
        <w:t xml:space="preserve">David being the ancestor and great type of Christ, his being solemnly anointed by God to be king over his people, that the kingdom of his church might be continued in his family forever, his anointing may in</w:t>
      </w:r>
      <w:r>
        <w:rPr>
          <w:rStyle w:val="FootnoteReference"/>
        </w:rPr>
        <w:footnoteReference w:id="643"/>
      </w:r>
      <w:r>
        <w:t xml:space="preserve"> some respects be looked on as an anointing of Christ himself. Christ was as it were anointed in him. And therefore Christ's anointing</w:t>
      </w:r>
    </w:p>
    <w:p>
      <w:pPr>
        <w:pStyle w:val="SourcePage"/>
      </w:pPr>
      <w:r>
        <w:t xml:space="preserve">[p. 205]</w:t>
      </w:r>
    </w:p>
    <w:p>
      <w:pPr>
        <w:pStyle w:val="BodyText"/>
      </w:pPr>
      <w:r>
        <w:t xml:space="preserve">and David's anointing are spoken of under one in Scripture, as Psalms 89:20, "I have found David my servant; with mine holy oil [I have anointed him]." And David's throne and Christ's are spoken of as one, Luke 1:32, "give him the throne of his father David," Acts 2:30, "David knowing that God had sworn with an oath [to him], that of the fruit of his loins, according to the flesh, he would raise up Christ to sit on his throne."</w:t>
      </w:r>
      <w:r>
        <w:rPr>
          <w:rStyle w:val="FootnoteReference"/>
        </w:rPr>
        <w:footnoteReference w:id="644"/>
      </w:r>
    </w:p>
    <w:p>
      <w:pPr>
        <w:pStyle w:val="BodyText"/>
      </w:pPr>
      <w:r>
        <w:t xml:space="preserve">Thus God's beginning of the kingdom of his church in the house of David was, as it were, a new establishing of the kingdom of Christ, the beginning of it in a state of such visibility as it thenceforward continued in. It was, as it were, God's planting the root whence that branch of righteousness was afterwards to spring up that was to be the everlasting king of his church, and therefore this everlasting king is called a branch from "the stem of Jesse and a branch out of his roots," Isaiah 11:1, "And there shall come forth a rod out of the stem of Jesse and a branch shall grow out of his roots"; Jeremiah 23:5, "Behold, the days come, saith the Lord, that I will raise up unto David a righteous branch, and a King shall reign and prosper." So Jeremiah 33:15, "In those days, and at that time, I will cause the branch of righteousness to grow up unto David; and he shall execute judgment and righteousness in the land." So Christ in the New Testament is called "the root and offspring</w:t>
      </w:r>
      <w:r>
        <w:rPr>
          <w:rStyle w:val="FootnoteReference"/>
        </w:rPr>
        <w:footnoteReference w:id="645"/>
      </w:r>
      <w:r>
        <w:t xml:space="preserve"> of David," Revelation 22:16.</w:t>
      </w:r>
      <w:r>
        <w:rPr>
          <w:rStyle w:val="FootnoteReference"/>
        </w:rPr>
        <w:footnoteReference w:id="646"/>
      </w:r>
    </w:p>
    <w:p>
      <w:pPr>
        <w:pStyle w:val="BodyText"/>
      </w:pPr>
      <w:r>
        <w:t xml:space="preserve">'Tis observable that God anointed David after Saul to reign in his room. He took away the crown from him and his family who was higher in stature than any of his people and was in their eye fittest to bear rule, to give it to David who was low of stature and in comparison of despicable appearance. So God was pleased to show how Christ who appeared despicable, without form [or comeliness], and was despised and rejected [of men], should take the kingdom from the great ones of the earth.</w:t>
      </w:r>
      <w:r>
        <w:rPr>
          <w:rStyle w:val="FootnoteReference"/>
        </w:rPr>
        <w:footnoteReference w:id="647"/>
      </w:r>
      <w:r>
        <w:t xml:space="preserve"> And also that he was the youngest of Jesse's sons, as Jacob the younger brother supplanted Esau and got the birthright and blessing from him; and as Pharez another of Christ's ancestors supplanted Zarah in the birth, and as Isaac another</w:t>
      </w:r>
    </w:p>
    <w:p>
      <w:pPr>
        <w:pStyle w:val="SourcePage"/>
      </w:pPr>
      <w:r>
        <w:t xml:space="preserve">[p. 206]</w:t>
      </w:r>
    </w:p>
    <w:p>
      <w:pPr>
        <w:pStyle w:val="BodyText"/>
      </w:pPr>
      <w:r>
        <w:t xml:space="preserve">of the ancestors of Christ cast out his elder brother Ishmael: thus was that frequent saying of Christ fulfilled, "The last shall be first and [the first last]."</w:t>
      </w:r>
      <w:r>
        <w:rPr>
          <w:rStyle w:val="FootnoteReference"/>
        </w:rPr>
        <w:footnoteReference w:id="648"/>
      </w:r>
    </w:p>
    <w:p>
      <w:pPr>
        <w:pStyle w:val="BodyText"/>
      </w:pPr>
      <w:r>
        <w:rPr>
          <w:rStyle w:val="FootnoteReference"/>
        </w:rPr>
        <w:footnoteReference w:id="649"/>
      </w:r>
      <w:r>
        <w:t xml:space="preserve">2.</w:t>
      </w:r>
      <w:r>
        <w:rPr>
          <w:rStyle w:val="FootnoteReference"/>
        </w:rPr>
        <w:footnoteReference w:id="650"/>
      </w:r>
      <w:r>
        <w:t xml:space="preserve"> The next thing I would observe is God's so preserving David's life by a series of wonderful providences till Saul's death. I before took notice of the wonderful preservation of other particular persons that were the ancestors of Christ, as Noah, Abraham, Isaac, and Jacob, and have observed how in that Christ the great Redeemer was to proceed from them, that in their preservation the Work of Redemption itself may be looked upon as preserved from being defeated, and the whole church which is redeemed through him. But the preservation of David was no less remarkable than of any others that have been already taken notice of. How often was it so that there was but a step between him and death. The first instance of it we have in his encountering a lion and a bear when they had caught a lamb out of his flock, which without miraculous assistance could at once have rent this young stripling in pieces, as they could this lamb that he delivered from them.</w:t>
      </w:r>
      <w:r>
        <w:rPr>
          <w:rStyle w:val="FootnoteReference"/>
        </w:rPr>
        <w:footnoteReference w:id="651"/>
      </w:r>
      <w:r>
        <w:t xml:space="preserve"> So afterwards the root and offspring of David was preserved from the roaring lion that goes about, and conquered him, and rescued the poor souls of men that were as lambs in the mouth of this</w:t>
      </w:r>
      <w:r>
        <w:rPr>
          <w:rStyle w:val="FootnoteReference"/>
        </w:rPr>
        <w:footnoteReference w:id="652"/>
      </w:r>
      <w:r>
        <w:t xml:space="preserve"> lion.</w:t>
      </w:r>
      <w:r>
        <w:rPr>
          <w:rStyle w:val="FootnoteReference"/>
        </w:rPr>
        <w:footnoteReference w:id="653"/>
      </w:r>
    </w:p>
    <w:p>
      <w:pPr>
        <w:pStyle w:val="BodyText"/>
      </w:pPr>
      <w:r>
        <w:t xml:space="preserve">Another remarkable instance was in preserving him from that mighty giant, Goliath, who was strong enough to have taken him and picked him to pieces with his fingers, and have given his flesh to the beasts of the field [and to] the fowls of the air, as he threatened him. But God preserved him from him, and gave him the victory over him, so that he cut off his head with his own sword and made him therein the deliverer of his people, as Christ slew the spiritual Goliath with his own weapon, the cross, and so delivered his people.</w:t>
      </w:r>
      <w:r>
        <w:rPr>
          <w:rStyle w:val="FootnoteReference"/>
        </w:rPr>
        <w:footnoteReference w:id="654"/>
      </w:r>
      <w:r>
        <w:t xml:space="preserve"> And how remarkably did God preserve him from being slain by Saul when he first sought his life, by giving him his daughter to be a snare to him that the hand of the Philistines might be upon him, requiring him to pay for her by an hundred foreskins of the Philistines that so</w:t>
      </w:r>
    </w:p>
    <w:p>
      <w:pPr>
        <w:pStyle w:val="SourcePage"/>
      </w:pPr>
      <w:r>
        <w:t xml:space="preserve">[p. 207]</w:t>
      </w:r>
    </w:p>
    <w:p>
      <w:pPr>
        <w:pStyle w:val="BodyText"/>
      </w:pPr>
      <w:r>
        <w:t xml:space="preserve">his life might be exposed to them.</w:t>
      </w:r>
      <w:r>
        <w:rPr>
          <w:rStyle w:val="FootnoteReference"/>
        </w:rPr>
        <w:footnoteReference w:id="655"/>
      </w:r>
      <w:r>
        <w:t xml:space="preserve"> And preserving him afterwards to Jonathan and all his servants to kill David. And inclining Jonathan, instead of his killing him as his father bade him, to love him as his own soul and to be a great instrument of his preservation, even so as to expose his own life to preserve David's, though one would have thought that none would have been more willing to have David killed than Jonathan, seeing that he was competitor with</w:t>
      </w:r>
      <w:r>
        <w:rPr>
          <w:rStyle w:val="FootnoteReference"/>
        </w:rPr>
        <w:footnoteReference w:id="656"/>
      </w:r>
      <w:r>
        <w:t xml:space="preserve"> him for his father's crown.</w:t>
      </w:r>
      <w:r>
        <w:rPr>
          <w:rStyle w:val="FootnoteReference"/>
        </w:rPr>
        <w:footnoteReference w:id="657"/>
      </w:r>
      <w:r>
        <w:t xml:space="preserve"> And again, saving him when Saul threw a javelin at him to smite him even to the wall.</w:t>
      </w:r>
      <w:r>
        <w:rPr>
          <w:rStyle w:val="FootnoteReference"/>
        </w:rPr>
        <w:footnoteReference w:id="658"/>
      </w:r>
      <w:r>
        <w:t xml:space="preserve"> And again, preserving him when he sent messengers to his house to watch him and to kill him when Michal, Saul's daughter, let him down through a window.</w:t>
      </w:r>
      <w:r>
        <w:rPr>
          <w:rStyle w:val="FootnoteReference"/>
        </w:rPr>
        <w:footnoteReference w:id="659"/>
      </w:r>
      <w:r>
        <w:t xml:space="preserve"> And when he afterwards sent messengers once and again to Naioth in Ramah to take him, and they were remarkably prevented time after time by being seized with miraculous impressions of the spirit of God.</w:t>
      </w:r>
      <w:r>
        <w:rPr>
          <w:rStyle w:val="FootnoteReference"/>
        </w:rPr>
        <w:footnoteReference w:id="660"/>
      </w:r>
      <w:r>
        <w:t xml:space="preserve"> And afterwards when Saul being resolute in the affair went himself, he also was among the prophets.</w:t>
      </w:r>
      <w:r>
        <w:rPr>
          <w:rStyle w:val="FootnoteReference"/>
        </w:rPr>
        <w:footnoteReference w:id="661"/>
      </w:r>
      <w:r>
        <w:t xml:space="preserve"> And after this how wonderfully was David's life preserved at Gath among the Philistines when he went to Achish, the king of Gath, and was there in the hands of the Philistines who one would have thought would have dispatched him at once, he having so much provoked 'em by his exploits against them.</w:t>
      </w:r>
      <w:r>
        <w:rPr>
          <w:rStyle w:val="FootnoteReference"/>
        </w:rPr>
        <w:footnoteReference w:id="662"/>
      </w:r>
      <w:r>
        <w:t xml:space="preserve"> And he was again wonderfully preserved at Keilah when he had entered into a fenced town where Saul thought he was sure of him.</w:t>
      </w:r>
      <w:r>
        <w:rPr>
          <w:rStyle w:val="FootnoteReference"/>
        </w:rPr>
        <w:footnoteReference w:id="663"/>
      </w:r>
      <w:r>
        <w:t xml:space="preserve"> And how wonderfully was he preserved from Saul when he pursued and hunted him in the mountains; how remarkably did God deliver him in the wilderness of Maon when Saul and his army were compassing David about; how was he delivered in the cave of Engedi when instead of Saul's killing David, God delivered Saul into his hands</w:t>
      </w:r>
      <w:r>
        <w:rPr>
          <w:rStyle w:val="FootnoteReference"/>
        </w:rPr>
        <w:footnoteReference w:id="664"/>
      </w:r>
      <w:r>
        <w:t xml:space="preserve"> in the cave, and he cut off his skirt and as easily [might] have cut off his head. And afterwards delivering him in like manner in the wilderness of Ziph.</w:t>
      </w:r>
      <w:r>
        <w:rPr>
          <w:rStyle w:val="FootnoteReference"/>
        </w:rPr>
        <w:footnoteReference w:id="665"/>
      </w:r>
      <w:r>
        <w:t xml:space="preserve"> And afterwards again preserving him in the</w:t>
      </w:r>
    </w:p>
    <w:p>
      <w:pPr>
        <w:pStyle w:val="SourcePage"/>
      </w:pPr>
      <w:r>
        <w:t xml:space="preserve">[p. 208]</w:t>
      </w:r>
    </w:p>
    <w:p>
      <w:pPr>
        <w:pStyle w:val="BodyText"/>
      </w:pPr>
      <w:r>
        <w:t xml:space="preserve">land of the Philistines, though David had fought against the Philistines and conquered 'em at Keilah, since he was last among them, which one would think would have been sufficient warning to 'em not to trust him or let him escape a second time if ever they had him in their hands again. But yet now when they had a second opportunity, God wonderfully turned their hearts to him to befriend and protect him instead of destroying him.</w:t>
      </w:r>
      <w:r>
        <w:rPr>
          <w:rStyle w:val="FootnoteReference"/>
        </w:rPr>
        <w:footnoteReference w:id="666"/>
      </w:r>
      <w:r>
        <w:t xml:space="preserve"> Thus was the precious seed that virtually contained the Redeemer and all the blessings of his redemption so wonderfully preserved when hell and earth were conspired against it to destroy it. How often does David himself take notice of this with praise and admiration in the book of Psalms.</w:t>
      </w:r>
      <w:r>
        <w:rPr>
          <w:rStyle w:val="FootnoteReference"/>
        </w:rPr>
        <w:footnoteReference w:id="667"/>
      </w:r>
    </w:p>
    <w:p>
      <w:pPr>
        <w:pStyle w:val="BodyText"/>
      </w:pPr>
      <w:r>
        <w:t xml:space="preserve">3.</w:t>
      </w:r>
      <w:r>
        <w:rPr>
          <w:rStyle w:val="FootnoteReference"/>
        </w:rPr>
        <w:footnoteReference w:id="668"/>
      </w:r>
      <w:r>
        <w:t xml:space="preserve"> About this time the written word of God, or the canon of the Scripture, was added to by Samuel. I have before observed how that the</w:t>
      </w:r>
      <w:r>
        <w:rPr>
          <w:rStyle w:val="FootnoteReference"/>
        </w:rPr>
        <w:footnoteReference w:id="669"/>
      </w:r>
      <w:r>
        <w:t xml:space="preserve"> canon of the Scripture was begun, and the first written word of God, the first written rule of faith and manners that ever was, was given to the church about Moses' time. And many and I don't know but most divines think it was added to by Joshua, and that he wrote the last chapter of Deuteronomy and most of the book of Joshua. Others think that Joshua, Judges, Ruth, and part of the first book of Samuel were written by Samuel. However that was, this we have good evidence of, that Samuel made an addition to the canon of the Scripture, for Samuel is manifestly mentioned in the New Testament as one of the prophets whose writings we have in the Scriptures in that forementioned place, Acts 3:24, "Yea, and all the prophets from Samuel and those [that follow after], as many as have spoken, have likewise foretold of these days." And by this expression "as many as have spoken" can't be meant as many as have spoken by word of mouth, for there never was any prophet but what did that. But the meaning must be as many as have spoken by writing so that what they have spoken is come down to us that we may see what it is. And the way that Samuel spoke of these times of Christ and the gospel was by giving the history of those things that typified</w:t>
      </w:r>
      <w:r>
        <w:rPr>
          <w:rStyle w:val="FootnoteReference"/>
        </w:rPr>
        <w:footnoteReference w:id="670"/>
      </w:r>
      <w:r>
        <w:t xml:space="preserve"> them and pointed to them, particularly the things concerning David that he wrote of. The</w:t>
      </w:r>
    </w:p>
    <w:p>
      <w:pPr>
        <w:pStyle w:val="SourcePage"/>
      </w:pPr>
      <w:r>
        <w:t xml:space="preserve">[p. 209]</w:t>
      </w:r>
    </w:p>
    <w:p>
      <w:pPr>
        <w:pStyle w:val="BodyText"/>
      </w:pPr>
      <w:r>
        <w:t xml:space="preserve">Spirit of God moved him to commit these things to writing chiefly for that reason, because they pointed to Christ and the times of the gospel. And as was said before this was the main business of all that succession of prophets that began in Samuel to foreshow these times.</w:t>
      </w:r>
    </w:p>
    <w:p>
      <w:pPr>
        <w:pStyle w:val="BodyText"/>
      </w:pPr>
      <w:r>
        <w:t xml:space="preserve">That Samuel added to the canon of the Scripture seems further to appear from 1 Chronicles 29:29, "Now the acts of David the King, first and last, behold, they are written in the book of Samuel the seer, and in the book of Nathan the prophet, and in the book of Gad the seer." Whether the book of Joshua was written by Samuel or no, yet 'tis the general opinion of divines that the book of Judges, and Ruth, and part of the first book of Samuel were penned by him. The book of Ruth was penned for that reason because though it seemed to treat of private affairs, yet were [they]</w:t>
      </w:r>
      <w:r>
        <w:rPr>
          <w:rStyle w:val="FootnoteReference"/>
        </w:rPr>
        <w:footnoteReference w:id="671"/>
      </w:r>
      <w:r>
        <w:t xml:space="preserve"> of the family whence David and Christ proceeded. And so pointed to the times of the gospel agreeable to what the apostle Peter observed of Samuel and the other prophets in the Acts 3.</w:t>
      </w:r>
      <w:r>
        <w:rPr>
          <w:rStyle w:val="FootnoteReference"/>
        </w:rPr>
        <w:footnoteReference w:id="672"/>
      </w:r>
      <w:r>
        <w:t xml:space="preserve"> The thus adding to the canon of the Scriptures the great and main instrument of the application of redemption is to be looked upon [as] a further carrying on that work and an addition made to that great building.</w:t>
      </w:r>
    </w:p>
    <w:p>
      <w:pPr>
        <w:pStyle w:val="BodyText"/>
      </w:pPr>
      <w:r>
        <w:t xml:space="preserve">4.</w:t>
      </w:r>
      <w:r>
        <w:rPr>
          <w:rStyle w:val="FootnoteReference"/>
        </w:rPr>
        <w:footnoteReference w:id="673"/>
      </w:r>
      <w:r>
        <w:t xml:space="preserve"> Another thing God did towards this work at that time was his inspiring David to show forth Christ and his redemption in divine songs which should be for the use of the church in private and public worship throughout all ages.</w:t>
      </w:r>
      <w:r>
        <w:rPr>
          <w:rStyle w:val="FootnoteReference"/>
        </w:rPr>
        <w:footnoteReference w:id="674"/>
      </w:r>
      <w:r>
        <w:t xml:space="preserve"> David was himself endowed with the spirit of prophecy. He is called, "a prophet," Acts 2:29–30, "Let me speak freely to you of the patriarch David, that he is both dead and buried, and his sepulchre is with us to this day. Therefore being a prophet, and knowing that God had sworn with an oath, etc."</w:t>
      </w:r>
      <w:r>
        <w:rPr>
          <w:rStyle w:val="FootnoteReference"/>
        </w:rPr>
        <w:footnoteReference w:id="675"/>
      </w:r>
      <w:r>
        <w:t xml:space="preserve"> So that herein he was a type of Christ that he was both a prophet and a king. We have no certain account of the time when David was first endowed with the spirit of prophecy, but it is manifest that it either was at the time that Samuel anointed him or very soon after, for he appears soon after acted by this spirit</w:t>
      </w:r>
      <w:r>
        <w:rPr>
          <w:rStyle w:val="FootnoteReference"/>
        </w:rPr>
        <w:footnoteReference w:id="676"/>
      </w:r>
      <w:r>
        <w:t xml:space="preserve"> in the affair of Goliath.</w:t>
      </w:r>
      <w:r>
        <w:rPr>
          <w:rStyle w:val="FootnoteReference"/>
        </w:rPr>
        <w:footnoteReference w:id="677"/>
      </w:r>
      <w:r>
        <w:t xml:space="preserve"> And then great part of his psalms were penned in the time of his troubles</w:t>
      </w:r>
    </w:p>
    <w:p>
      <w:pPr>
        <w:pStyle w:val="SourcePage"/>
      </w:pPr>
      <w:r>
        <w:t xml:space="preserve">[p. 210]</w:t>
      </w:r>
    </w:p>
    <w:p>
      <w:pPr>
        <w:pStyle w:val="BodyText"/>
      </w:pPr>
      <w:r>
        <w:t xml:space="preserve">before he came to the crown, as might be made manifest by an induction of particulars.</w:t>
      </w:r>
    </w:p>
    <w:p>
      <w:pPr>
        <w:pStyle w:val="BodyText"/>
      </w:pPr>
      <w:r>
        <w:t xml:space="preserve">The oil that was used in anointing David was a type of the Spirit of God, and the type and the antitype were given both together as we are told, 1 Samuel 16:13, "Then Samuel took the horn of oil, and anointed him in the midst of his brethren: and the spirit of the Lord came upon David from that day forward."</w:t>
      </w:r>
      <w:r>
        <w:rPr>
          <w:rStyle w:val="FootnoteReference"/>
        </w:rPr>
        <w:footnoteReference w:id="678"/>
      </w:r>
      <w:r>
        <w:t xml:space="preserve"> And 'tis probable that it now came upon him in its prophetical influences. And the way that this Spirit influenced him was to inspire his soul to show forth Christ and the glorious things of his redemption in divine songs. Sweetly expressing the breathings of a pious soul full of admiration of the glorious things of the Redeemer, inflamed with divine love and lifted up with praise, and therefore he is called "the sweet psalmist of Israel," 2 Samuel 23:1, "Now these be the last words of David. David the son of Jesse said, and the man who was raised up on high, the anointed of the God of Jacob, and the sweet psalmist of Israel." The main subjects of these sweet songs were</w:t>
      </w:r>
      <w:r>
        <w:rPr>
          <w:rStyle w:val="FootnoteReference"/>
        </w:rPr>
        <w:footnoteReference w:id="679"/>
      </w:r>
      <w:r>
        <w:t xml:space="preserve"> the glorious things of the gospel, as is evident by the interpretation that is so often put upon them and the use that is made of them in the New Testament. For there is no one book of the Old Testament that is so often quoted in the New as the book of Psalms. Joyfully did this holy man sing of those great things of Christ's redemption that had been the hope and expectation of God's church and people from the very beginning of the church of God on earth. And joyfully did others follow him in it, as Asaph, Heman, Ethan, and others, for the book of Psalms was not all penned by David though the bigger part of it was.</w:t>
      </w:r>
      <w:r>
        <w:rPr>
          <w:rStyle w:val="FootnoteReference"/>
        </w:rPr>
        <w:footnoteReference w:id="680"/>
      </w:r>
    </w:p>
    <w:p>
      <w:pPr>
        <w:pStyle w:val="BodyText"/>
      </w:pPr>
      <w:r>
        <w:t xml:space="preserve">Hereby the canon of the Scripture was further added, and an excellent portion of divine writ was it that was added. This was a great advance that God made in this building, as the light of the gospel which had been gradually growing from the fall was exceedingly increased by it. For whereas before there was but here and there a prophecy given of Christ in a great many ages, now here Christ is spoken of by his ancestor David abundantly in multitudes of songs, speaking of his incarnation, life, death, resurrection, ascension into heaven,</w:t>
      </w:r>
      <w:r>
        <w:rPr>
          <w:rStyle w:val="FootnoteReference"/>
        </w:rPr>
        <w:footnoteReference w:id="681"/>
      </w:r>
      <w:r>
        <w:t xml:space="preserve"> his satisfaction, intercession, his prophetical, kingly, and</w:t>
      </w:r>
    </w:p>
    <w:p>
      <w:pPr>
        <w:pStyle w:val="SourcePage"/>
      </w:pPr>
      <w:r>
        <w:t xml:space="preserve">[p. 211]</w:t>
      </w:r>
    </w:p>
    <w:p>
      <w:pPr>
        <w:pStyle w:val="BodyText"/>
      </w:pPr>
      <w:r>
        <w:t xml:space="preserve">priestly office, his glorious benefits in this life and that which is to come, his union with the church, and the blessedness of the church in him, the calling of the Gentiles, the future glory of the church near the end of the world, and Christ's coming to the final judgment. All these things and many more concerning Christ and his redemption are abundantly spoken of in the book of Psalms.</w:t>
      </w:r>
    </w:p>
    <w:p>
      <w:pPr>
        <w:pStyle w:val="BodyText"/>
      </w:pPr>
      <w:r>
        <w:t xml:space="preserve">This was also a glorious advancement of the affair of redemption as God hereby gave his church a book of divine songs for their use in that part of their public worship, viz. singing his praises throughout all ages to the end of the world. 'Tis manifest that the book of Psalms was given of God for this end. It was so used in the church of Israel by God's appointment. 'Tis manifest by the title of many of the psalms in which they are inscribed to the chief musician, i.e. to the man that was appointed to be the leader of divine songs in the temple in the public worship of Israel. So David is called "the sweet psalmist of Israel" because he penned psalms for the use of the church of Israel. And accordingly we have an account that they were actually made use of in the church of Israel for that end even ages after David was dead,</w:t>
      </w:r>
      <w:r>
        <w:rPr>
          <w:rStyle w:val="FootnoteReference"/>
        </w:rPr>
        <w:footnoteReference w:id="682"/>
      </w:r>
      <w:r>
        <w:t xml:space="preserve"> as 2 Chronicles 29:30, "Moreover Hezekiah the king and the princes commanded the Levites to sing praise unto the Lord with the words of David, and Asaph the seer." And we find that the same are appointed in the New Testament to be made use of in the Christian church in their worship, Ephesians 5:19, "Speaking to yourselves in psalms." Colossians 3:16, "Admonishing one another [in psalms and hymns and spiritual songs]." And so they have been and will to the end of the world. The people of God were wont sometimes to worship God by singing songs to his praise before, as they did at the Red Sea, and they had Moses' prophetical song in the Deuteronomy 32 committed to them for that end, and Deborah and Barak, and Hannah sung praises to God, but now first did God commit to his church a book of divine songs for their constant use.</w:t>
      </w:r>
      <w:r>
        <w:rPr>
          <w:rStyle w:val="FootnoteReference"/>
        </w:rPr>
        <w:footnoteReference w:id="683"/>
      </w:r>
    </w:p>
    <w:p>
      <w:pPr>
        <w:pStyle w:val="BodyText"/>
      </w:pPr>
      <w:r>
        <w:t xml:space="preserve">5.</w:t>
      </w:r>
      <w:r>
        <w:rPr>
          <w:rStyle w:val="FootnoteReference"/>
        </w:rPr>
        <w:footnoteReference w:id="684"/>
      </w:r>
      <w:r>
        <w:t xml:space="preserve"> The next thing I would take notice of is God's actually exalting David to the throne of Israel notwithstanding all the opposition made to it. God was determined to do it, and he made everything give place that stood in the way of it. He removed Saul and his sons out of the</w:t>
      </w:r>
    </w:p>
    <w:p>
      <w:pPr>
        <w:pStyle w:val="SourcePage"/>
      </w:pPr>
      <w:r>
        <w:t xml:space="preserve">[p. 212]</w:t>
      </w:r>
    </w:p>
    <w:p>
      <w:pPr>
        <w:pStyle w:val="BodyText"/>
      </w:pPr>
      <w:r>
        <w:t xml:space="preserve">way,</w:t>
      </w:r>
      <w:r>
        <w:rPr>
          <w:rStyle w:val="FootnoteReference"/>
        </w:rPr>
        <w:footnoteReference w:id="685"/>
      </w:r>
      <w:r>
        <w:t xml:space="preserve"> and first set him over the tribe of Judah, and then having removed Ishbosheth set him over all Israel.</w:t>
      </w:r>
      <w:r>
        <w:rPr>
          <w:rStyle w:val="FootnoteReference"/>
        </w:rPr>
        <w:footnoteReference w:id="686"/>
      </w:r>
      <w:r>
        <w:t xml:space="preserve"> Thus did God fulfill his word to David. He took him from the sheepcote ‹and made him king over his people Israel›, Psalms 78:70–71. And now the throne of Israel was established in that family in which it was to continue forever, even forever and ever.</w:t>
      </w:r>
    </w:p>
    <w:p>
      <w:pPr>
        <w:pStyle w:val="BodyText"/>
      </w:pPr>
      <w:r>
        <w:t xml:space="preserve">6.</w:t>
      </w:r>
      <w:r>
        <w:rPr>
          <w:rStyle w:val="FootnoteReference"/>
        </w:rPr>
        <w:footnoteReference w:id="687"/>
      </w:r>
      <w:r>
        <w:t xml:space="preserve"> Now first it was that God proceeded to choose a particular city out of all the tribes of Israel to place his name there. There is several times mention in the law of Moses of the children of Israel's bringing their oblations to the place which God should choose, as Deuteronomy 12:5–7 ["But unto the place which the Lord your God shall choose … to put his name there, even unto his habitation shall ye seek, and thither thou shalt come: And … bring your burnt offerings.… And there ye shall eat before the Lord your God"]. And so in many other places. But God had never proceeded to do it till now. The tabernacle and ark were never fixed, but were sometimes in one place and sometimes in another. But now God proceeded to choose Jerusalem. The city of Jerusalem was never thoroughly conquered or taken out of the hands of the Jebusites till David's time.</w:t>
      </w:r>
      <w:r>
        <w:rPr>
          <w:rStyle w:val="FootnoteReference"/>
        </w:rPr>
        <w:footnoteReference w:id="688"/>
      </w:r>
      <w:r>
        <w:t xml:space="preserve"> 'Tis said in Joshua 15:63, "As for the Jebusites the inhabitants of Jerusalem, the children of Judah could not drive them out: but the Jebusites dwell with the children of Judah [at Jerusalem] unto this day." But now David wholly subdued it, as we have an account in 2 Samuel 5.</w:t>
      </w:r>
      <w:r>
        <w:rPr>
          <w:rStyle w:val="FootnoteReference"/>
        </w:rPr>
        <w:footnoteReference w:id="689"/>
      </w:r>
      <w:r>
        <w:t xml:space="preserve"> And now God proceeded to choose that city to place his name there, as appears by David's bringing up the ark thence soon after.</w:t>
      </w:r>
      <w:r>
        <w:rPr>
          <w:rStyle w:val="FootnoteReference"/>
        </w:rPr>
        <w:footnoteReference w:id="690"/>
      </w:r>
      <w:r>
        <w:t xml:space="preserve"> And therefore this is mentioned afterwards as the first time God proceeded to choose a city to place his name there, 2 Chronicles 6:5–6 ["I chose no city among all the tribes of Israel to build an house in.… But I have chosen Jerusalem, that my name might be there"]. And 2 Chronicles 12:13 ["So king Rehoboam strengthened himself in Jerusalem … the city which the Lord had chosen out of all the tribes of Israel, to put his name there"]. Afterwards God proceeded to show David the very place where he would have his temple built, viz. on the threshing floor of Araunah the Jebusite.</w:t>
      </w:r>
      <w:r>
        <w:rPr>
          <w:rStyle w:val="FootnoteReference"/>
        </w:rPr>
        <w:footnoteReference w:id="691"/>
      </w:r>
    </w:p>
    <w:p>
      <w:pPr>
        <w:pStyle w:val="SourcePage"/>
      </w:pPr>
      <w:r>
        <w:t xml:space="preserve">[p. 213]</w:t>
      </w:r>
    </w:p>
    <w:p>
      <w:pPr>
        <w:pStyle w:val="BodyText"/>
      </w:pPr>
      <w:r>
        <w:t xml:space="preserve">This city of Jerusalem is therefore called the "holy city,"</w:t>
      </w:r>
      <w:r>
        <w:rPr>
          <w:rStyle w:val="FootnoteReference"/>
        </w:rPr>
        <w:footnoteReference w:id="692"/>
      </w:r>
      <w:r>
        <w:t xml:space="preserve"> and it was the greatest type of the church of Christ in all the Old Testament. It was redeemed by David, the captain of the hosts of Israel, out of the hands of the Jebusites to be God's city, the holy [place], the place of his rest forever, where he would dwell,</w:t>
      </w:r>
      <w:r>
        <w:rPr>
          <w:rStyle w:val="FootnoteReference"/>
        </w:rPr>
        <w:footnoteReference w:id="693"/>
      </w:r>
      <w:r>
        <w:t xml:space="preserve"> as Christ the captain of his people's salvation redeems his church out of the hands of devils to be his holy and beloved city. And therefore how often does the Scripture when speaking of Christ's redemption of his church call it by the names of "Zion" and "Jerusalem."</w:t>
      </w:r>
      <w:r>
        <w:rPr>
          <w:rStyle w:val="FootnoteReference"/>
        </w:rPr>
        <w:footnoteReference w:id="694"/>
      </w:r>
      <w:r>
        <w:t xml:space="preserve"> This was the city that God had appointed to be the place of the first gathering and erecting the Christian church after Christ's resurrection, and of that remarkable pouring out of the Spirit of God on the apostles and primitive [church]. And the place whence the gospel was to sound forth into all the world, the place of the first Christian church that was to be, as it were, the mother of all other churches through the world, agreeable to that prophecy, Isaiah 2:3–4, "Out of Zion shall go forth the law, and the word of the Lord from Jerusalem. And he shall judge among the nations, and rebuke many people, etc." Thus God chose Mount Sion whence the gospel was to be sounded forth as the law had been from Mount Sinai.</w:t>
      </w:r>
      <w:r>
        <w:rPr>
          <w:rStyle w:val="FootnoteReference"/>
        </w:rPr>
        <w:footnoteReference w:id="695"/>
      </w:r>
    </w:p>
    <w:p>
      <w:pPr>
        <w:pStyle w:val="SourcePage"/>
      </w:pPr>
      <w:r>
        <w:t xml:space="preserve">[p. 214]</w:t>
      </w:r>
    </w:p>
    <w:p>
      <w:pPr>
        <w:pStyle w:val="Heading2"/>
      </w:pPr>
      <w:bookmarkStart w:name="heading_sermon_eight" w:id="45"/>
      <w:r>
        <w:t xml:space="preserve">SERMON EIGHT</w:t>
      </w:r>
      <w:bookmarkEnd w:id="45"/>
    </w:p>
    <w:p>
      <w:pPr>
        <w:pStyle w:val="BodyText"/>
      </w:pPr>
      <w:r>
        <w:rPr>
          <w:rStyle w:val="FootnoteReference"/>
        </w:rPr>
        <w:footnoteReference w:id="696"/>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7" w:id="46"/>
      <w:r>
        <w:t xml:space="preserve">DOCTRINE</w:t>
      </w:r>
      <w:bookmarkEnd w:id="46"/>
    </w:p>
    <w:p>
      <w:pPr>
        <w:pStyle w:val="BlockQuote"/>
      </w:pPr>
      <w:r>
        <w:rPr>
          <w:i/>
          <w:iCs/>
        </w:rPr>
        <w:t xml:space="preserve">[The Work of Redemption is a work that God carries on from the fall of man to the end of the world.]</w:t>
      </w:r>
      <w:r>
        <w:rPr>
          <w:rStyle w:val="FootnoteReference"/>
        </w:rPr>
        <w:footnoteReference w:id="697"/>
      </w:r>
    </w:p>
    <w:p>
      <w:pPr>
        <w:pStyle w:val="BodyText"/>
      </w:pPr>
      <w:r>
        <w:t xml:space="preserve">7.</w:t>
      </w:r>
      <w:r>
        <w:rPr>
          <w:rStyle w:val="FootnoteReference"/>
        </w:rPr>
        <w:footnoteReference w:id="698"/>
      </w:r>
      <w:r>
        <w:t xml:space="preserve"> The next thing to be observed here is God's solemnly preserving the covenant of grace with David and promising that the Messiah should be of his seed. We have an account of it in the 2 Samuel 7. It was done on occasion of the thoughts David entertained of building God an house. On this occasion God sends Nathan the prophet to him with the glorious promises of the covenant of grace; it is especially contained in these words in the 2 Samuel 7:16, "And thy house and thy kingdom shall be established forever before thee; thy throne shall be established forever."</w:t>
      </w:r>
      <w:r>
        <w:rPr>
          <w:rStyle w:val="FootnoteReference"/>
        </w:rPr>
        <w:footnoteReference w:id="699"/>
      </w:r>
      <w:r>
        <w:t xml:space="preserve"> Which promise has respect to Christ the seed of David who sat on the throne of his father David and is fulfilled in him only. For the kingdom of David has long since ceased any other work than as it is upheld in</w:t>
      </w:r>
    </w:p>
    <w:p>
      <w:pPr>
        <w:pStyle w:val="SourcePage"/>
      </w:pPr>
      <w:r>
        <w:t xml:space="preserve">[p. 215]</w:t>
      </w:r>
    </w:p>
    <w:p>
      <w:pPr>
        <w:pStyle w:val="BodyText"/>
      </w:pPr>
      <w:r>
        <w:t xml:space="preserve">Christ; the temporal kingdom of the house of David has now ceased</w:t>
      </w:r>
      <w:r>
        <w:rPr>
          <w:rStyle w:val="FootnoteReference"/>
        </w:rPr>
        <w:footnoteReference w:id="700"/>
      </w:r>
      <w:r>
        <w:t xml:space="preserve"> for a great many ages, much longer than ever it stood.</w:t>
      </w:r>
    </w:p>
    <w:p>
      <w:pPr>
        <w:pStyle w:val="BodyText"/>
      </w:pPr>
      <w:r>
        <w:t xml:space="preserve">That this covenant that God now established with David by Nathan the prophet was the covenant of grace is evident by the plain testimony of Scripture in the Isaiah 55:1–3. There we have Christ inviting sinners to come to him: "Ho, every one that thirsteth, come [ye to the waters, … buy wine and milk without money and without price]." And then in the Isaiah 55:3 he says, "Incline your ear, come unto me: hear, and your souls shall live; and I will make an everlasting covenant with you, even the sure mercies of David." Here Christ offers to poor sinners, if they will come to him, to give them an interest in the same everlasting covenant that he had made with David, conveying to them the same sure mercies. But what is that covenant that sinners obtain an interest in when they come to Christ but the covenant of grace? This was the fifth solemn establishment of the covenant of grace with his church since the fall. The covenant of grace was revealed and established all along. But there had been particular seasons wherein God had in a very solemn manner renewed this covenant with his church, giving forth new edition and establishment of it, revealing it in a new manner. This was now the fifth solemn establishment of that covenant.</w:t>
      </w:r>
      <w:r>
        <w:rPr>
          <w:rStyle w:val="FootnoteReference"/>
        </w:rPr>
        <w:footnoteReference w:id="701"/>
      </w:r>
      <w:r>
        <w:t xml:space="preserve"> The first was with Adam, the second was with Noah, the third was with the patriarchs Abraham, [Isaac, and Jacob,] the fourth, was in the wilderness by Moses, and now the fifth is made to David.</w:t>
      </w:r>
    </w:p>
    <w:p>
      <w:pPr>
        <w:pStyle w:val="BodyText"/>
      </w:pPr>
      <w:r>
        <w:t xml:space="preserve">This establishment that God made of the covenant of grace with David, David always looked upon as the greatest smile of God upon him, the greatest honor of all that God had put upon [him]. He prized it and rejoiced in it above all other blessings of his reign. You may see how joyfully and thankfully he received it when Nathan came with the glorious message to him, see 2 Samuel 7:18 ["Who am I, O Lord God? and what is my house that thou hast brought me hitherto?"]. And so David in his last words declares this to be all his salvation and all his desire, as you may see, 2 Samuel 23, verse five, "He hath made with me an everlasting covenant, ordered in all things, and sure: for this is all my salvation, and all my desire."</w:t>
      </w:r>
    </w:p>
    <w:p>
      <w:pPr>
        <w:pStyle w:val="BodyText"/>
      </w:pPr>
      <w:r>
        <w:rPr>
          <w:rStyle w:val="FootnoteReference"/>
        </w:rPr>
        <w:footnoteReference w:id="702"/>
      </w:r>
      <w:r>
        <w:t xml:space="preserve">8.</w:t>
      </w:r>
      <w:r>
        <w:rPr>
          <w:rStyle w:val="FootnoteReference"/>
        </w:rPr>
        <w:footnoteReference w:id="703"/>
      </w:r>
      <w:r>
        <w:t xml:space="preserve"> It was by David that God first gave his people Israel the possession</w:t>
      </w:r>
    </w:p>
    <w:p>
      <w:pPr>
        <w:pStyle w:val="SourcePage"/>
      </w:pPr>
      <w:r>
        <w:t xml:space="preserve">[p. 216]</w:t>
      </w:r>
    </w:p>
    <w:p>
      <w:pPr>
        <w:pStyle w:val="BodyText"/>
      </w:pPr>
      <w:r>
        <w:t xml:space="preserve">of the whole of the promised land. I have before shown how God's giving the possession of the promised land belonged to the covenant of grace. This was done in a great measure by Joshua but not fully. Joshua did not wholly subdue that part of the promised land that was strictly called the land of Canaan, that was divided by lot, but there were great numbers of the old inhabitants left unsubdued, as we read in the books of Joshua and Judges. And there were many left to prove Israel and to be thorns in their sides and prick in their eyes. There were the Jebusites in Jerusalem, and many of the Canaanites, and the whole nation of the Philistines, who all dwelt in that part of the land that was divided by lot, chiefly dwelling in that part of the land that belonged to the tribes of Judah and Ephraim.</w:t>
      </w:r>
    </w:p>
    <w:p>
      <w:pPr>
        <w:pStyle w:val="BodyText"/>
      </w:pPr>
      <w:r>
        <w:t xml:space="preserve">And thus these remains of the old inhabitants of Canaan remained unsubdued till David's time, but he wholly subdued them all, which is agreeable to what St. Stephen observes in the Acts 7:45, "Which also our fathers that came in with Jesus (i.e. Joshua)</w:t>
      </w:r>
      <w:r>
        <w:rPr>
          <w:rStyle w:val="FootnoteReference"/>
        </w:rPr>
        <w:footnoteReference w:id="704"/>
      </w:r>
      <w:r>
        <w:t xml:space="preserve"> into the possession of the Gentiles, whom God drove out before the face of our Fathers, unto the</w:t>
      </w:r>
      <w:r>
        <w:rPr>
          <w:rStyle w:val="FootnoteReference"/>
        </w:rPr>
        <w:footnoteReference w:id="705"/>
      </w:r>
      <w:r>
        <w:t xml:space="preserve"> days of David." They were till the days of David in driving them out before they had wholly subdued them. But David entirely brought them under. He subdued the Jebusites, and he subdued the whole nation of the Philistines, and all the rest of the remains of the seven nations of Canaan, 1 Chronicles 18:1, "Now after this it came to pass, that David smote the Philistines, and subdued them, and took Gath and her towns out of the hand of the Philistines."</w:t>
      </w:r>
    </w:p>
    <w:p>
      <w:pPr>
        <w:pStyle w:val="BodyText"/>
      </w:pPr>
      <w:r>
        <w:t xml:space="preserve">After this all the remains of the former inhabitants [of] Canaan were made bond servants to the Israelites. The posterity of the Gibeonites became servants before, hewers of wood and drawers of water for the house of God.</w:t>
      </w:r>
      <w:r>
        <w:rPr>
          <w:rStyle w:val="FootnoteReference"/>
        </w:rPr>
        <w:footnoteReference w:id="706"/>
      </w:r>
      <w:r>
        <w:t xml:space="preserve"> But Solomon, David's son and successor, put all the other remains of the seven nations of Canaan to bond service, at least made 'em pay a tribute of bond service as you may see, 1 Kings 9:20–22 ["And all the people that were left … which were not of the children of Israel, … upon those did Solomon levy a tribute of bondservice unto this day"]. And hence we read of the "children of Solomon's servants" after the return from the Babylonish captivity, Ezra 2:55 and Nehemiah 11:3. They were the</w:t>
      </w:r>
    </w:p>
    <w:p>
      <w:pPr>
        <w:pStyle w:val="SourcePage"/>
      </w:pPr>
      <w:r>
        <w:t xml:space="preserve">[p. 217]</w:t>
      </w:r>
    </w:p>
    <w:p>
      <w:pPr>
        <w:pStyle w:val="BodyText"/>
      </w:pPr>
      <w:r>
        <w:t xml:space="preserve">children or posterity of the seven nations of Canaan that Solomon had subjected to bond service.</w:t>
      </w:r>
    </w:p>
    <w:p>
      <w:pPr>
        <w:pStyle w:val="BodyText"/>
      </w:pPr>
      <w:r>
        <w:t xml:space="preserve">Thus David subdued the whole land of Canaan strictly so called. But then that was not one-half nor quarter of the land God had promised to their forefathers.</w:t>
      </w:r>
      <w:r>
        <w:rPr>
          <w:rStyle w:val="FootnoteReference"/>
        </w:rPr>
        <w:footnoteReference w:id="707"/>
      </w:r>
      <w:r>
        <w:t xml:space="preserve"> For the land that God had often promised to their fathers included all the countries from the river of Egypt to the river Euphrates. These were the bounds of the land promised to Abraham, Genesis 15:18, "In that same day the Lord made a covenant with Abram, saying, Unto thy seed have I given this land, from the river of Egypt unto the great river, the river Euphrates." So again, God promised at Mount Sinai, Exodus 23:31, "And I will set thy bounds from the Red Sea even unto the sea of the Philistines, and from the desert unto the river: for I will deliver the inhabitants of the land into your hand; and thou shalt drive them out before thee." So again, Deuteronomy 11:24, "Every place whereon the soles of your feet shall tread shall be yours: from the wilderness and Lebanon and from the river, the river Euphrates, even unto the uttermost sea shall your coast be." Again, the same promise is made to Joshua, Joshua 1:3–4, "Every place that the sole of your feet shall tread upon, have I given unto you, as I said unto Moses. From the wilderness and this Lebanon even unto the great river, the river Euphrates, all the land of the Hittites, and unto the great sea toward the going down of the sun, shall be your coast." But the land that Joshua gave the people the possession of was but a little part of this land. And the people never had had the possession of it</w:t>
      </w:r>
      <w:r>
        <w:rPr>
          <w:rStyle w:val="FootnoteReference"/>
        </w:rPr>
        <w:footnoteReference w:id="708"/>
      </w:r>
      <w:r>
        <w:t xml:space="preserve"> till now when God gave it them by David.</w:t>
      </w:r>
    </w:p>
    <w:p>
      <w:pPr>
        <w:pStyle w:val="BodyText"/>
      </w:pPr>
      <w:r>
        <w:t xml:space="preserve">This large country did not only include that Canaan that was divided by lot to ‹those who came in with Joshua›, but the land of the Moabites and Ammonites, the land of the Amalekites, and the rest of the Edomites and the Syrians, and the country of Zobah. All these nations were subdued and brought under the children of Israel by David. And he put garrisons in the several countries and they became David's servants, as we have a particular account in the 2 Samuel 8. And David extended their border to the river Euphrates, as was promised, as here in the 2 Samuel 8:3, "And David smote also Hadadezer, the son of Rehob, king of Zobah, when he went to recover his border at the river Euphrates." And accordingly we read that Solomon his son reigned over all the region on this side</w:t>
      </w:r>
    </w:p>
    <w:p>
      <w:pPr>
        <w:pStyle w:val="SourcePage"/>
      </w:pPr>
      <w:r>
        <w:t xml:space="preserve">[p. 218]</w:t>
      </w:r>
    </w:p>
    <w:p>
      <w:pPr>
        <w:pStyle w:val="BodyText"/>
      </w:pPr>
      <w:r>
        <w:t xml:space="preserve">the river, 1 Kings 4:24, "For he had dominion over all the region on this side the river from Tiphsah even unto Azzah, over all the kings on this side the river." This Artaxerxes, king of Persia, takes notice of long after, Ezra 4:20, "There have been mighty kings also over Jerusalem, which have ruled</w:t>
      </w:r>
      <w:r>
        <w:rPr>
          <w:rStyle w:val="FootnoteReference"/>
        </w:rPr>
        <w:footnoteReference w:id="709"/>
      </w:r>
      <w:r>
        <w:t xml:space="preserve"> over all countries beyond the river; and toll, tribute, and custom, have been paid unto them."</w:t>
      </w:r>
    </w:p>
    <w:p>
      <w:pPr>
        <w:pStyle w:val="BodyText"/>
      </w:pPr>
      <w:r>
        <w:t xml:space="preserve">So</w:t>
      </w:r>
      <w:r>
        <w:rPr>
          <w:rStyle w:val="FootnoteReference"/>
        </w:rPr>
        <w:footnoteReference w:id="710"/>
      </w:r>
      <w:r>
        <w:t xml:space="preserve"> that Joshua, that great type of Christ, did but begin the work of giving Israel the possession of the promised land, but left it to be finished by that much greater type and ancestor of Christ, even David, who subdued far more of that land than ever Joshua had done. And in this extent of his and Solomon's dominion was some resemblance of the great extent of Christ's kingdom. And therefore the extent of Christ's kingdom is set forth by this very thing of it being over all lands from the Red Sea to the sea of the Philistines, and over all lands from thence to the river Euphrates, as Psalms 72:8, "He shall have dominion also from sea to sea, and from the river to the ends of the earth." See 1 Kings 8:56 ["The Lord, that hath given rest unto his people Israel, … hath not failed one word of all his good promise"].</w:t>
      </w:r>
      <w:r>
        <w:rPr>
          <w:rStyle w:val="FootnoteReference"/>
        </w:rPr>
        <w:footnoteReference w:id="711"/>
      </w:r>
    </w:p>
    <w:p>
      <w:pPr>
        <w:pStyle w:val="BodyText"/>
      </w:pPr>
      <w:r>
        <w:t xml:space="preserve">9.</w:t>
      </w:r>
      <w:r>
        <w:rPr>
          <w:rStyle w:val="FootnoteReference"/>
        </w:rPr>
        <w:footnoteReference w:id="712"/>
      </w:r>
      <w:r>
        <w:t xml:space="preserve"> God perfected the Jewish worship and added to its institutions. The law was given by Moses but yet all the institutions of the Jewish worship were not given by Moses. Some were added by David, by divine direction. So this greatest of all personal types of Christ did not only perfect</w:t>
      </w:r>
      <w:r>
        <w:rPr>
          <w:rStyle w:val="FootnoteReference"/>
        </w:rPr>
        <w:footnoteReference w:id="713"/>
      </w:r>
      <w:r>
        <w:t xml:space="preserve"> Joshua's work in giving Israel the possession of the promised land, but he also finished Moses' work in perfecting the instituted worship of Israel. Thus there must be a number of typical prophets, priests, and princes to complete one figure or shadow of that of which Christ was the antitype, he being the substance of all the types and shadows. Of so much more glory was Christ accounted worthy than Moses, Joshua, David, and Solomon, and all the great prophets, priests and princes, judges and saviors of the Old Testament put together.</w:t>
      </w:r>
      <w:r>
        <w:rPr>
          <w:rStyle w:val="FootnoteReference"/>
        </w:rPr>
        <w:footnoteReference w:id="714"/>
      </w:r>
    </w:p>
    <w:p>
      <w:pPr>
        <w:pStyle w:val="SourcePage"/>
      </w:pPr>
      <w:r>
        <w:t xml:space="preserve">[p. 219]</w:t>
      </w:r>
    </w:p>
    <w:p>
      <w:pPr>
        <w:pStyle w:val="BodyText"/>
      </w:pPr>
      <w:r>
        <w:t xml:space="preserve">The ordinances of David are mentioned as of parallel validity with those of Moses, 2 Chronicles 23:18, "Also Jehoiada appointed offices in the house of the Lord by the hand of the priests the Levites, whom David had distributed in the house of the Lord, [to offer the burnt offering of the Lord], as it is written in the law of Moses, with rejoicing and with singing, as it was ordained by David." The worship of Israel was perfected by David by that addition that he made to the ceremonial law, which we have an account of in the 1 Chronicles 23–26,</w:t>
      </w:r>
      <w:r>
        <w:rPr>
          <w:rStyle w:val="FootnoteReference"/>
        </w:rPr>
        <w:footnoteReference w:id="715"/>
      </w:r>
      <w:r>
        <w:t xml:space="preserve"> consisting in the several orders and courses into which David divided the Levites, and the new work and business to which he appointed [them] different from what Moses had appointed them to. And also in the divisions of the priests, the sons of Aaron, into twenty-four courses, assigning to every course their business in the house of God and their particular stated times of attendance there. And appointing some of the Levites to a new office that had not been appointed before, and that was the office of singers. And particularly ordering and regulating of them in that office, as you may see in the 1 Chronicles 25, and appointing others of the Levites by law to the several services of porters, treasurers, officers, and judges. And these ordinances of David were kept up henceforward in the church of Israel as long as the Jewish church lasted. Thus we find the several orders of priests and the Levites, the porters and singers after the captivity. So we find the courses of the priests appointed by David still continuing on in the New Testament. So Zacharias, the father of John the Baptist, was a priest of the course of Abia, which is the same with the course of Abijah approved by David that we read of, 1 Chronicles 24:10.</w:t>
      </w:r>
    </w:p>
    <w:p>
      <w:pPr>
        <w:pStyle w:val="BodyText"/>
      </w:pPr>
      <w:r>
        <w:t xml:space="preserve">Thus David as well as Moses was made</w:t>
      </w:r>
      <w:r>
        <w:rPr>
          <w:rStyle w:val="FootnoteReference"/>
        </w:rPr>
        <w:footnoteReference w:id="716"/>
      </w:r>
      <w:r>
        <w:t xml:space="preserve"> like to Christ, the son of David, in this respect, that by him God gave a new ecclesiastical establishment, new institutions of worship. David did not only add to the institutions of the law of Moses, but by the addition he abolished some of the old institutions of Moses that had been in force till that time. Particularly those laws of Moses that appointed the business of the book, which we have in the Numbers 3–4, which very much consisted in their charge of the several parts and utensils of the tabernacle there assigned them, and to carry these</w:t>
      </w:r>
    </w:p>
    <w:p>
      <w:pPr>
        <w:pStyle w:val="SourcePage"/>
      </w:pPr>
      <w:r>
        <w:t xml:space="preserve">[p. 220]</w:t>
      </w:r>
    </w:p>
    <w:p>
      <w:pPr>
        <w:pStyle w:val="BodyText"/>
      </w:pPr>
      <w:r>
        <w:t xml:space="preserve">several parts of the tabernacle. But those laws were now abolished by David and they were no more to carry these things as they had been used to do till David's time. But David appointed 'em to other work instead of it, see 1 Chronicles 23:26, "And also unto the Levites; they shall no more carry the tabernacle, nor any vessels of it for the service thereof." And sure evidence that the ceremonial law given by Moses is not perpetual as the Jews suppose, but might be wholly abolished by Christ, for if David, a type of the Messiah, might abolish the law of Moses in part, much more might the Messiah himself abolish the whole.</w:t>
      </w:r>
    </w:p>
    <w:p>
      <w:pPr>
        <w:pStyle w:val="BodyText"/>
      </w:pPr>
      <w:r>
        <w:t xml:space="preserve">David by God's appointment abolished all use of the tabernacle that was built by</w:t>
      </w:r>
      <w:r>
        <w:rPr>
          <w:rStyle w:val="FootnoteReference"/>
        </w:rPr>
        <w:footnoteReference w:id="717"/>
      </w:r>
      <w:r>
        <w:t xml:space="preserve"> Moses and of which he had the pattern from God. For God now revealed it to David to be his will that a temple should be built that should be instead of the tabernacle, a great presage of what Christ, the son of David, would do when he came, viz. abolish the whole Jewish ecclesiastical constitution which was but as a movable tabernacle, to set up the spiritual gospel temple which was to be far more glorious and of greater extent, and to stand forever. David had the pattern of all things pertaining to the temple showed him even in like manner as Moses had the pattern of the tabernacle. And Solomon built the temple exactly according to that pattern which he had from his father David, which he received from God, 1 Chronicles 28:11–12 ["Then David gave to Solomon his son the pattern of the porch, and of the houses thereof, and of the treasuries thereof, and of the upper chambers thereof, and of the inner parlours thereof, and of the place of the mercy seat, And the pattern of all that he had by the spirit, of the courts of the house of the Lord, and of all the chambers round about, of the treasuries of the house of God, and of the treasuries of the dedicated things"]. And 1 Chronicles 28:19 ["All this, said David, the Lord made me understand in writing by his hand upon me, even all the works of this pattern"].</w:t>
      </w:r>
    </w:p>
    <w:p>
      <w:pPr>
        <w:pStyle w:val="BodyText"/>
      </w:pPr>
      <w:r>
        <w:t xml:space="preserve">10.</w:t>
      </w:r>
      <w:r>
        <w:rPr>
          <w:rStyle w:val="FootnoteReference"/>
        </w:rPr>
        <w:footnoteReference w:id="718"/>
      </w:r>
      <w:r>
        <w:t xml:space="preserve"> The canon of the Scripture seems at and after the close of David's reign to be added to by the prophets Nathan and Gad. It appears probable by the Scripture that they carried on</w:t>
      </w:r>
      <w:r>
        <w:rPr>
          <w:rStyle w:val="FootnoteReference"/>
        </w:rPr>
        <w:footnoteReference w:id="719"/>
      </w:r>
      <w:r>
        <w:t xml:space="preserve"> the history of the two books of Samuel from the place where Samuel left it and finished. And these two books of Samuel seem to be the book that in Scripture is called "the book of Samuel the seer and Nathan the</w:t>
      </w:r>
    </w:p>
    <w:p>
      <w:pPr>
        <w:pStyle w:val="SourcePage"/>
      </w:pPr>
      <w:r>
        <w:t xml:space="preserve">[p. 221]</w:t>
      </w:r>
    </w:p>
    <w:p>
      <w:pPr>
        <w:pStyle w:val="BodyText"/>
      </w:pPr>
      <w:r>
        <w:t xml:space="preserve">prophet and Gad the seer" as in the 1 Chronicles 29:29, "Now the acts of David the king, first and last, behold, they are written in the book of Samuel the seer, and in the book of Nathan the prophet, and in the book of Gad the seer."</w:t>
      </w:r>
    </w:p>
    <w:p>
      <w:pPr>
        <w:pStyle w:val="BodyText"/>
      </w:pPr>
      <w:r>
        <w:t xml:space="preserve">11</w:t>
      </w:r>
      <w:r>
        <w:rPr>
          <w:rStyle w:val="FootnoteReference"/>
        </w:rPr>
        <w:footnoteReference w:id="720"/>
      </w:r>
      <w:r>
        <w:t xml:space="preserve"> The next thing I would take notice of is God's wonderfully continuing the kingdom of his visible people in the line of Christ's legal ancestors as long as they remained an independent kingdom. Thus it was without any interruption worth taking notice of. Indeed, the kingdom of all the tribes of Israel was not kept in that line, but the dominion of that part of Israel in which the true worship of God was upheld—and so of that part that were God's visible people—was always kept in the family of David as long as there was any such thing as an independent king of Israel according to his promise to David. And not only in the family of David, but always in that part of David's posterity that was the line whence Christ was legally descended. So that the very person that was Christ's legal ancestor was always on the throne, excepting Jehoahaz who reigned three months, and Zedekiah,</w:t>
      </w:r>
      <w:r>
        <w:rPr>
          <w:rStyle w:val="FootnoteReference"/>
        </w:rPr>
        <w:footnoteReference w:id="721"/>
      </w:r>
      <w:r>
        <w:t xml:space="preserve"> as you may see in Matthew's genealogy of Christ.</w:t>
      </w:r>
      <w:r>
        <w:rPr>
          <w:rStyle w:val="FootnoteReference"/>
        </w:rPr>
        <w:footnoteReference w:id="722"/>
      </w:r>
      <w:r>
        <w:t xml:space="preserve"> Christ was legally descended of the kings of Judah, though he was not naturally descended from them. He was both legally and naturally descended of David. He was naturally descended of Nathan, the son of David, for Mary his mother was one of the posterity of David by Nathan, as you may see in Luke's genealogy.</w:t>
      </w:r>
      <w:r>
        <w:rPr>
          <w:rStyle w:val="FootnoteReference"/>
        </w:rPr>
        <w:footnoteReference w:id="723"/>
      </w:r>
      <w:r>
        <w:t xml:space="preserve"> But Joseph, the reputed and legal father of Christ, was naturally descended of Solomon and his successors, as we have account in Matthew's genealogy. Jesus Christ, though he was not the natural son of Joseph, yet by the law and constitution of the Jews he was Joseph's heir because he was the lawful son of Joseph's lawful wife, conceived while she was his legally espoused wife. The Holy Ghost raised up seed to him. A person by the law of Moses might be the legal son and heir of another whose natural son he was not, as sometimes a man raised up seed to a brother. A brother in some cases was to build up a brother's house, so the Holy Ghost built up Joseph's house. And Joseph's being in the direct line of the kings of Judah of the house of David, he was the legal heir of the crown of David. And Christ being legally his firstborn son, he was</w:t>
      </w:r>
    </w:p>
    <w:p>
      <w:pPr>
        <w:pStyle w:val="SourcePage"/>
      </w:pPr>
      <w:r>
        <w:t xml:space="preserve">[p. 222]</w:t>
      </w:r>
    </w:p>
    <w:p>
      <w:pPr>
        <w:pStyle w:val="BodyText"/>
      </w:pPr>
      <w:r>
        <w:t xml:space="preserve">his heir. And so Christ by the law was</w:t>
      </w:r>
      <w:r>
        <w:rPr>
          <w:rStyle w:val="FootnoteReference"/>
        </w:rPr>
        <w:footnoteReference w:id="724"/>
      </w:r>
      <w:r>
        <w:t xml:space="preserve"> the proper heir of the crown of David, and is therefore said to "sit upon the throne of his father David."</w:t>
      </w:r>
      <w:r>
        <w:rPr>
          <w:rStyle w:val="FootnoteReference"/>
        </w:rPr>
        <w:footnoteReference w:id="725"/>
      </w:r>
    </w:p>
    <w:p>
      <w:pPr>
        <w:pStyle w:val="BodyText"/>
      </w:pPr>
      <w:r>
        <w:t xml:space="preserve">The crown of God's people was wonderfully kept in the line of Christ's legal ancestors when David was old and not able any longer to manage the affairs of the kingdom. Adonijah, one of his sons, set up to be king and seemed to have obtained his purpose.</w:t>
      </w:r>
      <w:r>
        <w:rPr>
          <w:rStyle w:val="FootnoteReference"/>
        </w:rPr>
        <w:footnoteReference w:id="726"/>
      </w:r>
      <w:r>
        <w:t xml:space="preserve"> All things for a while seemed fair on his side, and he thought himself strong; the thing he did seemed to be accomplished. But so it was Adonijah was not the son of David that was the ancestor of Joseph [the]</w:t>
      </w:r>
      <w:r>
        <w:rPr>
          <w:rStyle w:val="FootnoteReference"/>
        </w:rPr>
        <w:footnoteReference w:id="727"/>
      </w:r>
      <w:r>
        <w:t xml:space="preserve"> legal father of Christ, and therefore how wonderfully did providence work here. What a strange and sudden revolution. All Adonijah's kingdom and glory vanished away as soon as it was begun, and Solomon the legal ancestor of Christ was established on the throne. And after Solomon's death when Jeroboam had conspired against the family and Rehoboam carried himself so that it was a wonder all Israel was not provoked to forsake him and ten tribes did actually forsake him and set up Jeroboam in opposition to him, and though he was a wicked man and deserved to [be cast off], yet he being the legal ancestor of Christ, God kept the kingdom of the two tribes in</w:t>
      </w:r>
      <w:r>
        <w:rPr>
          <w:rStyle w:val="FootnoteReference"/>
        </w:rPr>
        <w:footnoteReference w:id="728"/>
      </w:r>
      <w:r>
        <w:t xml:space="preserve"> which the true religion was upheld in his possession.</w:t>
      </w:r>
      <w:r>
        <w:rPr>
          <w:rStyle w:val="FootnoteReference"/>
        </w:rPr>
        <w:footnoteReference w:id="729"/>
      </w:r>
      <w:r>
        <w:t xml:space="preserve"> And though he had been wicked, and his son Abijam was another wicked prince, yet they being legal ancestors of Christ, yet God still continued the crown in the family and gave it to Abijam's son Asa.</w:t>
      </w:r>
      <w:r>
        <w:rPr>
          <w:rStyle w:val="FootnoteReference"/>
        </w:rPr>
        <w:footnoteReference w:id="730"/>
      </w:r>
      <w:r>
        <w:t xml:space="preserve"> And afterwards though many of the kings of Judah were very wicked men and horridly provoked God, as particularly Jehoram, and Ahaziah, and Ahaz, and Manasseh, and Amon, yet God did not take away the crown from their family but gave it to their sons because they were the ancestors of Christ.</w:t>
      </w:r>
      <w:r>
        <w:rPr>
          <w:rStyle w:val="FootnoteReference"/>
        </w:rPr>
        <w:footnoteReference w:id="731"/>
      </w:r>
      <w:r>
        <w:t xml:space="preserve"> God's remembering his covenant that he established with David is given as the reason why God did thus, notwithstanding their wicked lives, as 1 Kings 15:4. Speaking here of Abijam's wickedness, it is said, "Nevertheless for David's sake did the Lord his God give</w:t>
      </w:r>
    </w:p>
    <w:p>
      <w:pPr>
        <w:pStyle w:val="SourcePage"/>
      </w:pPr>
      <w:r>
        <w:t xml:space="preserve">[p. 223]</w:t>
      </w:r>
    </w:p>
    <w:p>
      <w:pPr>
        <w:pStyle w:val="BodyText"/>
      </w:pPr>
      <w:r>
        <w:t xml:space="preserve">him a lamp in Jerusalem, to set up his son after him, and to establish Jerusalem." So 2 Chronicles 21:7. Speaking there of Jehoram's great wickedness it is said, "Howbeit the Lord would not destroy the house of David, because of the covenant that he had made with David, and as he promised to give a light unto him and to his sons forever."</w:t>
      </w:r>
    </w:p>
    <w:p>
      <w:pPr>
        <w:pStyle w:val="BodyText"/>
      </w:pPr>
      <w:r>
        <w:t xml:space="preserve">The crown of the ten tribes was changed</w:t>
      </w:r>
      <w:r>
        <w:rPr>
          <w:rStyle w:val="FootnoteReference"/>
        </w:rPr>
        <w:footnoteReference w:id="732"/>
      </w:r>
      <w:r>
        <w:t xml:space="preserve"> from one family to another continually. First Jeroboam took it, but the crown remained in his family but for one generation after his death. It only descended to his son Nadab, and then Baasha that was of another family took it.</w:t>
      </w:r>
      <w:r>
        <w:rPr>
          <w:rStyle w:val="FootnoteReference"/>
        </w:rPr>
        <w:footnoteReference w:id="733"/>
      </w:r>
      <w:r>
        <w:t xml:space="preserve"> And it remained in his posterity but one generation after his death, and then Zimri that was his servant and not of his posterity took it.</w:t>
      </w:r>
      <w:r>
        <w:rPr>
          <w:rStyle w:val="FootnoteReference"/>
        </w:rPr>
        <w:footnoteReference w:id="734"/>
      </w:r>
      <w:r>
        <w:t xml:space="preserve"> And then without descending at all to his posterity, Omri that was of another family took it. And the crown continued in his family for three successions and then Jehu that was of another family took it.</w:t>
      </w:r>
      <w:r>
        <w:rPr>
          <w:rStyle w:val="FootnoteReference"/>
        </w:rPr>
        <w:footnoteReference w:id="735"/>
      </w:r>
      <w:r>
        <w:t xml:space="preserve"> And the crown continued in his family for three or four successions and then Shallum that was of another family took it.</w:t>
      </w:r>
      <w:r>
        <w:rPr>
          <w:rStyle w:val="FootnoteReference"/>
        </w:rPr>
        <w:footnoteReference w:id="736"/>
      </w:r>
      <w:r>
        <w:t xml:space="preserve"> And the crown did not descend at all to his posterity, but Menaham that was of another family took it.</w:t>
      </w:r>
      <w:r>
        <w:rPr>
          <w:rStyle w:val="FootnoteReference"/>
        </w:rPr>
        <w:footnoteReference w:id="737"/>
      </w:r>
      <w:r>
        <w:t xml:space="preserve"> And it remained in his family but one generation after him, and then Pekah that was of another family took it.</w:t>
      </w:r>
      <w:r>
        <w:rPr>
          <w:rStyle w:val="FootnoteReference"/>
        </w:rPr>
        <w:footnoteReference w:id="738"/>
      </w:r>
      <w:r>
        <w:t xml:space="preserve"> And after him Hoshea that was still of another family took it.</w:t>
      </w:r>
      <w:r>
        <w:rPr>
          <w:rStyle w:val="FootnoteReference"/>
        </w:rPr>
        <w:footnoteReference w:id="739"/>
      </w:r>
      <w:r>
        <w:t xml:space="preserve"> So great a difference was there between the crown of Israel and the crown of Judah: the one was continued evermore in the same family and with very little interruption in one right line; the other was continually tossed about from one family to another as if it</w:t>
      </w:r>
      <w:r>
        <w:rPr>
          <w:rStyle w:val="FootnoteReference"/>
        </w:rPr>
        <w:footnoteReference w:id="740"/>
      </w:r>
      <w:r>
        <w:t xml:space="preserve"> were the sport of fortune. The reason was not because the kings of Judah, many of 'em, were better than the kings of Israel, but that one had the blessing in them. They were the legal ancestors of Christ whose surest right it was to sit on the throne of Israel. But with the kings of Israel, it was not so. And therefore divine providence exercised a continual care through all the changes that happened through so many generations, and such a long space of time, to keep the crown of Judah in one direct line in fulfillment of the everlasting covenant</w:t>
      </w:r>
    </w:p>
    <w:p>
      <w:pPr>
        <w:pStyle w:val="SourcePage"/>
      </w:pPr>
      <w:r>
        <w:t xml:space="preserve">[p. 224]</w:t>
      </w:r>
    </w:p>
    <w:p>
      <w:pPr>
        <w:pStyle w:val="BodyText"/>
      </w:pPr>
      <w:r>
        <w:t xml:space="preserve">he had made with David, the mercies of which covenant were sure mercies. But in the other case there was no such covenant and so no such care of providence.</w:t>
      </w:r>
    </w:p>
    <w:p>
      <w:pPr>
        <w:pStyle w:val="BodyText"/>
      </w:pPr>
      <w:r>
        <w:rPr>
          <w:rStyle w:val="FootnoteReference"/>
        </w:rPr>
        <w:footnoteReference w:id="741"/>
      </w:r>
      <w:r>
        <w:t xml:space="preserve">And here it must not be omitted that there was once a very strong conspiracy of the kings of Syria and of Israel</w:t>
      </w:r>
      <w:r>
        <w:rPr>
          <w:rStyle w:val="FootnoteReference"/>
        </w:rPr>
        <w:footnoteReference w:id="742"/>
      </w:r>
      <w:r>
        <w:t xml:space="preserve"> in the time of that wicked king of Judah, Ahaz, to dispossess Ahaz and his family of the throne of Judah and to set one of another family, even the son of Tabeal, as you may</w:t>
      </w:r>
      <w:r>
        <w:rPr>
          <w:rStyle w:val="FootnoteReference"/>
        </w:rPr>
        <w:footnoteReference w:id="743"/>
      </w:r>
      <w:r>
        <w:t xml:space="preserve"> see in the Isaiah 7:6. And they seemed very likely to accomplish their purpose. There seemed to [be] so great likelihood of it that the hearts of the people sunk within them; they gave up the case. It is said, "The heart of Ahaz and his people was moved as the trees of the wood are moved with the wind."</w:t>
      </w:r>
      <w:r>
        <w:rPr>
          <w:rStyle w:val="FootnoteReference"/>
        </w:rPr>
        <w:footnoteReference w:id="744"/>
      </w:r>
      <w:r>
        <w:t xml:space="preserve"> And on this occasion God sent the prophet Isaiah to encourage the people and tell 'em that it should not come to pass. And because it looked so much like a gone case that Ahaz and the people would very difficultly believe that it would not be, therefore God directs the prophet to give 'em this sign of it, viz. that Christ should be born of the legal seed of Ahaz, as Isaiah 7:14, "Therefore the Lord himself shall give you a sign. Behold, a virgin shall conceive, and bear a son, and shall call his name Immanuel." 'Twas regarded a good sign and a great confirmation of the truth of what God promised by Isaiah, viz. that the kings of Syria and Ephraim should never accomplish their purpose of dispossessing the family of Ahaz of the crown of Judah and setting up the son of Tabeal, for Christ the Immanuel was to be of them.</w:t>
      </w:r>
    </w:p>
    <w:p>
      <w:pPr>
        <w:pStyle w:val="BodyText"/>
      </w:pPr>
      <w:r>
        <w:rPr>
          <w:rStyle w:val="FootnoteReference"/>
        </w:rPr>
        <w:footnoteReference w:id="745"/>
      </w:r>
      <w:r>
        <w:t xml:space="preserve">I have mentioned this dispensation of providence in this because, though it was continued for so long a time, yet it began in Solomon's succession to the throne of his father David.</w:t>
      </w:r>
    </w:p>
    <w:p>
      <w:pPr>
        <w:pStyle w:val="BodyText"/>
      </w:pPr>
      <w:r>
        <w:rPr>
          <w:rStyle w:val="FootnoteReference"/>
        </w:rPr>
        <w:footnoteReference w:id="746"/>
      </w:r>
      <w:r>
        <w:t xml:space="preserve">12.</w:t>
      </w:r>
      <w:r>
        <w:rPr>
          <w:rStyle w:val="FootnoteReference"/>
        </w:rPr>
        <w:footnoteReference w:id="747"/>
      </w:r>
      <w:r>
        <w:t xml:space="preserve"> The next thing I would take notice of is the building of the temple which was a great type of three things, viz. of Christ, especially the human nature of Christ, and of the church of Christ, and of heaven. The tabernacle seemed rather to represent the church in its</w:t>
      </w:r>
    </w:p>
    <w:p>
      <w:pPr>
        <w:pStyle w:val="SourcePage"/>
      </w:pPr>
      <w:r>
        <w:t xml:space="preserve">[p. 225]</w:t>
      </w:r>
    </w:p>
    <w:p>
      <w:pPr>
        <w:pStyle w:val="BodyText"/>
      </w:pPr>
      <w:r>
        <w:t xml:space="preserve">movable, changeable state here in this world. But that beautiful, glorious, costly structure of the temple that succeeded the tabernacle, and was a fixed and not a movable thing, seems especially to represent the church in its glorified state in heaven. This temple was built according to the pattern shown by the Holy Ghost to David, and by divine direction given to David in the place where was the threshing-floor of Ornan the Jebusite in Mount Moriah, 2 Chronicles 3:1 ["Then Solomon began to build the house of the Lord … in mount Moriah, where the Lord appeared unto David his father, in the place that David had prepared in the threshingfloor of Ornan the Jebusite"]. [This was] the same mountain and undoubtedly the very same place where Abraham offered up his son Isaac, for there is said to be a mountain in the land of Moriah, Genesis 22:2, which mountain was called "the mountain of the Lord" as this mountain of the temple was, Genesis 22:14, "And Abraham called the name of that place Jehovahjireh: as was said to that day, In the mount of the Lord it shall be seen." This was the house where Christ dwelt till he came to dwell in the temple of his body or human</w:t>
      </w:r>
      <w:r>
        <w:rPr>
          <w:rStyle w:val="FootnoteReference"/>
        </w:rPr>
        <w:footnoteReference w:id="748"/>
      </w:r>
      <w:r>
        <w:t xml:space="preserve"> nature, which was the antitype of this temple, as appears because Christ on [the] occasion of their showing him the temple of Jerusalem says, "Destroy this temple [and in three days I will raise it up]," speaking of the "temple of his body," John 2:19–21.</w:t>
      </w:r>
    </w:p>
    <w:p>
      <w:pPr>
        <w:pStyle w:val="BodyText"/>
      </w:pPr>
      <w:r>
        <w:t xml:space="preserve">This house or an house built in this place continued to be the house of God, the place of the worship of his church, till Christ came. Here was the place that God chose where all their sacrifices were offered till the great sacrifice came and made the sacrifice and oblation to cease. Into his temple in this place the Lord came, even the messenger of the covenant. Here he often delivered his heavenly doctrine and wrought miracles.</w:t>
      </w:r>
      <w:r>
        <w:rPr>
          <w:rStyle w:val="FootnoteReference"/>
        </w:rPr>
        <w:footnoteReference w:id="749"/>
      </w:r>
      <w:r>
        <w:t xml:space="preserve"> Here his church was gathered by the pouring out of the Spirit after his ascension: Luke 24:53, speaking of the disciples after Christ's ascension, and they "were continually in the temple, praising and blessing God." And Acts 2:46, speaking of the multitudes that were converted by that great outpouring [of the Spirit],</w:t>
      </w:r>
      <w:r>
        <w:rPr>
          <w:rStyle w:val="FootnoteReference"/>
        </w:rPr>
        <w:footnoteReference w:id="750"/>
      </w:r>
      <w:r>
        <w:t xml:space="preserve"> "And they continued daily with one accord in the temple." And Acts 5:42, speaking of the apostles, "And daily in the temple, and in every house, they ceased not to teach and preach Jesus ‹Christ›." And hence</w:t>
      </w:r>
    </w:p>
    <w:p>
      <w:pPr>
        <w:pStyle w:val="SourcePage"/>
      </w:pPr>
      <w:r>
        <w:t xml:space="preserve">[p. 226]</w:t>
      </w:r>
    </w:p>
    <w:p>
      <w:pPr>
        <w:pStyle w:val="BodyText"/>
      </w:pPr>
      <w:r>
        <w:t xml:space="preserve">the sound of the gospel went forth, and the church spread into all the world.</w:t>
      </w:r>
    </w:p>
    <w:p>
      <w:pPr>
        <w:pStyle w:val="BodyText"/>
      </w:pPr>
      <w:r>
        <w:rPr>
          <w:rStyle w:val="FootnoteReference"/>
        </w:rPr>
        <w:footnoteReference w:id="751"/>
      </w:r>
      <w:r>
        <w:t xml:space="preserve">13.</w:t>
      </w:r>
      <w:r>
        <w:rPr>
          <w:rStyle w:val="FootnoteReference"/>
        </w:rPr>
        <w:footnoteReference w:id="752"/>
      </w:r>
      <w:r>
        <w:t xml:space="preserve"> It is here worthy to be observed that at this time in Solomon's reign, after the temple was finished, the Jewish church was risen to its highest external glory. The Jewish church or the ordinances and constitution of it [is] compared to the moon in the Revelation 12:1, "And there appeared a great wonder in heaven; a woman clothed [with the sun, and the moon under her feet, and upon her head a crown of twelve stars]." And as this church was like the moon in many other respects so it was in this, that it waxed and waned like the moon. From the first foundation that was laid of it in the covenant made with Abraham, when this moon was now beginning to appear, it had to this time been gradually increasing in its glory. This time wherein the temple was finished and dedicated was about middle between the calling of Abraham and the coming of Christ, and now it was full moon. After this the glory of the Jewish church gradually decreased till Christ came, as I shall have occasion more particularly to observe afterwards.</w:t>
      </w:r>
    </w:p>
    <w:p>
      <w:pPr>
        <w:pStyle w:val="BodyText"/>
      </w:pPr>
      <w:r>
        <w:t xml:space="preserve">Now the church of Israel was in its highest external glory. Now Israel was multiplied exceeding so they are said to have become like the sand on the sea shore, 1 Kings 4:20. Now the kingdom of Israel was firmly established</w:t>
      </w:r>
      <w:r>
        <w:rPr>
          <w:rStyle w:val="FootnoteReference"/>
        </w:rPr>
        <w:footnoteReference w:id="753"/>
      </w:r>
      <w:r>
        <w:t xml:space="preserve"> in the right family, the family of which Christ was to come. Now God had chosen the city where he would place his name. Now God had fully given his people the possession of the promised land and they now possessed the dominion of it, all in quietness and peace, even from the river of Egypt to the great river Euphrates. All those nations that had formerly been their enemies quietly submitted to 'em; none pretended to rebel against them now. Now the Jewish worship in all its ordinances was fully settled. Now instead of a movable tent and tabernacle they had a glorious temple; the temple the most magnificent, beautiful, and costly structure that was then, ever had been before, or ever has been since. Now the people enjoyed peace and plenty, and sat every man under his vine and fig tree, "eating and drinking, and making merry," as 1 Kings 4:20. Now they were in the highest pitch of earthly prosperity, silver being as plenty as stones, and the land full of gold, and precious stones,</w:t>
      </w:r>
    </w:p>
    <w:p>
      <w:pPr>
        <w:pStyle w:val="SourcePage"/>
      </w:pPr>
      <w:r>
        <w:t xml:space="preserve">[p. 227]</w:t>
      </w:r>
    </w:p>
    <w:p>
      <w:pPr>
        <w:pStyle w:val="BodyText"/>
      </w:pPr>
      <w:r>
        <w:t xml:space="preserve">and other precious foreign commodities brought by Solomon's ships</w:t>
      </w:r>
      <w:r>
        <w:rPr>
          <w:rStyle w:val="FootnoteReference"/>
        </w:rPr>
        <w:footnoteReference w:id="754"/>
      </w:r>
      <w:r>
        <w:t xml:space="preserve"> from Ophir and that came from all other parts of the world.</w:t>
      </w:r>
      <w:r>
        <w:rPr>
          <w:rStyle w:val="FootnoteReference"/>
        </w:rPr>
        <w:footnoteReference w:id="755"/>
      </w:r>
      <w:r>
        <w:t xml:space="preserve"> Now they had a king reigning over them that was the wisest of men and probably the greatest earthly prince that ever was. Now their fame went abroad into all the earth, so that they came from the utmost parts of the earth to see their glory and their happiness.</w:t>
      </w:r>
      <w:r>
        <w:rPr>
          <w:rStyle w:val="FootnoteReference"/>
        </w:rPr>
        <w:footnoteReference w:id="756"/>
      </w:r>
    </w:p>
    <w:p>
      <w:pPr>
        <w:pStyle w:val="BodyText"/>
      </w:pPr>
      <w:r>
        <w:t xml:space="preserve">Thus God was pleased in one of the ancestors of Christ remarkably to shadow forth the kingdom of Christ reigning in his glory. David that was a man of war, a man that had shed much blood and whose life was full of troubles and conflicts, was more of a representation of Christ in his state of humiliation, his militant state wherein he was constantly with his enemies. But Solomon that was a man of peace [was a representation] more especially of Christ exalted and triumphing and reigning in his kingdom of peace. And the happy glorious state of the Jewish church at that time did remarkably represent two things: 1. that glorious state of the church on earth that should be in the</w:t>
      </w:r>
      <w:r>
        <w:rPr>
          <w:rStyle w:val="FootnoteReference"/>
        </w:rPr>
        <w:footnoteReference w:id="757"/>
      </w:r>
      <w:r>
        <w:t xml:space="preserve"> later ages of the world, those days of peace when "nation shall not lift up [sword against nation, neither shall they learn war any more],"</w:t>
      </w:r>
      <w:r>
        <w:rPr>
          <w:rStyle w:val="FootnoteReference"/>
        </w:rPr>
        <w:footnoteReference w:id="758"/>
      </w:r>
      <w:r>
        <w:t xml:space="preserve"> and 2. the future glorified state of the church in heaven. The earthly Canaan never was so lively a type of the heavenly Canaan as it was then when the happy people of Israel did indeed enjoy it as a land flowing with milk and honey.</w:t>
      </w:r>
      <w:r>
        <w:rPr>
          <w:rStyle w:val="FootnoteReference"/>
        </w:rPr>
        <w:footnoteReference w:id="759"/>
      </w:r>
    </w:p>
    <w:p>
      <w:pPr>
        <w:pStyle w:val="SourcePage"/>
      </w:pPr>
      <w:r>
        <w:t xml:space="preserve">[p. 228]</w:t>
      </w:r>
    </w:p>
    <w:p>
      <w:pPr>
        <w:pStyle w:val="Heading2"/>
      </w:pPr>
      <w:bookmarkStart w:name="heading_sermon_nine" w:id="47"/>
      <w:r>
        <w:t xml:space="preserve">SERMON NINE</w:t>
      </w:r>
      <w:bookmarkEnd w:id="47"/>
    </w:p>
    <w:p>
      <w:pPr>
        <w:pStyle w:val="BodyText"/>
      </w:pPr>
      <w:r>
        <w:rPr>
          <w:rStyle w:val="FootnoteReference"/>
        </w:rPr>
        <w:footnoteReference w:id="760"/>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8" w:id="48"/>
      <w:r>
        <w:t xml:space="preserve">DOCTRINE</w:t>
      </w:r>
      <w:bookmarkEnd w:id="48"/>
    </w:p>
    <w:p>
      <w:pPr>
        <w:pStyle w:val="BlockQuote"/>
      </w:pPr>
      <w:r>
        <w:rPr>
          <w:i/>
          <w:iCs/>
        </w:rPr>
        <w:t xml:space="preserve">[The Work of Redemption is a work that God carries on from the fall of man to the end of the world.]</w:t>
      </w:r>
      <w:r>
        <w:rPr>
          <w:rStyle w:val="FootnoteReference"/>
        </w:rPr>
        <w:footnoteReference w:id="761"/>
      </w:r>
    </w:p>
    <w:p>
      <w:pPr>
        <w:pStyle w:val="BodyText"/>
      </w:pPr>
      <w:r>
        <w:t xml:space="preserve">NOW in the fifth period, the thirteenth and last thing observed, [was] that after the finishing of [the] temple, the Jewish church was risen to its highest absolute glory under the reign of Solomon.</w:t>
      </w:r>
    </w:p>
    <w:p>
      <w:pPr>
        <w:pStyle w:val="BodyText"/>
      </w:pPr>
      <w:r>
        <w:t xml:space="preserve">14.</w:t>
      </w:r>
      <w:r>
        <w:rPr>
          <w:rStyle w:val="FootnoteReference"/>
        </w:rPr>
        <w:footnoteReference w:id="762"/>
      </w:r>
      <w:r>
        <w:t xml:space="preserve"> After this the glory of the Jewish church gradually declined more and more till Christ came, though not so [much] but that the Work of Redemption still went on; whatever failed or declined, God still carried on this work from age to age, this building was still advancing higher and higher. Things still went on during the decline of the Jewish church towards a further preparation of things for the coming of Christ, as well as during its increase. For so wonderfully were things ordered by the infinitely wise</w:t>
      </w:r>
      <w:r>
        <w:rPr>
          <w:rStyle w:val="FootnoteReference"/>
        </w:rPr>
        <w:footnoteReference w:id="763"/>
      </w:r>
      <w:r>
        <w:t xml:space="preserve"> governor of the world, that whatever happened was ordered for good to this general design and made a means of promoting it. When the people of the Jews flourished and were in prosperity, he made that to contribute to the promoting this design; and when they were in adversity, God made that</w:t>
      </w:r>
    </w:p>
    <w:p>
      <w:pPr>
        <w:pStyle w:val="SourcePage"/>
      </w:pPr>
      <w:r>
        <w:t xml:space="preserve">[p. 229]</w:t>
      </w:r>
    </w:p>
    <w:p>
      <w:pPr>
        <w:pStyle w:val="BodyText"/>
      </w:pPr>
      <w:r>
        <w:t xml:space="preserve">also to contribute to the carrying on the same design. While the Jewish church was in its increasing state time,</w:t>
      </w:r>
      <w:r>
        <w:rPr>
          <w:rStyle w:val="FootnoteReference"/>
        </w:rPr>
        <w:footnoteReference w:id="764"/>
      </w:r>
      <w:r>
        <w:t xml:space="preserve"> the Work of Redemption was carried on by their increase, and when they came to their declining state, which they were in from Solomon's time till Christ, God carried on the Work of Redemption by that. That decline, it was one thing that God made use of as a further preparation for Christ's coming. As the moon from the time of its full is approaching nearer and nearer to her conjunction with the sun, her light is still more and more decreasing, till at length when the conjunction comes, it is wholly swallowed up in the light of the sun.</w:t>
      </w:r>
    </w:p>
    <w:p>
      <w:pPr>
        <w:pStyle w:val="BodyText"/>
      </w:pPr>
      <w:r>
        <w:t xml:space="preserve">So it was with the Jewish church from the time of its highest glory in Solomon's time. In the latter end of Solomon's reign, the state of things began to darken. By Solomon's corrupting himself with idolatry, which much obscured the glory of that mighty and wise prince, and withal,</w:t>
      </w:r>
      <w:r>
        <w:rPr>
          <w:rStyle w:val="FootnoteReference"/>
        </w:rPr>
        <w:footnoteReference w:id="765"/>
      </w:r>
      <w:r>
        <w:t xml:space="preserve"> troubles began to arise in his kingdom.</w:t>
      </w:r>
      <w:r>
        <w:rPr>
          <w:rStyle w:val="FootnoteReference"/>
        </w:rPr>
        <w:footnoteReference w:id="766"/>
      </w:r>
      <w:r>
        <w:t xml:space="preserve"> And after his death the kingdom was divided, and ten tribes revolted and withdrew there that subjection to the house of David, withal falling away from the true worship of God, in the temple of Jerusalem setting up the golden calves of Bethel and Dan.</w:t>
      </w:r>
      <w:r>
        <w:rPr>
          <w:rStyle w:val="FootnoteReference"/>
        </w:rPr>
        <w:footnoteReference w:id="767"/>
      </w:r>
      <w:r>
        <w:t xml:space="preserve"> And presently after this, the number of the ten tribes was greatly diminished in the battle of Jeroboam with Abijah, wherein there fell down slain of Israel five hundred thousand chosen men, which the kingdom of Israel probably never in any measure recovered.</w:t>
      </w:r>
      <w:r>
        <w:rPr>
          <w:rStyle w:val="FootnoteReference"/>
        </w:rPr>
        <w:footnoteReference w:id="768"/>
      </w:r>
      <w:r>
        <w:t xml:space="preserve"> The ten tribes finally apostatized from the true worship of God under Jeroboam, and the kingdom of Judah greatly corrupted themselves and were more generally in a very corrupt state than otherwise.</w:t>
      </w:r>
      <w:r>
        <w:rPr>
          <w:rStyle w:val="FootnoteReference"/>
        </w:rPr>
        <w:footnoteReference w:id="769"/>
      </w:r>
      <w:r>
        <w:t xml:space="preserve"> In Ahab's time the kingdom of Israel did not only worship the calves of Bethel and Dan, but the worship of Baal was introduced. Before they used to pretend a worship of the true God by these images, the calves of Jeroboam; but now Ahab introduced gross idolatry and the direct worship of false gods in the room of the true God. Soon after the same worship of Baal was introduced</w:t>
      </w:r>
      <w:r>
        <w:rPr>
          <w:rStyle w:val="FootnoteReference"/>
        </w:rPr>
        <w:footnoteReference w:id="770"/>
      </w:r>
      <w:r>
        <w:t xml:space="preserve"> into the kingdom of Judah in Jehoram's reign by his</w:t>
      </w:r>
    </w:p>
    <w:p>
      <w:pPr>
        <w:pStyle w:val="SourcePage"/>
      </w:pPr>
      <w:r>
        <w:t xml:space="preserve">[p. 230]</w:t>
      </w:r>
    </w:p>
    <w:p>
      <w:pPr>
        <w:pStyle w:val="BodyText"/>
      </w:pPr>
      <w:r>
        <w:t xml:space="preserve">marrying Athaliah, Ahab's daughter.</w:t>
      </w:r>
      <w:r>
        <w:rPr>
          <w:rStyle w:val="FootnoteReference"/>
        </w:rPr>
        <w:footnoteReference w:id="771"/>
      </w:r>
      <w:r>
        <w:t xml:space="preserve"> After this, God began to "cut Israel short" by finally destroying and captivating that part of the land that was beyond Jordan, as 2 Kings 10:32, etc.</w:t>
      </w:r>
      <w:r>
        <w:rPr>
          <w:rStyle w:val="FootnoteReference"/>
        </w:rPr>
        <w:footnoteReference w:id="772"/>
      </w:r>
    </w:p>
    <w:p>
      <w:pPr>
        <w:pStyle w:val="BodyText"/>
      </w:pPr>
      <w:r>
        <w:t xml:space="preserve">Then after this, Tiglath-pileser subdued and captivated all the northern parts of the land, 2 Kings 15:29. And then at last all the land of the ten tribes was subdued by Salmaneser, and they were finally carried captive out of their own land.</w:t>
      </w:r>
      <w:r>
        <w:rPr>
          <w:rStyle w:val="FootnoteReference"/>
        </w:rPr>
        <w:footnoteReference w:id="773"/>
      </w:r>
      <w:r>
        <w:t xml:space="preserve"> After this also, the kingdom of Judah was carried captive into Babylon, and great part of the nation never returned. Those that returned were but a small number in comparison of what had been carried captive, and for the most part after this they were [few], and dependent on the power of others being, one, while subject to the kings of Persia, then, to the monarchy of the Grecians, then after that, to the Romans. And before Christ's time, the church of the Jews was become exceeding corrupt, overrun with superstition and self-righteousness. And how small a flock was the church of Christ in his days.</w:t>
      </w:r>
    </w:p>
    <w:p>
      <w:pPr>
        <w:pStyle w:val="BodyText"/>
      </w:pPr>
      <w:r>
        <w:rPr>
          <w:rStyle w:val="FootnoteReference"/>
        </w:rPr>
        <w:footnoteReference w:id="774"/>
      </w:r>
      <w:r>
        <w:t xml:space="preserve">God, by this gradual decline of the Jewish state and church from Solomon's time, prepared the way for Christ's coming several ways:</w:t>
      </w:r>
    </w:p>
    <w:p>
      <w:pPr>
        <w:pStyle w:val="BodyText"/>
      </w:pPr>
      <w:r>
        <w:t xml:space="preserve">1.</w:t>
      </w:r>
      <w:r>
        <w:rPr>
          <w:rStyle w:val="FootnoteReference"/>
        </w:rPr>
        <w:footnoteReference w:id="775"/>
      </w:r>
      <w:r>
        <w:t xml:space="preserve"> The declining of the glory of this legal dispensation made way for the introducing the more glorious dispensation of the gospel. The declining of the glory of the legal dispensation was to make way for the introducing of the evangelical dispensation that was so much more glorious, so that the legal dispensation had no glory in comparison of it.</w:t>
      </w:r>
      <w:r>
        <w:rPr>
          <w:rStyle w:val="FootnoteReference"/>
        </w:rPr>
        <w:footnoteReference w:id="776"/>
      </w:r>
      <w:r>
        <w:t xml:space="preserve"> The glory of the ancient dispensation such as was in Solomon's time, consisting so much in external glory, was but a childish glory in comparison of the spiritual glory of the dispensation introduced by Christ. The church under the Old Testament was a child under tutors and governors, and God dealt with it as a child.</w:t>
      </w:r>
      <w:r>
        <w:rPr>
          <w:rStyle w:val="FootnoteReference"/>
        </w:rPr>
        <w:footnoteReference w:id="777"/>
      </w:r>
      <w:r>
        <w:t xml:space="preserve"> Those pompous externals are called by the Apostle, "weak and beggarly elements."</w:t>
      </w:r>
      <w:r>
        <w:rPr>
          <w:rStyle w:val="FootnoteReference"/>
        </w:rPr>
        <w:footnoteReference w:id="778"/>
      </w:r>
      <w:r>
        <w:t xml:space="preserve"> It was fit that those things should be diminished as Christ approached, as John the Baptist, the forerunner of Christ, speaking of Christ, says, "He must increase, but I must decrease,"</w:t>
      </w:r>
    </w:p>
    <w:p>
      <w:pPr>
        <w:pStyle w:val="SourcePage"/>
      </w:pPr>
      <w:r>
        <w:t xml:space="preserve">[p. 231]</w:t>
      </w:r>
    </w:p>
    <w:p>
      <w:pPr>
        <w:pStyle w:val="BodyText"/>
      </w:pPr>
      <w:r>
        <w:t xml:space="preserve">John 3:30. 'Tis fit that the twinkling stars should gradually withdraw their glory when the sun is approaching towards his rising.</w:t>
      </w:r>
    </w:p>
    <w:p>
      <w:pPr>
        <w:pStyle w:val="BodyText"/>
      </w:pPr>
      <w:r>
        <w:t xml:space="preserve">The glory of the Jewish dispensation must be</w:t>
      </w:r>
      <w:r>
        <w:rPr>
          <w:rStyle w:val="FootnoteReference"/>
        </w:rPr>
        <w:footnoteReference w:id="779"/>
      </w:r>
      <w:r>
        <w:t xml:space="preserve"> gradually diminished to prepare the way for the spiritual glory of the gospel being more joyfully received. If the Jewish church when Christ came had been in the same external glory that it was in Solomon's reign, men would have had their eyes so dazzled with it that they would not have been likely to have been ready joyfully to exchange such great external glory only for the spiritual glory of the poor despised Jesus. This gradual decline of this external glory began to have its designed effect presently, made by a means of showing against Solomon.</w:t>
      </w:r>
      <w:r>
        <w:rPr>
          <w:rStyle w:val="FootnoteReference"/>
        </w:rPr>
        <w:footnoteReference w:id="780"/>
      </w:r>
      <w:r>
        <w:t xml:space="preserve"> This was [how] the apostles had proof of it.</w:t>
      </w:r>
    </w:p>
    <w:p>
      <w:pPr>
        <w:pStyle w:val="BodyText"/>
      </w:pPr>
      <w:r>
        <w:t xml:space="preserve">2.</w:t>
      </w:r>
      <w:r>
        <w:rPr>
          <w:rStyle w:val="FootnoteReference"/>
        </w:rPr>
        <w:footnoteReference w:id="781"/>
      </w:r>
      <w:r>
        <w:t xml:space="preserve"> This gradual decline ‹of the glory of the Jewish dispensation› tended to prepare the way for Christ's coming another way, viz. as it tended to make the glory of God's power in the great effects of Christ's redemption the more conspicuous. God's people's being so diminished and weakened by one step after another till Christ came, was very much like the diminishing Gideon's army. God told Gideon that the people that was with him was too many for him to deliver the Midianites into their hands, lest Israel went themselves against him, saying, "My own hand hath saved me."</w:t>
      </w:r>
      <w:r>
        <w:rPr>
          <w:rStyle w:val="FootnoteReference"/>
        </w:rPr>
        <w:footnoteReference w:id="782"/>
      </w:r>
      <w:r>
        <w:t xml:space="preserve"> And therefore, all that were fearful were commanded to return, and there returned twenty and two thousand, and there remained ten thousand. But [God] yet said, they were too many still, and then by trying the people at the water, they were brought down</w:t>
      </w:r>
      <w:r>
        <w:rPr>
          <w:rStyle w:val="FootnoteReference"/>
        </w:rPr>
        <w:footnoteReference w:id="783"/>
      </w:r>
      <w:r>
        <w:t xml:space="preserve"> to three hundred. So the people in Solomon's time were too many and mighty and glorious for Christ; therefore he diminished 'em, first by sending off the ten tribes, and then he diminished 'em again by the captivity into Babylon, and then they were further diminished by the great and general corruption that was when Christ came, so that Christ found very few godly persons among them. And with a little handful of disciples, Christ conquered the world. Thus high things were brought down, that Christ alone might be exalted.</w:t>
      </w:r>
      <w:r>
        <w:rPr>
          <w:rStyle w:val="FootnoteReference"/>
        </w:rPr>
        <w:footnoteReference w:id="784"/>
      </w:r>
    </w:p>
    <w:p>
      <w:pPr>
        <w:pStyle w:val="SourcePage"/>
      </w:pPr>
      <w:r>
        <w:t xml:space="preserve">[p. 232]</w:t>
      </w:r>
    </w:p>
    <w:p>
      <w:pPr>
        <w:pStyle w:val="BodyText"/>
      </w:pPr>
      <w:r>
        <w:t xml:space="preserve">3.</w:t>
      </w:r>
      <w:r>
        <w:rPr>
          <w:rStyle w:val="FootnoteReference"/>
        </w:rPr>
        <w:footnoteReference w:id="785"/>
      </w:r>
      <w:r>
        <w:t xml:space="preserve"> This prepared the way for Christ's coming as it made the salvation of the Jews by Christ, those of them that were saved, the more sensible, visible.</w:t>
      </w:r>
      <w:r>
        <w:rPr>
          <w:rStyle w:val="FootnoteReference"/>
        </w:rPr>
        <w:footnoteReference w:id="786"/>
      </w:r>
      <w:r>
        <w:t xml:space="preserve"> Though the bigger part of the nation of the Jews was rejected, and the Gentiles called in their room, yet there were a great many thousands of the Jews that were saved by Christ after his resurrection, Acts 21:20. They being taken from so low a state under temporal calamity in their bondage to the Romans, and from a state of great superstition and wickedness that the Jewish nation was then fallen into it, made their redemption the more sensibly and visibly glorious.</w:t>
      </w:r>
    </w:p>
    <w:p>
      <w:pPr>
        <w:pStyle w:val="BodyText"/>
      </w:pPr>
      <w:r>
        <w:t xml:space="preserve">I have taken notice of this dispensation of providence, in the gradual decline of the Jewish church in this place, [which] began in Solomon's reign.</w:t>
      </w:r>
    </w:p>
    <w:p>
      <w:pPr>
        <w:pStyle w:val="BodyText"/>
      </w:pPr>
      <w:r>
        <w:rPr>
          <w:rStyle w:val="FootnoteReference"/>
        </w:rPr>
        <w:footnoteReference w:id="787"/>
      </w:r>
      <w:r>
        <w:t xml:space="preserve">15.</w:t>
      </w:r>
      <w:r>
        <w:rPr>
          <w:rStyle w:val="FootnoteReference"/>
        </w:rPr>
        <w:footnoteReference w:id="788"/>
      </w:r>
      <w:r>
        <w:t xml:space="preserve"> I would here take notice of the additions that were made to the canon of the Scripture in or soon after Solomon's reign. There were considerable additions made by Solomon, who wrote the books of Proverbs and Ecclesiastes, probably near the close of his reign. His writing the Song of Songs, as it is called, is what is especially here to be taken notice; which is wholly on the subject that we are upon, viz. Christ and his redemption, representing the high and glorious relation and union and love there is between Christ and his redeemed church. And the history of the Scripture seems, in Solomon's reign and some of the next ensuing reigns, to have been added to by the prophets Nathan, and Ahijah, and Shemaiah, and Iddo. 'Tis probable that part of the history we have in the first of Kings was written by them by what is said, 2 Chronicles 9:29 ["Now the rest of the acts of Solomon … are they not written in the book of Nathan the prophet, and in the prophecy of Ahijah … and in the visions of Iddo"], and 2 Chronicles 12:15 ["Now the acts of Rehoboam … are they not written in the book of Shemaiah the prophet, and of Iddo the seer"], and 2 Chronicles 13:22 ["And the rest of the acts of Abijah … are written in the story of the prophet Iddo"].</w:t>
      </w:r>
    </w:p>
    <w:p>
      <w:pPr>
        <w:pStyle w:val="SourcePage"/>
      </w:pPr>
      <w:r>
        <w:t xml:space="preserve">[p. 233]</w:t>
      </w:r>
    </w:p>
    <w:p>
      <w:pPr>
        <w:pStyle w:val="BodyText"/>
      </w:pPr>
      <w:r>
        <w:t xml:space="preserve">16.</w:t>
      </w:r>
      <w:r>
        <w:rPr>
          <w:rStyle w:val="FootnoteReference"/>
        </w:rPr>
        <w:footnoteReference w:id="789"/>
      </w:r>
      <w:r>
        <w:t xml:space="preserve"> God's wonderfully upholding his church and the true religion through this period. It was very wonderful considering the many and</w:t>
      </w:r>
      <w:r>
        <w:rPr>
          <w:rStyle w:val="FootnoteReference"/>
        </w:rPr>
        <w:footnoteReference w:id="790"/>
      </w:r>
      <w:r>
        <w:t xml:space="preserve"> great apostasies that there were of that people to idolatry. When the tribes did generally finally forsake the true worship of God, God kept up the true religion in the kingdom of Judah. And when they corrupted themselves as they very often did exceedingly, and idolatry seemed to be ready totally to swallow all up, yet God kept the lamp alive. And [God] was pleased several times after exceeding great degeneracy, and things seemed to come to extremity, and religion seemed to be come to its last gasp, then God granted blessed revivals by remarkable outpourings of his Spirit, particularly in Hezekiah's and Josiah's times.</w:t>
      </w:r>
      <w:r>
        <w:rPr>
          <w:rStyle w:val="FootnoteReference"/>
        </w:rPr>
        <w:footnoteReference w:id="791"/>
      </w:r>
    </w:p>
    <w:p>
      <w:pPr>
        <w:pStyle w:val="BodyText"/>
      </w:pPr>
      <w:r>
        <w:t xml:space="preserve">17.</w:t>
      </w:r>
      <w:r>
        <w:rPr>
          <w:rStyle w:val="FootnoteReference"/>
        </w:rPr>
        <w:footnoteReference w:id="792"/>
      </w:r>
      <w:r>
        <w:t xml:space="preserve"> God remarkably kept the Book of the Law from being lost in times of general and long continued neglect of it and enmity against it. The most remarkable instance of this kind that we have was the preservation of the Book of the Law in the time of the great apostasy during the greatest part of the long reign of Manasseh, which lasted fifty-five years, and then after that, the reign of Amon, his son.</w:t>
      </w:r>
      <w:r>
        <w:rPr>
          <w:rStyle w:val="FootnoteReference"/>
        </w:rPr>
        <w:footnoteReference w:id="793"/>
      </w:r>
      <w:r>
        <w:t xml:space="preserve"> Thus while the Book of the Law was so much neglected, and such a careless and profane management of the affairs of the temple prevailed that the</w:t>
      </w:r>
      <w:r>
        <w:rPr>
          <w:rStyle w:val="FootnoteReference"/>
        </w:rPr>
        <w:footnoteReference w:id="794"/>
      </w:r>
      <w:r>
        <w:t xml:space="preserve"> Book of the Law that used to be laid up by the side of the ark in the Holy of Holies was lost for a long time, nobody knew where it was; but yet God preserved it from being finally lost. And in Josiah's time when they came to repair the temple, it was found buried up in rubbish, after it had been lost so long that it had been very much forgotten. So that King Josiah himself seems to have been much a stranger to it till now. See 2 Kings 22:8, etc. ["And Hilkiah the high priest said, … I have found the book of the law in the house of the Lord.… And Shaphan read it before the king.… And the king commanded Hilkiah … saying, enquire of the Lord for me … concerning the words of this book that is found … because our fathers have not hearkened unto the words of this book"].</w:t>
      </w:r>
    </w:p>
    <w:p>
      <w:pPr>
        <w:pStyle w:val="SourcePage"/>
      </w:pPr>
      <w:r>
        <w:t xml:space="preserve">[p. 234]</w:t>
      </w:r>
    </w:p>
    <w:p>
      <w:pPr>
        <w:pStyle w:val="BodyText"/>
      </w:pPr>
      <w:r>
        <w:t xml:space="preserve">18.</w:t>
      </w:r>
      <w:r>
        <w:rPr>
          <w:rStyle w:val="FootnoteReference"/>
        </w:rPr>
        <w:footnoteReference w:id="795"/>
      </w:r>
      <w:r>
        <w:t xml:space="preserve"> God's remarkably preserving the tribe of which Christ was to proceed from being ruined through the many and great dangers of this period. The visible church of Christ from Solomon's reign was mainly in the tribe of Judah. The tribe of Benjamin that was annexed to 'em was but a very small tribe, and the tribe of Judah exceeding large. And as Judah took Benjamin under his covert</w:t>
      </w:r>
      <w:r>
        <w:rPr>
          <w:rStyle w:val="FootnoteReference"/>
        </w:rPr>
        <w:footnoteReference w:id="796"/>
      </w:r>
      <w:r>
        <w:t xml:space="preserve"> when he went into Egypt to buy corn, so the tribe of Benjamin seemed to be under the covert of Judah ever after. And though on occasion of Jeroboam's setting up the calves at Bethel and Dan, the Levites resorted to Judah out of all the tribes</w:t>
      </w:r>
      <w:r>
        <w:rPr>
          <w:rStyle w:val="FootnoteReference"/>
        </w:rPr>
        <w:footnoteReference w:id="797"/>
      </w:r>
      <w:r>
        <w:t xml:space="preserve"> of Israel,</w:t>
      </w:r>
      <w:r>
        <w:rPr>
          <w:rStyle w:val="FootnoteReference"/>
        </w:rPr>
        <w:footnoteReference w:id="798"/>
      </w:r>
      <w:r>
        <w:t xml:space="preserve"> yet they were also small and were not reckoned among the tribes. And though many of the ten tribes did also on that occasion, for the sake of the worship of God in the temple, leave their inheritances in their several tribes and removed and settled in Judah, and so were incorporated with them, as we have account there in verse sixteen.</w:t>
      </w:r>
    </w:p>
    <w:p>
      <w:pPr>
        <w:pStyle w:val="BodyText"/>
      </w:pPr>
      <w:r>
        <w:t xml:space="preserve">Yet the tribe of Judah was so much the prevailing part that they were called by one name; they were called, "Judah." Therefore, God said to Solomon, 1 Kings 11:13, "I will not rend away all the kingdom; but will give one tribe to thy son for David my servant's sake, and for Jerusalem's sake which I have chosen." And so verses thirty-two, thirty-six. So when the ten tribes were carried captive, it is said there was none left but the tribe of Judah only, 2 Kings 17:18, "Therefore the Lord was very wroth with Israel, and removed them out of his sight: there was none left but the tribe of Judah only."</w:t>
      </w:r>
      <w:r>
        <w:rPr>
          <w:rStyle w:val="FootnoteReference"/>
        </w:rPr>
        <w:footnoteReference w:id="799"/>
      </w:r>
      <w:r>
        <w:t xml:space="preserve"> Whence they were all called "Jews," which is a word that comes from Judah. This was the tribe of which Christ was to come, and in this chiefly did God's visible church consist from Solomon's time. And this was the people over whom the kings that were legal ancestors of Christ, and</w:t>
      </w:r>
      <w:r>
        <w:rPr>
          <w:rStyle w:val="FootnoteReference"/>
        </w:rPr>
        <w:footnoteReference w:id="800"/>
      </w:r>
      <w:r>
        <w:t xml:space="preserve"> were of the house of David, reigned.</w:t>
      </w:r>
      <w:r>
        <w:rPr>
          <w:rStyle w:val="FootnoteReference"/>
        </w:rPr>
        <w:footnoteReference w:id="801"/>
      </w:r>
    </w:p>
    <w:p>
      <w:pPr>
        <w:pStyle w:val="BodyText"/>
      </w:pPr>
      <w:r>
        <w:t xml:space="preserve">This people was wonderfully preserved from the destruction during this period, when they often seemed to be upon the brink of ruin and just ready to be swallowed up. So it was in Rehoboam's time, when Shishak, king of Egypt, came against Judah with such a vast</w:t>
      </w:r>
    </w:p>
    <w:p>
      <w:pPr>
        <w:pStyle w:val="SourcePage"/>
      </w:pPr>
      <w:r>
        <w:t xml:space="preserve">[p. 235]</w:t>
      </w:r>
    </w:p>
    <w:p>
      <w:pPr>
        <w:pStyle w:val="BodyText"/>
      </w:pPr>
      <w:r>
        <w:t xml:space="preserve">force. Yet then God manifestly preserved them from being destroyed. Of his we read in the beginning of the 2 Chronicles 12 ["In the fifth year of king Rehoboam Shishak king of Egypt came against Jerusalem.… with twelve hundred chariots … and the people were without number.… Whereupon the princes of Israel … humbled themselves.… And when he (Rehoboam) humbled himself, the wrath of the Lord turned from him … in Judah things went well"]. So it was again in Abijah's time when Jeroboam set the battle in array against him with eight hundred thousand chosen men, a mighty army indeed. We read of it, 2 Chronicles 13:3 ["Abijah set the battle in array with an army of valiant men of war … Jeroboam also set the battle in array against him"]. Then God wrought deliverance for Judah out of regard to the covenant of grace, established with David, as 2 Chronicles 13:4, 2 Chronicles 13:5 ["And Abijah … said, … the Lord God of Israel gave the kingdom over Israel to David for ever … and to his sons"]. It was because God was on their side, as you may see, 2 Chronicles 13:12 ["God himself is with us for our captain"]. So it was again in Asa's time when Zerah the Ethiopian came against him with a</w:t>
      </w:r>
      <w:r>
        <w:rPr>
          <w:rStyle w:val="FootnoteReference"/>
        </w:rPr>
        <w:footnoteReference w:id="802"/>
      </w:r>
      <w:r>
        <w:t xml:space="preserve"> yet larger army of a thousand thousand, and three hundred chariots, 2 Chronicles 14:9 ["And there came out against them Zerah the Ethiopian … and came unto Mareshah"]. Asa cried to the Lord, and trusted in him, being sensible that it was of nothing with him to help those that had no power, verse eleven ["And Asa cried unto the Lord his God, and said, Lord, it is nothing with thee to help, whether with many, or with them that have no power"]. And accordingly, God gave 'em a glorious victory over that mighty host.</w:t>
      </w:r>
    </w:p>
    <w:p>
      <w:pPr>
        <w:pStyle w:val="BodyText"/>
      </w:pPr>
      <w:r>
        <w:t xml:space="preserve">So again it was in Jehoshaphat's time when the children of Moab, and the children of Ammon, and the inhabitants of Mount Seir, combined together against Judah with a mighty army, a force vastly superior to any that Jehoshaphat could raise. And Jehoshaphat and his people were greatly afraid. Yet they set themselves to seek God on this occasion, and trusted in him, and God told 'em by one of his prophets that they need not fear 'em, nor should they have any occasion to fight in this battle. They should only "stand still and see the salvation of the Lord."</w:t>
      </w:r>
      <w:r>
        <w:rPr>
          <w:rStyle w:val="FootnoteReference"/>
        </w:rPr>
        <w:footnoteReference w:id="803"/>
      </w:r>
      <w:r>
        <w:t xml:space="preserve"> And according to his direction, they only stood still and sang praises to God, and God made their enemies do the work themselves, and set 'em to killing one another. And the</w:t>
      </w:r>
    </w:p>
    <w:p>
      <w:pPr>
        <w:pStyle w:val="SourcePage"/>
      </w:pPr>
      <w:r>
        <w:t xml:space="preserve">[p. 236]</w:t>
      </w:r>
    </w:p>
    <w:p>
      <w:pPr>
        <w:pStyle w:val="BodyText"/>
      </w:pPr>
      <w:r>
        <w:t xml:space="preserve">children of Judah had nothing to do but to gather the spoil, which was more than they could carry away. We have the story in II Chronicles, chapter twenty. So it was again in Ahaz's time when Rezin, the king of Syria, and Pekah, the son of</w:t>
      </w:r>
      <w:r>
        <w:rPr>
          <w:rStyle w:val="FootnoteReference"/>
        </w:rPr>
        <w:footnoteReference w:id="804"/>
      </w:r>
      <w:r>
        <w:t xml:space="preserve"> Remaliah, the king of Israel, conspired against Judah, and seemed to be sure of their purpose, of which we have spoken already.</w:t>
      </w:r>
      <w:r>
        <w:rPr>
          <w:rStyle w:val="FootnoteReference"/>
        </w:rPr>
        <w:footnoteReference w:id="805"/>
      </w:r>
    </w:p>
    <w:p>
      <w:pPr>
        <w:pStyle w:val="BodyText"/>
      </w:pPr>
      <w:r>
        <w:t xml:space="preserve">So it was again in Hezekiah's time when Sennacherib, that great king of Assyria, and head of the greatest monarchy that was then in the world, came up against all the fenced cities of Judah after he had conquered most of the neighboring countries, and sent Rabshakeh the captain of his host against Jerusalem, who came and in a very proud and scornful manner insulted Hezekiah and his people, as being sure of victory, and the people were trembling for fear like lambs before a lion.</w:t>
      </w:r>
      <w:r>
        <w:rPr>
          <w:rStyle w:val="FootnoteReference"/>
        </w:rPr>
        <w:footnoteReference w:id="806"/>
      </w:r>
      <w:r>
        <w:t xml:space="preserve"> Then God sent Isaiah the prophet, to comfort 'em, and assure them that they should not prevail. As a token of which he gave them this sign, viz. that the earth for two years going should bring forth food of itself from the roots of the old stalks, without their plowing or sowing, and then the third year they should sow and reap and plant vineyards and eat the fruit of them, and live on the fruits of their labor as they used to do, which was given as a type or representation of what it promised, see 2 Kings 19:29 ["And this shall be a sign unto thee"].</w:t>
      </w:r>
      <w:r>
        <w:rPr>
          <w:rStyle w:val="FootnoteReference"/>
        </w:rPr>
        <w:footnoteReference w:id="807"/>
      </w:r>
      <w:r>
        <w:t xml:space="preserve"> This is mentioned as a type of what is promised in the 2 Kings 19:30–31 ["And the remnant that is escaped of the house of Judah shall yet again take root downward, and bear fruit upward. For out of Jerusalem shall go forth a remnant, and they that escape out of mount Zion: the zeal of the Lord of hosts shall do this"]. The corn's springing again after it had been cut off with the sickle and bringing forth another crop from the roots that seemed to be dead, and so once and again represents the church's reviving again, as it were, out of its own ashes, and flourishing like a plant after it had seemingly been cut down past recovery. When the enemies of the church have done their utmost and seem to have gained their point, and to have overthrown the church, so that the being of it is scarcely visible but like a living root hid under ground, yet there is a secret life in it that will cause it to flourish again and to take root downward, and bear fruit upward. This was fulfilled now</w:t>
      </w:r>
    </w:p>
    <w:p>
      <w:pPr>
        <w:pStyle w:val="SourcePage"/>
      </w:pPr>
      <w:r>
        <w:t xml:space="preserve">[p. 237]</w:t>
      </w:r>
    </w:p>
    <w:p>
      <w:pPr>
        <w:pStyle w:val="BodyText"/>
      </w:pPr>
      <w:r>
        <w:t xml:space="preserve">at this time, for the king of Assyria had already taken and carried captive the ten tribes, and Sennacherib had also taken all the fenced cities of Judah, and ravaged all the country round about, and Jerusalem only remained. And Rabshakeh had in his own imagination already swallowed that up, as he had also in the fearful apprehensions of the Jews themselves. But yet</w:t>
      </w:r>
      <w:r>
        <w:rPr>
          <w:rStyle w:val="FootnoteReference"/>
        </w:rPr>
        <w:footnoteReference w:id="808"/>
      </w:r>
      <w:r>
        <w:t xml:space="preserve"> God wrought wonderful deliverance. He sent an angel that in one night smote an hundred fourscore and five thousand in the enemy's camp.</w:t>
      </w:r>
      <w:r>
        <w:rPr>
          <w:rStyle w:val="FootnoteReference"/>
        </w:rPr>
        <w:footnoteReference w:id="809"/>
      </w:r>
    </w:p>
    <w:p>
      <w:pPr>
        <w:pStyle w:val="BodyText"/>
      </w:pPr>
      <w:r>
        <w:t xml:space="preserve">19.</w:t>
      </w:r>
      <w:r>
        <w:rPr>
          <w:rStyle w:val="FootnoteReference"/>
        </w:rPr>
        <w:footnoteReference w:id="810"/>
      </w:r>
      <w:r>
        <w:t xml:space="preserve"> In the reign of Uzziah and the following reigns, God was pleased to raise up a set of eminent prophets who should commit their prophecies to writing, and leave them for the use of his church in all ages. We before observed how that God began a constant succession of prophets in Israel in Samuel's time, and many of these prophets wrote by divine inspiration, and so added to the canon of the Scripture before Uzziah's time. But they none of them are supposed to have written books of prophecies till now. They several of them wrote histories of the wonderful dispensations of God towards his church. This we have observed already of Samuel, who is supposed to have written the Judges, and Ruth, and part of the first of Samuel, if not the book of Joshua. And Nathan and Gad who seem to have written the rest of the two books of Samuel. And Nathan, with Ahijah and Iddo, wrote the history of Solomon, which is probably that which we have in the first book of Kings. The history of Israel</w:t>
      </w:r>
      <w:r>
        <w:rPr>
          <w:rStyle w:val="FootnoteReference"/>
        </w:rPr>
        <w:footnoteReference w:id="811"/>
      </w:r>
      <w:r>
        <w:t xml:space="preserve"> seems to have been further carried on by Iddo and Shemaiah, 2 Chronicles 12:15, "Now the acts of Rehoboam, first and last, are they not written in the book of Shemaiah the prophet, and Iddo the seer concerning genealogies." And after that, the history seems to be further carried on by the prophet Jehu, the son of Hanani, 2 Chronicles 20:34, "Now the rest of the acts of Jehoshaphat, first and last, behold, they are written in the book of Jehu the son of Hanani, who is mentioned in the book of the kings of Israel," as we find him to be 1 Kings 16:1 and 1 Kings 16:7. And then further continued by the prophet Isaiah, 2 Chronicles 26:22, </w:t>
      </w:r>
      <w:r>
        <w:rPr>
          <w:rStyle w:val="FootnoteReference"/>
        </w:rPr>
        <w:footnoteReference w:id="812"/>
      </w:r>
      <w:r>
        <w:t xml:space="preserve"> "Now the rest of the acts of Uzziah, first and last, did Isaiah the prophet, the son of Amos, write." He probably did it as well in the</w:t>
      </w:r>
    </w:p>
    <w:p>
      <w:pPr>
        <w:pStyle w:val="SourcePage"/>
      </w:pPr>
      <w:r>
        <w:t xml:space="preserve">[p. 238]</w:t>
      </w:r>
    </w:p>
    <w:p>
      <w:pPr>
        <w:pStyle w:val="BodyText"/>
      </w:pPr>
      <w:r>
        <w:t xml:space="preserve">second book of Kings, as in the book of his prophecy; and the history was carried on and finished by other prophets after him.</w:t>
      </w:r>
    </w:p>
    <w:p>
      <w:pPr>
        <w:pStyle w:val="BodyText"/>
      </w:pPr>
      <w:r>
        <w:t xml:space="preserve">Thus the prophets, even from Samuel's time, had all along been adding to the canon of Scripture by their historical writings. But now in the days of Uzziah did God first raise up a set of great prophets, not only to</w:t>
      </w:r>
      <w:r>
        <w:rPr>
          <w:rStyle w:val="FootnoteReference"/>
        </w:rPr>
        <w:footnoteReference w:id="813"/>
      </w:r>
      <w:r>
        <w:t xml:space="preserve"> write histories, but to write books of their prophecies. The first of these is thought to be Hosea, the son of Beeri, and therefore his prophecy, or the word of the Lord by him, is called "the beginning of the word of the Lord," as Hosea 1:2, "The beginning of the word of the Lord by Hosea."</w:t>
      </w:r>
      <w:r>
        <w:rPr>
          <w:rStyle w:val="FootnoteReference"/>
        </w:rPr>
        <w:footnoteReference w:id="814"/>
      </w:r>
      <w:r>
        <w:t xml:space="preserve"> That is the beginning, or the first part of the word, of the written word of that kind, viz. that which is written in books of prophecy. He prophesied in the days of Uzziah, Jotham, Ahaz, and Hezekiah, kings of Judah, and in the day of Jeroboam, the son of Joash, king of Israel. There were many other witnesses, for God raised up about the same time to commit their prophecies to writing, Isaiah, and Amos, and Jonah, and Micah, and Nahum, and probably some others; and so from that time forward God seemed to continue a succession of writing prophets.</w:t>
      </w:r>
    </w:p>
    <w:p>
      <w:pPr>
        <w:pStyle w:val="BodyText"/>
      </w:pPr>
      <w:r>
        <w:t xml:space="preserve">This was a great dispensation of providence, and a great advance made in the affair of redemption, which appears if we consider what is said before this, the main business of the prophets was to foreshow Christ and his redemption. They were all so many forerunners of the great prophet. The main end why the spirit, the spirit of prophecy, was given 'em, was that</w:t>
      </w:r>
      <w:r>
        <w:rPr>
          <w:rStyle w:val="FootnoteReference"/>
        </w:rPr>
        <w:footnoteReference w:id="815"/>
      </w:r>
      <w:r>
        <w:t xml:space="preserve"> they give testimony to Jesus Christ, the great Redeemer that was to come, and therefore the testimony of Jesus and the spirit of prophecy are spoken of as the same thing, Revelation 19:10, "And I fell at his feet to worship him. And he said unto me, See thou do it not: I am thy fellowservant, and of thy brethren that have the testimony of Jesus: Worship God: For the testimony of Jesus is the spirit of prophecy." And therefore we find that the great and main thing that the most of those prophets in their written prophecies insist upon, is Christ and his redemption and the glorious times of the gospel which should be in the latter days, according to their manner of expression. And though many other things are spoken of in their prophecies, yet it seems to be only as introductory to their prophecy of these great things. Whatever they prophesy of, here their prophecies</w:t>
      </w:r>
    </w:p>
    <w:p>
      <w:pPr>
        <w:pStyle w:val="SourcePage"/>
      </w:pPr>
      <w:r>
        <w:t xml:space="preserve">[p. 239]</w:t>
      </w:r>
    </w:p>
    <w:p>
      <w:pPr>
        <w:pStyle w:val="BodyText"/>
      </w:pPr>
      <w:r>
        <w:t xml:space="preserve">commonly terminate, as you may see by a careful perusal of their writings.</w:t>
      </w:r>
    </w:p>
    <w:p>
      <w:pPr>
        <w:pStyle w:val="BodyText"/>
      </w:pPr>
      <w:r>
        <w:t xml:space="preserve">These prophets were set to writing their prophecies by the spirit of Christ that was in them chiefly for that end, to foreshow and prepare the way for the coming of Christ and the glory that should follow.</w:t>
      </w:r>
      <w:r>
        <w:rPr>
          <w:rStyle w:val="FootnoteReference"/>
        </w:rPr>
        <w:footnoteReference w:id="816"/>
      </w:r>
      <w:r>
        <w:t xml:space="preserve"> And in what an exalted strain do they all speak of those things. Many other things they speak of in men's usual language, but when they come upon this subject what a joyful, heavenly sublimity is there in the language they use about it.</w:t>
      </w:r>
    </w:p>
    <w:p>
      <w:pPr>
        <w:pStyle w:val="BodyText"/>
      </w:pPr>
      <w:r>
        <w:t xml:space="preserve">Some of them are very particular and full in their predictions of these things, and above all the prophet Isaiah; who is therefore deservedly called "the evangelical prophet."</w:t>
      </w:r>
      <w:r>
        <w:rPr>
          <w:rStyle w:val="FootnoteReference"/>
        </w:rPr>
        <w:footnoteReference w:id="817"/>
      </w:r>
      <w:r>
        <w:t xml:space="preserve"> He seems to teach the glorious doctrines of the gospel almost as plainly as the apostles did who preached after Christ was actually come. The apostle Paul, therefore, takes notice that the prophet "Esaias is very bold," Romans 10:20, i.e. as the meaning of the word as used in the New Testament is very plain, he speaks out very plainly and fully, so being "very bold" is used; 2 Corinthians 3:12, we use "great plainness of speech" or "boldness" as it is in the margin. How plainly and fully does the prophet Isaiah describe the manner and circumstances, nature and end, of the sufferings and sacrifice of Christ in the Isaiah 53 of his prophecy. There is scarce a chapter</w:t>
      </w:r>
      <w:r>
        <w:rPr>
          <w:rStyle w:val="FootnoteReference"/>
        </w:rPr>
        <w:footnoteReference w:id="818"/>
      </w:r>
      <w:r>
        <w:t xml:space="preserve"> in the New Testament itself is more full on it. And how much, and in what a glorious strain, does the same prophet speak from time [to]</w:t>
      </w:r>
      <w:r>
        <w:rPr>
          <w:rStyle w:val="FootnoteReference"/>
        </w:rPr>
        <w:footnoteReference w:id="819"/>
      </w:r>
      <w:r>
        <w:t xml:space="preserve"> time of the glorious benefits of Christ, the unspeakable blessings which shall redound to his church through his redemption.</w:t>
      </w:r>
      <w:r>
        <w:rPr>
          <w:rStyle w:val="FootnoteReference"/>
        </w:rPr>
        <w:footnoteReference w:id="820"/>
      </w:r>
      <w:r>
        <w:t xml:space="preserve"> Jesus Christ, the person that this prophet spoke so much of, once appeared to Isaiah in the form of an human nature, the nature that he should afterwards take upon him. We have an account of it in the Isaiah 6 of his prophecy, at the beginning ["I saw also the Lord sitting upon a throne, high and lifted up, and his train filled the temple"]. This was Christ that Isaiah now saw, as we are expressly told in the New Testament, John 12:39–41 ["Esaias said again … be converted … said Esaias, when he saw his glory, and spoke of him"].</w:t>
      </w:r>
    </w:p>
    <w:p>
      <w:pPr>
        <w:pStyle w:val="SourcePage"/>
      </w:pPr>
      <w:r>
        <w:t xml:space="preserve">[p. 240]</w:t>
      </w:r>
    </w:p>
    <w:p>
      <w:pPr>
        <w:pStyle w:val="BodyText"/>
      </w:pPr>
      <w:r>
        <w:rPr>
          <w:rStyle w:val="FootnoteReference"/>
        </w:rPr>
        <w:footnoteReference w:id="821"/>
      </w:r>
      <w:r>
        <w:t xml:space="preserve">And if we consider the abundant prophecies of this and the other prophets, what a great increase is here of the light of the gospel which had been growing from the fall of man to this day; how plentiful are the revelations and prophecies of Christ now to what they were in the first Old Testament period from Adam to Noah. Or in the second from Noah to Abraham, or to what they were before Moses, or in the time of Moses, Joshua, and the judges. This dispensation that we are now speaking of was also a glorious advance of the Work of Redemption by the great additions that were hereby made to the canon of the Scripture. Great part of the Old Testament was written now from the days of Uzziah to the captivity</w:t>
      </w:r>
      <w:r>
        <w:rPr>
          <w:rStyle w:val="FootnoteReference"/>
        </w:rPr>
        <w:footnoteReference w:id="822"/>
      </w:r>
      <w:r>
        <w:t xml:space="preserve"> into Babylon. And how excellent are those portions of it. What a precious treasure have those prophets committed to the church of God tending greatly to confirm the gospel of Christ, and which has been of great comfort and benefit to God's church in all ages since, and doubtless will be to the end of the world.</w:t>
      </w:r>
    </w:p>
    <w:p>
      <w:pPr>
        <w:pStyle w:val="SourcePage"/>
      </w:pPr>
      <w:r>
        <w:t xml:space="preserve">[p. 241]</w:t>
      </w:r>
    </w:p>
    <w:p>
      <w:pPr>
        <w:pStyle w:val="Heading2"/>
      </w:pPr>
      <w:bookmarkStart w:name="heading_no_3_sermon_ten_april_1739" w:id="49"/>
      <w:r>
        <w:t xml:space="preserve">No. 3: SERMON TEN April 1739</w:t>
      </w:r>
      <w:bookmarkEnd w:id="49"/>
    </w:p>
    <w:p>
      <w:pPr>
        <w:pStyle w:val="BodyText"/>
      </w:pPr>
      <w:r>
        <w:rPr>
          <w:rStyle w:val="FootnoteReference"/>
        </w:rPr>
        <w:footnoteReference w:id="823"/>
      </w:r>
    </w:p>
    <w:p>
      <w:pPr>
        <w:pStyle w:val="BodyText"/>
      </w:pPr>
      <w:r>
        <w:rPr>
          <w:rStyle w:val="FootnoteReference"/>
        </w:rPr>
        <w:footnoteReference w:id="824"/>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9" w:id="50"/>
      <w:r>
        <w:t xml:space="preserve">DOCTRINE</w:t>
      </w:r>
      <w:bookmarkEnd w:id="50"/>
    </w:p>
    <w:p>
      <w:pPr>
        <w:pStyle w:val="BlockQuote"/>
      </w:pPr>
      <w:r>
        <w:rPr>
          <w:i/>
          <w:iCs/>
        </w:rPr>
        <w:t xml:space="preserve">[The Work of Redemption is a work that God carries on from the fall of man to the end of the world.]</w:t>
      </w:r>
    </w:p>
    <w:p>
      <w:pPr>
        <w:pStyle w:val="BodyText"/>
      </w:pPr>
      <w:r>
        <w:t xml:space="preserve">HAVING insisted in the five first periods of the space of time from the fall of man to the coming of Christ, viz. the first from the fall to the flood, and the second from thence to the calling of Abraham, and the third from the calling of Abraham to the redemption out of Egypt, and the fourth from the redemption out of Egypt to David, and the fifth from the anointing of David to the Babylonish captivity, and having shown how the Work of Redemption was carried on through each of these, we are come now to the,</w:t>
      </w:r>
    </w:p>
    <w:p>
      <w:pPr>
        <w:pStyle w:val="BodyText"/>
      </w:pPr>
      <w:r>
        <w:t xml:space="preserve">Sixth</w:t>
      </w:r>
      <w:r>
        <w:rPr>
          <w:rStyle w:val="FootnoteReference"/>
        </w:rPr>
        <w:footnoteReference w:id="825"/>
      </w:r>
      <w:r>
        <w:t xml:space="preserve"> and last period of the space of time, viz. that which begins with the Babylonish captivity and extends to the coming of Christ, being the biggest part of six hundred years. I would now proceed also to show how the Work of Redemption was carried on through this period. But before I enter upon particulars I would observe in three things wherein this period is distinguished from the preceding periods of the times of the Old Testament.</w:t>
      </w:r>
      <w:r>
        <w:rPr>
          <w:rStyle w:val="FootnoteReference"/>
        </w:rPr>
        <w:footnoteReference w:id="826"/>
      </w:r>
    </w:p>
    <w:p>
      <w:pPr>
        <w:pStyle w:val="SourcePage"/>
      </w:pPr>
      <w:r>
        <w:t xml:space="preserve">[p. 242]</w:t>
      </w:r>
    </w:p>
    <w:p>
      <w:pPr>
        <w:pStyle w:val="BodyText"/>
      </w:pPr>
      <w:r>
        <w:t xml:space="preserve">[OBSERVATIONS]</w:t>
      </w:r>
      <w:r>
        <w:rPr>
          <w:rStyle w:val="FootnoteReference"/>
        </w:rPr>
        <w:footnoteReference w:id="827"/>
      </w:r>
    </w:p>
    <w:p>
      <w:pPr>
        <w:pStyle w:val="BodyText"/>
      </w:pPr>
      <w:r>
        <w:rPr>
          <w:rStyle w:val="FootnoteReference"/>
        </w:rPr>
        <w:footnoteReference w:id="828"/>
      </w:r>
      <w:r>
        <w:t xml:space="preserve">1.</w:t>
      </w:r>
      <w:r>
        <w:rPr>
          <w:rStyle w:val="FootnoteReference"/>
        </w:rPr>
        <w:footnoteReference w:id="829"/>
      </w:r>
      <w:r>
        <w:t xml:space="preserve"> [Obs.] Though we have no account of the great part of this period in Scripture history, yet the events of this period are more the subject of Scripture prophecy than any of the preceding periods. There are two ways of the Scripture giving an account of the events by which the Work of Redemption is carried on: one is by history and another is by prophecy. And in one or the other of these ways we have contained in this holy book an account how the Work of Redemption is carried on from the beginning to the end. Though the Scripture don't contain a proper history of the whole, yet there is contained the whole chain of great events by which this affair has been carried on from the foundation soon after the fall of man to the finishing of it at the end of the world either in history or prophecy. And 'tis to be observed that where the Scripture account is wanting in one of these ways it is made up in other; where Scripture history fails, there prophecy takes place. So that the account is still carried on and the chain is not broken till we come to the very last link of it in the consummation of all things.</w:t>
      </w:r>
    </w:p>
    <w:p>
      <w:pPr>
        <w:pStyle w:val="BodyText"/>
      </w:pPr>
      <w:r>
        <w:t xml:space="preserve">And accordingly, it is very observable of this period or space of time that we are now</w:t>
      </w:r>
      <w:r>
        <w:rPr>
          <w:rStyle w:val="FootnoteReference"/>
        </w:rPr>
        <w:footnoteReference w:id="830"/>
      </w:r>
      <w:r>
        <w:t xml:space="preserve"> upon that though [it] is so much less the subject of Scripture history than most of the preceding periods, so that there is above four hundred years of it that the Scripture gives us no history of, yet the events of this period are more the subject of Scripture prophecy than the events of all the preceding periods put together. Most of those remarkable prophecies of the book of Daniel do refer to events that were accomplished in this period. So most of those prophecies in Isaiah and Jeremiah and Ezekiel against Babylon, and the land of Tyrus,</w:t>
      </w:r>
      <w:r>
        <w:rPr>
          <w:rStyle w:val="FootnoteReference"/>
        </w:rPr>
        <w:footnoteReference w:id="831"/>
      </w:r>
      <w:r>
        <w:t xml:space="preserve"> and against Egypt, and many other nations, were fulfilled in this period.</w:t>
      </w:r>
    </w:p>
    <w:p>
      <w:pPr>
        <w:pStyle w:val="BodyText"/>
      </w:pPr>
      <w:r>
        <w:t xml:space="preserve">So that the reason why the Scripture gives us no history of so great a part of this period, is not because the events of this period were not so important or less worthy to be taken notice of than the events of the foregoing periods, for I shall hereafter show probably how</w:t>
      </w:r>
    </w:p>
    <w:p>
      <w:pPr>
        <w:pStyle w:val="SourcePage"/>
      </w:pPr>
      <w:r>
        <w:t xml:space="preserve">[p. 243]</w:t>
      </w:r>
    </w:p>
    <w:p>
      <w:pPr>
        <w:pStyle w:val="BodyText"/>
      </w:pPr>
      <w:r>
        <w:t xml:space="preserve">great and distinguishingly remarkable the events of this period were. But there are several other reasons may be given of it. One is that it was the will of God that the spirit of prophecy should cease in this period</w:t>
      </w:r>
      <w:r>
        <w:rPr>
          <w:rStyle w:val="FootnoteReference"/>
        </w:rPr>
        <w:footnoteReference w:id="832"/>
      </w:r>
      <w:r>
        <w:t xml:space="preserve"> for reasons that may be given hereafter, so that there were no prophets to write the history of those times. And therefore, God designing this took care that the great events of this period should not be without mention in his word, and so ordered it that the prophecies of Scripture should be more full here than in the preceding periods. 'Tis observable that that set of writing prophets that God raised up in Israel, those that committed their prophecies to writing, were raised up at the latter end of the foregoing period and the beginning of this, which it is likely was partly for that reason that the time was now approaching that, the spirit of prophecy having ceased, there was to be no Scripture history of, and therefore no other Scripture account of, but what was given in prophecy.</w:t>
      </w:r>
    </w:p>
    <w:p>
      <w:pPr>
        <w:pStyle w:val="BodyText"/>
      </w:pPr>
      <w:r>
        <w:t xml:space="preserve">And another reason that may be given why there was so great a part of this period of which the Scripture gives us no history, is that God in his providence took care that there should be authentic and full accounts of the events of this period preserved in profane history. It is remarkable, and very worthy to be taken notice of, that with respect to the events of the five preceding periods of which</w:t>
      </w:r>
      <w:r>
        <w:rPr>
          <w:rStyle w:val="FootnoteReference"/>
        </w:rPr>
        <w:footnoteReference w:id="833"/>
      </w:r>
      <w:r>
        <w:t xml:space="preserve"> the Scripture gives us the history, profane history gives us no account, or at least of but very few, of them. There are many fabulous and uncertain accounts of things that happened before, but the beginning of the times of the authentic profane history is judged to be but a little before Nebuchadnezzar's time, about an hundred years before. The learned men among the Greeks and Romans used to call the ages before that the "fabulous age," but the times after they called the "historical age."</w:t>
      </w:r>
      <w:r>
        <w:rPr>
          <w:rStyle w:val="FootnoteReference"/>
        </w:rPr>
        <w:footnoteReference w:id="834"/>
      </w:r>
      <w:r>
        <w:t xml:space="preserve"> And from about that time to the coming of Christ we have undoubted accounts in profane [history] of the principal events, accounts that wonderfully agree with the many prophecies that we have in Scripture of these times.</w:t>
      </w:r>
    </w:p>
    <w:p>
      <w:pPr>
        <w:pStyle w:val="BodyText"/>
      </w:pPr>
      <w:r>
        <w:t xml:space="preserve">Thus did the great God that disposes all things order it. He took care to give an historical account of things from the beginning of the world through all those former ages which profane history don't reach, and ceased not, not till he came to those later ages in which</w:t>
      </w:r>
    </w:p>
    <w:p>
      <w:pPr>
        <w:pStyle w:val="SourcePage"/>
      </w:pPr>
      <w:r>
        <w:t xml:space="preserve">[p. 244]</w:t>
      </w:r>
    </w:p>
    <w:p>
      <w:pPr>
        <w:pStyle w:val="BodyText"/>
      </w:pPr>
      <w:r>
        <w:t xml:space="preserve">profane history related things with some certainty. And concerning those times he gives us abundant account in prophecy, that by comparing profane history with those prophecies we might see the agreement.</w:t>
      </w:r>
    </w:p>
    <w:p>
      <w:pPr>
        <w:pStyle w:val="BodyText"/>
      </w:pPr>
      <w:r>
        <w:rPr>
          <w:rStyle w:val="FootnoteReference"/>
        </w:rPr>
        <w:footnoteReference w:id="835"/>
      </w:r>
      <w:r>
        <w:t xml:space="preserve">2.</w:t>
      </w:r>
      <w:r>
        <w:rPr>
          <w:rStyle w:val="FootnoteReference"/>
        </w:rPr>
        <w:footnoteReference w:id="836"/>
      </w:r>
      <w:r>
        <w:t xml:space="preserve"> [Obs.] This period being the last period of the Old Testament and the next to Christ's coming, seems to have been remarkably distinguished from all others in the great revolutions that were among the nations of the earth to make way for the kingdom of Christ. The time now drawing nigh wherein Christ the great king and savior of the world was to come, great and mighty were the changes that were brought to pass in order to it. The way had been preparing for Christ's coming from the fall of man through all the foregoing period, but now the time drawing nigh, things began to ripen apace for Christ's coming. And therefore divine providence wrought wonderfully now. The greatest revolutions that any history whatsoever gives any account of, that ever had been from the flood, fell out in this period. Almost all the then-known world, i.e. all the nations that were round about the land of Canaan far and near, that were within the reach of</w:t>
      </w:r>
      <w:r>
        <w:rPr>
          <w:rStyle w:val="FootnoteReference"/>
        </w:rPr>
        <w:footnoteReference w:id="837"/>
      </w:r>
      <w:r>
        <w:t xml:space="preserve"> their knowledge, were overturned again and again. All lands were in their turns subdued, captivated and as it were, emptied and turned upside down, and that most of them often times in this period, agreeable to that prophecy, Isaiah 24:1, "Behold, the Lord maketh the earth empty, he maketh it waste, and turneth it upside down, and scattereth abroad the inhabitants thereof."</w:t>
      </w:r>
    </w:p>
    <w:p>
      <w:pPr>
        <w:pStyle w:val="BodyText"/>
      </w:pPr>
      <w:r>
        <w:t xml:space="preserve">This emptying and turning upside down began with God's own visible church in their captivity by the king of Babylon, and then the cup from them went round to all other nations, agreeable to what God revealed to the prophet Jeremiah, Jeremiah 25:15–27 ["For thus saith the Lord God of Israel.… Take the wine cup of this fury at my hand.… Jerusalem, and the cities of Judah, … Pharaoh king of Egypt.… and all the kingdoms of the world.… Drink ye … and rise no more"]. Here special respect seems to be had to the great revolutions that there were on the face of the earth in the times of the Babylonish empire. But after that there were three general overturnings of the world before Christ came, in the succession of the three great monarchies of the world that were after the Babylonish empire. The king</w:t>
      </w:r>
    </w:p>
    <w:p>
      <w:pPr>
        <w:pStyle w:val="SourcePage"/>
      </w:pPr>
      <w:r>
        <w:t xml:space="preserve">[p. 245]</w:t>
      </w:r>
    </w:p>
    <w:p>
      <w:pPr>
        <w:pStyle w:val="BodyText"/>
      </w:pPr>
      <w:r>
        <w:t xml:space="preserve">of Babylon is represented in Scripture as overturning the world, but after this the Babylonish empire was overthrown by Cyrus. And then founded the Persian empire in the room of it, which</w:t>
      </w:r>
      <w:r>
        <w:rPr>
          <w:rStyle w:val="FootnoteReference"/>
        </w:rPr>
        <w:footnoteReference w:id="838"/>
      </w:r>
      <w:r>
        <w:t xml:space="preserve"> was of much greater extent than the Babylonish empire ever had been. Thus the world was overturned the second time. And then after that the Persian empire was overthrown by Alexander, and the Grecian empire was set up upon the ruins of this, which was still of much greater extent than ever the Persian empire had been. And thus there was a general overturning of the world a third time. And then after that the Grecian empire was overthrown by the Roman, and the Roman empire was established which vastly exceeded all the foregoing empire in power and extent of dominion. And so the world was overturned the fourth time. These several monarchies, and the great revolutions of the world under them, are abundantly spoken of in the prophecies of Daniel. They are first represented in Nebuchadnezzar's image of gold, silver, brass, and iron, and Daniel's interpretation of it in the Daniel 2. And then in Daniel's vision of the four beasts, and the angel's interpretation of it in the Daniel 7. And the succession of the Persian and Grecian monarchies is more particularly represented</w:t>
      </w:r>
      <w:r>
        <w:rPr>
          <w:rStyle w:val="FootnoteReference"/>
        </w:rPr>
        <w:footnoteReference w:id="839"/>
      </w:r>
      <w:r>
        <w:t xml:space="preserve"> in the Daniel 8 in Daniel's vision of the ram and the he-goat, and again in the beginning of the Daniel 11.</w:t>
      </w:r>
    </w:p>
    <w:p>
      <w:pPr>
        <w:pStyle w:val="BodyText"/>
      </w:pPr>
      <w:r>
        <w:t xml:space="preserve">And besides these four general overturnings of the world, the world was kept in a constant tumult within between whiles.</w:t>
      </w:r>
      <w:r>
        <w:rPr>
          <w:rStyle w:val="FootnoteReference"/>
        </w:rPr>
        <w:footnoteReference w:id="840"/>
      </w:r>
      <w:r>
        <w:t xml:space="preserve"> And indeed</w:t>
      </w:r>
    </w:p>
    <w:p>
      <w:pPr>
        <w:pStyle w:val="SourcePage"/>
      </w:pPr>
      <w:r>
        <w:t xml:space="preserve">[p. 246]</w:t>
      </w:r>
    </w:p>
    <w:p>
      <w:pPr>
        <w:pStyle w:val="BodyText"/>
      </w:pPr>
      <w:r>
        <w:t xml:space="preserve">the world was, as it were, in a continual convulsion through this whole period till Christ came. Before this period, the face of the earth was comparatively in quietness. Though there were many great wars among the nations, we read of none. No such mighty and universal convulsions and overturnings</w:t>
      </w:r>
      <w:r>
        <w:rPr>
          <w:rStyle w:val="FootnoteReference"/>
        </w:rPr>
        <w:footnoteReference w:id="841"/>
      </w:r>
      <w:r>
        <w:t xml:space="preserve"> as there were in this period. The nations of the world, most of them, had long remained on their lees, as it were, without being "emptied from vessel to vessel," as is said of Moab, Jeremiah 48:11.</w:t>
      </w:r>
    </w:p>
    <w:p>
      <w:pPr>
        <w:pStyle w:val="BodyText"/>
      </w:pPr>
      <w:r>
        <w:t xml:space="preserve">Now these great overturnings were because the time of the great messiah drew nigh. That they were to prepare the way for Christ's coming is evident by Scripture, particularly by Ezekiel 21:27, "I will overturn, overturn, overturn, it: and it shall be no more, till he [come whose right it is; and I will give it him]." The prophet, by repeating the word "overturn" three times, has respect to three overturnings, as in the Revelation 8:13. The repetition of the word "woe" three times signifies three distinct woes as appears by what follows, Revelation 9:12, "One woe is past" and Revelation 11:14, "second woe is past; and behold, the third woe cometh quickly." It must be noted that the prophet Ezekiel prophesied in the time of the Babylonish captivity, and therefore there were three great and general overturnings of the world to come after this prophecy before Christ came: the first by the Persians, [the]</w:t>
      </w:r>
      <w:r>
        <w:rPr>
          <w:rStyle w:val="FootnoteReference"/>
        </w:rPr>
        <w:footnoteReference w:id="842"/>
      </w:r>
      <w:r>
        <w:t xml:space="preserve"> second by [the] Grecians, [the] third by [the] Romans, and then after that Christ whose right it was to rule and reign. Here these three great overturnings are evidently spoken as preparatory to the coming and kingdom of Christ. But to understand the words aright we must note the particular expression, "I will overturn, overturn, overturn,</w:t>
      </w:r>
    </w:p>
    <w:p>
      <w:pPr>
        <w:pStyle w:val="SourcePage"/>
      </w:pPr>
      <w:r>
        <w:t xml:space="preserve">[p. 247]</w:t>
      </w:r>
    </w:p>
    <w:p>
      <w:pPr>
        <w:pStyle w:val="BodyText"/>
      </w:pPr>
      <w:r>
        <w:t xml:space="preserve">it," i.e. the diadem,</w:t>
      </w:r>
      <w:r>
        <w:rPr>
          <w:rStyle w:val="FootnoteReference"/>
        </w:rPr>
        <w:footnoteReference w:id="843"/>
      </w:r>
      <w:r>
        <w:t xml:space="preserve"> crown of Israel, or the supreme temporal dominion over God's visible people. Thus God said, "be no more," that is, the crown should be taken off and the diadem removed, as it is said in the foregoing verse. The supreme power over Israel should be no more in the royal line of David to which it properly belonged, but should be removed away and given to others, and overturned from one to another. First the supreme power over Israel should be in the hands of the Persians, and then it should be overturned again, and then [it should be in the hands of the] Grecians, and then [it should be] overturned and be in the hands of the Romans, and should be no more in the line of David till that very person come that was the son of David, whose proper right it was. And then God would give it him.</w:t>
      </w:r>
    </w:p>
    <w:p>
      <w:pPr>
        <w:pStyle w:val="BodyText"/>
      </w:pPr>
      <w:r>
        <w:t xml:space="preserve">That those great shakings and revolutions of the nations of the world were all to prepare the way for Christ's coming and setting up his kingdom in the world, is further manifest by Haggai 2:6–7, "For thus saith the Lord of hosts; Yet once, it is a little while, and I will shake the heavens, and the earth, and the sea, and the dry land; And I will shake all nations, and the desire of all nations shall come: and I will fill this house with glory, saith the Lord of hosts." And again the Haggai 2:21 ["I will shake the heavens and the earth … I will overthrow the throne of kingdoms.… In that day … will I take thee … and will make thee as a signet: for I have chosen thee"]</w:t>
      </w:r>
      <w:r>
        <w:rPr>
          <w:rStyle w:val="FootnoteReference"/>
        </w:rPr>
        <w:footnoteReference w:id="844"/>
      </w:r>
      <w:r>
        <w:t xml:space="preserve"> 'Tis evident by this that these great revolutions and shakings of the nations, whereby the thrones of kingdoms and armies were overthrown, and every one came down by the sword of his brother, were to prepare the way for the coming of him who is the desire of all nations.</w:t>
      </w:r>
      <w:r>
        <w:rPr>
          <w:rStyle w:val="FootnoteReference"/>
        </w:rPr>
        <w:footnoteReference w:id="845"/>
      </w:r>
    </w:p>
    <w:p>
      <w:pPr>
        <w:pStyle w:val="BodyText"/>
      </w:pPr>
      <w:r>
        <w:t xml:space="preserve">The great changes and troubles that there have sometimes been in the visible church of Christ are, in Revelation 12:2, compared to the church's being in travail to bring forth Christ. So these great troubles and mighty revolutions that were in the world before Christ was born was, as it [were], the world's being in travail to bring forth the Son</w:t>
      </w:r>
    </w:p>
    <w:p>
      <w:pPr>
        <w:pStyle w:val="SourcePage"/>
      </w:pPr>
      <w:r>
        <w:t xml:space="preserve">[p. 248]</w:t>
      </w:r>
    </w:p>
    <w:p>
      <w:pPr>
        <w:pStyle w:val="BodyText"/>
      </w:pPr>
      <w:r>
        <w:t xml:space="preserve">of God. The Apostle in the Romans 8 represents the whole creation groaning and travailing in pain together till now, to bring forth the liberty and manifestation of the children of God.</w:t>
      </w:r>
      <w:r>
        <w:rPr>
          <w:rStyle w:val="FootnoteReference"/>
        </w:rPr>
        <w:footnoteReference w:id="846"/>
      </w:r>
      <w:r>
        <w:t xml:space="preserve"> So the world, as it were, travailed in pain and was in continual convulsions for several hundred years together, to bring forth the first born child and the only begotten Son of God, and those mighty revolutions were as so many pangs and throes in order to it.</w:t>
      </w:r>
      <w:r>
        <w:rPr>
          <w:rStyle w:val="FootnoteReference"/>
        </w:rPr>
        <w:footnoteReference w:id="847"/>
      </w:r>
      <w:r>
        <w:t xml:space="preserve"> The world being so long a time kept in a state of war and bloodshed, prepared the way for the coming of the Prince of Peace, as it showed the great need the world stood in of such a prince to deliver the world from its miseries. It pleased God to order it in his providence that earthly power and dominion should be raised to its greatest height and appear in its utmost glory in those four great monarchies that succeeded one another, and that every one should be greater and more glorious than the preceding, before he set up the kingdom of his Son. By this it appeared how much more glorious his spiritual kingdom was than the most glorious temporal dominion.</w:t>
      </w:r>
    </w:p>
    <w:p>
      <w:pPr>
        <w:pStyle w:val="BodyText"/>
      </w:pPr>
      <w:r>
        <w:t xml:space="preserve">The strength and glory of Satan's kingdom in these four mighty monarchies appeared in its greatest height, for those monarchies were Satan's, the monarchies of the heathen world, and so the strength of them was the strength of Satan's kingdom. God suffered Satan's kingdom to rise to so great a height of power and magnificence before his Son came to overthrow it, to prepare the way for the more glorious triumph of his Son. Goliath must have on all his splendid armor when the stripling David comes against him with a sling and stone for the greater glory of David's victory.</w:t>
      </w:r>
      <w:r>
        <w:rPr>
          <w:rStyle w:val="FootnoteReference"/>
        </w:rPr>
        <w:footnoteReference w:id="848"/>
      </w:r>
      <w:r>
        <w:t xml:space="preserve"> God suffered one of those great monarchies to subdue another and erect itself on the other's ruins, appearing still in greater strength, and the last, the strongest, and mightiest of all, that so Christ in overthrowing that might, as it were, overthrow them all at once; as "the stone cut out of the mountain without hands" is represented as destroying the whole image, gold, silver, [brass, iron, clay,] so that all became as "the chaff of the summer threshing."</w:t>
      </w:r>
      <w:r>
        <w:rPr>
          <w:rStyle w:val="FootnoteReference"/>
        </w:rPr>
        <w:footnoteReference w:id="849"/>
      </w:r>
    </w:p>
    <w:p>
      <w:pPr>
        <w:pStyle w:val="BodyText"/>
      </w:pPr>
      <w:r>
        <w:t xml:space="preserve">The mighty empires were suffered thus to overthrow the world and destroy one another; though their power was so great, yet they could not uphold themselves. Yet they fell one after another, and came</w:t>
      </w:r>
    </w:p>
    <w:p>
      <w:pPr>
        <w:pStyle w:val="SourcePage"/>
      </w:pPr>
      <w:r>
        <w:t xml:space="preserve">[p. 249]</w:t>
      </w:r>
    </w:p>
    <w:p>
      <w:pPr>
        <w:pStyle w:val="BodyText"/>
      </w:pPr>
      <w:r>
        <w:t xml:space="preserve">to nothing, even the last of them that was the strongest and had swallowed up the earth. It pleased God thus to show [this] in the instability and vanity of all earthly power and greatness, which served as a foil to set forth the glory of the kingdom of his Son which never shall be destroyed, as appears by Daniel 2:44, "In the days of these kings shall the God of heaven set up a kingdom, which shall never be destroyed: and the kingdom shall not be left to other people, but it shall break in pieces and consume all these kingdoms, and it shall stand forever." Thus greatly does this kingdom differ from all those kingdoms; they vanish away and are left to other people,</w:t>
      </w:r>
      <w:r>
        <w:rPr>
          <w:rStyle w:val="FootnoteReference"/>
        </w:rPr>
        <w:footnoteReference w:id="850"/>
      </w:r>
      <w:r>
        <w:t xml:space="preserve"> but ‹it shall stand forever›. God suffered the devil to do his utmost and to establish his interest by setting up the greatest, strongest, and most glorious kingdoms in the world that he could, before the despised Jesus overthrew him and his empire. Christ came into the world to bring down the high things of Satan's kingdom, that the hand of the Lord might be on every one that is proud and lofty, and every high tower, and every lofty mountain, as the prophet Isaiah, says, Isaiah 2:12 etc. ["For the day of the Lord of hosts shall be upon every one that is proud and lofty"].</w:t>
      </w:r>
      <w:r>
        <w:rPr>
          <w:rStyle w:val="FootnoteReference"/>
        </w:rPr>
        <w:footnoteReference w:id="851"/>
      </w:r>
      <w:r>
        <w:t xml:space="preserve"> And therefore these things were suffered to rise very high, that Christ might appear so much the more glorious in being above them.</w:t>
      </w:r>
    </w:p>
    <w:p>
      <w:pPr>
        <w:pStyle w:val="BodyText"/>
      </w:pPr>
      <w:r>
        <w:t xml:space="preserve">Thus wonderfully did the great and wise governor of the world prepare the way for the erecting of the glorious kingdom of his beloved Son, Jesus.</w:t>
      </w:r>
      <w:r>
        <w:rPr>
          <w:rStyle w:val="FootnoteReference"/>
        </w:rPr>
        <w:footnoteReference w:id="852"/>
      </w:r>
    </w:p>
    <w:p>
      <w:pPr>
        <w:pStyle w:val="BodyText"/>
      </w:pPr>
      <w:r>
        <w:rPr>
          <w:rStyle w:val="FootnoteReference"/>
        </w:rPr>
        <w:footnoteReference w:id="853"/>
      </w:r>
      <w:r>
        <w:t xml:space="preserve">3.</w:t>
      </w:r>
      <w:r>
        <w:rPr>
          <w:rStyle w:val="FootnoteReference"/>
        </w:rPr>
        <w:footnoteReference w:id="854"/>
      </w:r>
      <w:r>
        <w:t xml:space="preserve"> [Obs.] Another thing for which this last period or space of time before Christ was particularly remarkable, was the wonderful preservation of the church through all these overturnings. The preservation of the church was on some accounts more remarkable through this period than through any of the foregoing. It was very wonderful that the church, which in this period was so weak and in so low a state and mostly subject to the dominion of heathen monarchies, should be preserved for five or six hundred years together while the world was so often overturned and the earth was rent in</w:t>
      </w:r>
    </w:p>
    <w:p>
      <w:pPr>
        <w:pStyle w:val="SourcePage"/>
      </w:pPr>
      <w:r>
        <w:t xml:space="preserve">[p. 250]</w:t>
      </w:r>
    </w:p>
    <w:p>
      <w:pPr>
        <w:pStyle w:val="BodyText"/>
      </w:pPr>
      <w:r>
        <w:t xml:space="preserve">pieces and made so often empty and waste, and the inhabitants of it came down so often, "every one by the sword of his brother."</w:t>
      </w:r>
      <w:r>
        <w:rPr>
          <w:rStyle w:val="FootnoteReference"/>
        </w:rPr>
        <w:footnoteReference w:id="855"/>
      </w:r>
      <w:r>
        <w:t xml:space="preserve"> I say, it was wonderful that the church in its weak, low state, a little handful, should be preserved in all these great convulsions. Especially considering the land of Judea, the chief place of the church, lay in the midst of them as it were, in the middle between the contending parties, and was very much the seat of war amongst them and was often overrun and subdued, and sometimes in the hands of one people and sometimes another, and very much</w:t>
      </w:r>
      <w:r>
        <w:rPr>
          <w:rStyle w:val="FootnoteReference"/>
        </w:rPr>
        <w:footnoteReference w:id="856"/>
      </w:r>
      <w:r>
        <w:t xml:space="preserve"> the object of the envy and hatred of all heathen nations; and often almost ruined by 'em, often great multitudes of them slain and the land in a great measure depopulated, and those that bend to have 'em in their power, often intending the utter destruction of the whole nation. Yet they were upheld. They were preserved in their captivity in Babylon, and they were upheld again under all the dangers they passed through under the kings of Persia, and the much greater dangers they were the subject of under the empire of the Greeks, and after, when the world was trodden down by the Romans.</w:t>
      </w:r>
      <w:r>
        <w:rPr>
          <w:rStyle w:val="FootnoteReference"/>
        </w:rPr>
        <w:footnoteReference w:id="857"/>
      </w:r>
      <w:r>
        <w:t xml:space="preserve"> And their preservation on through this period was also distinguishingly remarkable, in that we never read of the church's suffering persecution in any former period, in any measure, to such a degree, as they did in this under Antiochus Epiphanes, of which more afterwards. This wonderful preservation of the church through all these overturnings of the world, gives light and confirmation to what we read in the beginning of the Psalms 46 ["God is our refuge and strength, a very present help in trouble. Therefore will not we fear, though the earth be removed, and though the mountains be carried into the midst of the sea; though the waters thereof roar and be troubled, though the mountains shake with the swelling thereof"].</w:t>
      </w:r>
      <w:r>
        <w:rPr>
          <w:rStyle w:val="FootnoteReference"/>
        </w:rPr>
        <w:footnoteReference w:id="858"/>
      </w:r>
    </w:p>
    <w:p>
      <w:pPr>
        <w:pStyle w:val="BodyText"/>
      </w:pPr>
      <w:r>
        <w:rPr>
          <w:rStyle w:val="FootnoteReference"/>
        </w:rPr>
        <w:footnoteReference w:id="859"/>
      </w:r>
      <w:r>
        <w:t xml:space="preserve">Thus I have taken notice of some general things wherein this last period of the Old Testament times was distinguished. I come now to observe how the Work of Redemption was carried on in particulars; and the,</w:t>
      </w:r>
    </w:p>
    <w:p>
      <w:pPr>
        <w:pStyle w:val="BodyText"/>
      </w:pPr>
      <w:r>
        <w:t xml:space="preserve">first</w:t>
      </w:r>
      <w:r>
        <w:rPr>
          <w:rStyle w:val="FootnoteReference"/>
        </w:rPr>
        <w:footnoteReference w:id="860"/>
      </w:r>
      <w:r>
        <w:t xml:space="preserve"> thing that here offers itself is the captivity of the Jews into</w:t>
      </w:r>
    </w:p>
    <w:p>
      <w:pPr>
        <w:pStyle w:val="SourcePage"/>
      </w:pPr>
      <w:r>
        <w:t xml:space="preserve">[p. 251]</w:t>
      </w:r>
    </w:p>
    <w:p>
      <w:pPr>
        <w:pStyle w:val="BodyText"/>
      </w:pPr>
      <w:r>
        <w:t xml:space="preserve">Babylon. This was a great dispensation of providence and such as never was before. The children of Israel had in the time of the judges, been often brought under their enemies, and many particular persons were carried captives at other times. But never had there been any such thing as destroying the whole land: sanctuary and city of Jerusalem, and all the cities and villages of the land, and carrying the whole body of the people out of their own land into a country many hundred miles distant, and leaving the land of Canaan empty of God's visible people. The ark once before had forsaken the tabernacle of Shiloh, and was carried captive into the land of the Philistines.</w:t>
      </w:r>
      <w:r>
        <w:rPr>
          <w:rStyle w:val="FootnoteReference"/>
        </w:rPr>
        <w:footnoteReference w:id="861"/>
      </w:r>
      <w:r>
        <w:t xml:space="preserve"> But never had there been any such thing as the burning of the sanctuary and utterly destroying the ark, and carrying away all sacred vessels and utensils, and breaking up all their stated worship in the land, and the land's lying waste and empty for so many years together. How livelily are these things set forth in the</w:t>
      </w:r>
      <w:r>
        <w:rPr>
          <w:rStyle w:val="FootnoteReference"/>
        </w:rPr>
        <w:footnoteReference w:id="862"/>
      </w:r>
      <w:r>
        <w:t xml:space="preserve"> Lamentations of Jeremiah.</w:t>
      </w:r>
    </w:p>
    <w:p>
      <w:pPr>
        <w:pStyle w:val="BodyText"/>
      </w:pPr>
      <w:r>
        <w:t xml:space="preserve">The Work of Redemption was promoted by this remarkable dispensation these following ways:</w:t>
      </w:r>
    </w:p>
    <w:p>
      <w:pPr>
        <w:pStyle w:val="BodyText"/>
      </w:pPr>
      <w:r>
        <w:t xml:space="preserve">1.</w:t>
      </w:r>
      <w:r>
        <w:rPr>
          <w:rStyle w:val="FootnoteReference"/>
        </w:rPr>
        <w:footnoteReference w:id="863"/>
      </w:r>
      <w:r>
        <w:t xml:space="preserve"> It finally cured that nation of their itch after idolatry. The prophet Isaiah, speaking of the setting up of the kingdom of Christ in the Isaiah 2:18, speaks of the abolishing idolatry as one thing that should be done to this end, "And the idols he shall utterly abolish." When the time was drawing nigh that God would abolish heathen idolatry through the bigger part of the known world, as he did by the preaching of the gospel after Christ came, it pleased him first to abolish heathenism from among his own people. And he did it now by their captivity into Babylon, a presage of that abolishing of idols that God was about to bring to pass by Christ through so great a part of the heathen world. This nation that was so addicted to idolatry before for so many ages, and that nothing would cure 'em of, all the reproofs and warnings and corrections that they had, and all the judgments God inflicted on them for it, yet now were finally cured. So that, however some might fall into this sin afterwards, as they did</w:t>
      </w:r>
      <w:r>
        <w:rPr>
          <w:rStyle w:val="FootnoteReference"/>
        </w:rPr>
        <w:footnoteReference w:id="864"/>
      </w:r>
      <w:r>
        <w:t xml:space="preserve"> about the time of Antiochus' persecution, yet the nation as a nation never showed any hankering after this sin any</w:t>
      </w:r>
    </w:p>
    <w:p>
      <w:pPr>
        <w:pStyle w:val="SourcePage"/>
      </w:pPr>
      <w:r>
        <w:t xml:space="preserve">[p. 252]</w:t>
      </w:r>
    </w:p>
    <w:p>
      <w:pPr>
        <w:pStyle w:val="BodyText"/>
      </w:pPr>
      <w:r>
        <w:t xml:space="preserve">more. This [was] a remarkable and wonderful change in that people, and what directly promoted the Work of Redemption, as it was a great reformation and in it a great advancement of the interests of religion.</w:t>
      </w:r>
    </w:p>
    <w:p>
      <w:pPr>
        <w:pStyle w:val="BodyText"/>
      </w:pPr>
      <w:r>
        <w:t xml:space="preserve">2.</w:t>
      </w:r>
      <w:r>
        <w:rPr>
          <w:rStyle w:val="FootnoteReference"/>
        </w:rPr>
        <w:footnoteReference w:id="865"/>
      </w:r>
      <w:r>
        <w:t xml:space="preserve"> It was one thing that prepared the way for Christ's coming and setting [up] the glorious gospel dispensation, as it took away many of those things wherein consisted the glory of the Jewish dispensation. In order to introduce the glorious dispensation of the gospel the external glory of the Jewish church must be diminished, as we observed before. This the Babylonish captivity did many ways; it brought the people very low.</w:t>
      </w:r>
    </w:p>
    <w:p>
      <w:pPr>
        <w:pStyle w:val="BodyText"/>
      </w:pPr>
      <w:r>
        <w:t xml:space="preserve">First,</w:t>
      </w:r>
      <w:r>
        <w:rPr>
          <w:rStyle w:val="FootnoteReference"/>
        </w:rPr>
        <w:footnoteReference w:id="866"/>
      </w:r>
      <w:r>
        <w:t xml:space="preserve"> it removed the temporal diadem of the house of David away from them, the supreme and independent government of themselves. It took away the crown and diadem from the nation. The time now approaching when Christ the great and everlasting king of his church was to reign, it was time for the typical kings to withdraw, as God said by Ezekiel, Ezekiel 21:26. He removed the crown and diadem that it might be no more</w:t>
      </w:r>
      <w:r>
        <w:rPr>
          <w:rStyle w:val="FootnoteReference"/>
        </w:rPr>
        <w:footnoteReference w:id="867"/>
      </w:r>
      <w:r>
        <w:t xml:space="preserve"> till he should come whose right [it was].</w:t>
      </w:r>
      <w:r>
        <w:rPr>
          <w:rStyle w:val="FootnoteReference"/>
        </w:rPr>
        <w:footnoteReference w:id="868"/>
      </w:r>
      <w:r>
        <w:t xml:space="preserve"> The Jews henceforward were always dependent on the governing power of other nations. Henceforward till Christ came, for near six hundred excepting about ninety years, they maintained a sort of independence by continual wars under the dominion of the Maccabees and their posterity.</w:t>
      </w:r>
      <w:r>
        <w:rPr>
          <w:rStyle w:val="FootnoteReference"/>
        </w:rPr>
        <w:footnoteReference w:id="869"/>
      </w:r>
    </w:p>
    <w:p>
      <w:pPr>
        <w:pStyle w:val="BodyText"/>
      </w:pPr>
      <w:r>
        <w:t xml:space="preserve">Again</w:t>
      </w:r>
      <w:r>
        <w:rPr>
          <w:rStyle w:val="FootnoteReference"/>
        </w:rPr>
        <w:footnoteReference w:id="870"/>
      </w:r>
      <w:r>
        <w:t xml:space="preserve"> by this captivity the glory and magnificence of the temple was taken away, and the temple that was built afterwards was nothing in comparison of it. Thus it was meet that when the time drew nigh</w:t>
      </w:r>
    </w:p>
    <w:p>
      <w:pPr>
        <w:pStyle w:val="SourcePage"/>
      </w:pPr>
      <w:r>
        <w:t xml:space="preserve">[p. 253]</w:t>
      </w:r>
    </w:p>
    <w:p>
      <w:pPr>
        <w:pStyle w:val="BodyText"/>
      </w:pPr>
      <w:r>
        <w:t xml:space="preserve">that the glorious antitype of the temple</w:t>
      </w:r>
      <w:r>
        <w:rPr>
          <w:rStyle w:val="FootnoteReference"/>
        </w:rPr>
        <w:footnoteReference w:id="871"/>
      </w:r>
      <w:r>
        <w:t xml:space="preserve"> should appear that the typical temple should have its glory withdrawn.</w:t>
      </w:r>
    </w:p>
    <w:p>
      <w:pPr>
        <w:pStyle w:val="BodyText"/>
      </w:pPr>
      <w:r>
        <w:t xml:space="preserve">Again</w:t>
      </w:r>
      <w:r>
        <w:rPr>
          <w:rStyle w:val="FootnoteReference"/>
        </w:rPr>
        <w:footnoteReference w:id="872"/>
      </w:r>
      <w:r>
        <w:t xml:space="preserve"> another thing that they lost by the captivity was the two tables of the testimony delivered to Moses, written with the finger of God, the two tables on which God with his own finger wrote the ten commandments on Mount Sinai. These seem to have been preserved in the ark till the captivity. These were in the ark when Solomon placed the ark in the temple, 1 Kings 8:9, "There was nothing in the ark save the two tables of stone, which Moses put there at Horeb." And we have no reason to suppose any other but that they remained there as long as that temple stood. But the Jews speak of these as finally lost at that time, though the same commands were preserved in the Book of the Law. These tables also were withdrawn on the approach of their antitype.</w:t>
      </w:r>
    </w:p>
    <w:p>
      <w:pPr>
        <w:pStyle w:val="BodyText"/>
      </w:pPr>
      <w:r>
        <w:t xml:space="preserve">Again</w:t>
      </w:r>
      <w:r>
        <w:rPr>
          <w:rStyle w:val="FootnoteReference"/>
        </w:rPr>
        <w:footnoteReference w:id="873"/>
      </w:r>
      <w:r>
        <w:t xml:space="preserve"> another thing that was lost that the Jews had before was the Urim and Thummim. This is evident by Ezra 2:63, "And the Tirshatha [said unto them], that they should not eat of the most holy things, till there should stand up a priest with Urim and with Thummim." And we have no account of this being ever restored, but the ancient writings of the Jews say the contrary. What this Urim and Thummim was I shall not now inquire, but only shall observe that it was something by which the high priest inquired of</w:t>
      </w:r>
      <w:r>
        <w:rPr>
          <w:rStyle w:val="FootnoteReference"/>
        </w:rPr>
        <w:footnoteReference w:id="874"/>
      </w:r>
      <w:r>
        <w:t xml:space="preserve"> God and received immediate answers from him, or by which God gave forth immediate oracles on particular occasions. This was now withdrawn, the time approaching when Christ, the great antitype of the Urim and Thummim, the great word and oracle of God, was to come.</w:t>
      </w:r>
    </w:p>
    <w:p>
      <w:pPr>
        <w:pStyle w:val="BodyText"/>
      </w:pPr>
      <w:r>
        <w:t xml:space="preserve">Another</w:t>
      </w:r>
      <w:r>
        <w:rPr>
          <w:rStyle w:val="FootnoteReference"/>
        </w:rPr>
        <w:footnoteReference w:id="875"/>
      </w:r>
      <w:r>
        <w:t xml:space="preserve"> thing that the ancient Jews say was wanting in the second temple was the Shekinah or cloud of glory over the mercy seat.</w:t>
      </w:r>
      <w:r>
        <w:rPr>
          <w:rStyle w:val="FootnoteReference"/>
        </w:rPr>
        <w:footnoteReference w:id="876"/>
      </w:r>
      <w:r>
        <w:t xml:space="preserve"> This was promised to be in the tabernacle, Leviticus 16:2 ["For I will appear in the cloud upon the mercy seat"]. And we read elsewhere of the cloud of glory descending onto the tabernacle, Exodus 40:35; and so we do likewise with respect to Solomon's temple.</w:t>
      </w:r>
      <w:r>
        <w:rPr>
          <w:rStyle w:val="FootnoteReference"/>
        </w:rPr>
        <w:footnoteReference w:id="877"/>
      </w:r>
      <w:r>
        <w:t xml:space="preserve"> But we have no account ‹that this cloud of glory was in the second temple›. And the ancient</w:t>
      </w:r>
    </w:p>
    <w:p>
      <w:pPr>
        <w:pStyle w:val="SourcePage"/>
      </w:pPr>
      <w:r>
        <w:t xml:space="preserve">[p. 254]</w:t>
      </w:r>
    </w:p>
    <w:p>
      <w:pPr>
        <w:pStyle w:val="BodyText"/>
      </w:pPr>
      <w:r>
        <w:t xml:space="preserve">accounts of the Jews say there was no such thing in the second temple. This was needless in the second temple considering that God had promised that he would fill this temple with glory another way, viz. by Christ's coming into it, which was afterwards fulfilled. See Haggai 2:7, "I will shake all nations, and the desire of all nations shall come: and I will fill this house with glory, saith the Lord of hosts."</w:t>
      </w:r>
    </w:p>
    <w:p>
      <w:pPr>
        <w:pStyle w:val="BodyText"/>
      </w:pPr>
      <w:r>
        <w:rPr>
          <w:rStyle w:val="FootnoteReference"/>
        </w:rPr>
        <w:footnoteReference w:id="878"/>
      </w:r>
      <w:r>
        <w:t xml:space="preserve">Another</w:t>
      </w:r>
      <w:r>
        <w:rPr>
          <w:rStyle w:val="FootnoteReference"/>
        </w:rPr>
        <w:footnoteReference w:id="879"/>
      </w:r>
      <w:r>
        <w:t xml:space="preserve"> thing that the Jews in their ancient writings mention as being now withdrawn was the fire from heaven on the altar. When Moses built the tabernacle and altar in the wilderness and the first sacrifices were offered on it, fire came from heaven ‹and consumed the burnt offering›, as Leviticus 9:24. And so again when Solomon built the temple and [offered] the first sacrifices, as you may see 2 Chronicles 7:1. And this fire was never to go out but with the greatest care to be kept alive, as God commanded, Leviticus 6:13, "The fire shall ever be burning upon the altar; it shall never go out." And there is no reason to suppose the fire on the altar in Solomon's temple ever went out till the temple was destroyed by the Babylonians. But then it was extinguished, and never was restored. We have no account of its being given in the building of the second temple, as we have at the building of the tabernacle and first temple. But the Jews after their return were forced to make use of their common fire instead of it, according to the ancient tradition of the Jews. Thus the lights of the Old Testament go out on the approach of the glorious sun of righteousness.</w:t>
      </w:r>
    </w:p>
    <w:p>
      <w:pPr>
        <w:pStyle w:val="SourcePage"/>
      </w:pPr>
      <w:r>
        <w:t xml:space="preserve">[p. 255]</w:t>
      </w:r>
    </w:p>
    <w:p>
      <w:pPr>
        <w:pStyle w:val="Heading2"/>
      </w:pPr>
      <w:bookmarkStart w:name="heading_sermon_eleven" w:id="51"/>
      <w:r>
        <w:t xml:space="preserve">SERMON ELEVEN</w:t>
      </w:r>
      <w:bookmarkEnd w:id="51"/>
    </w:p>
    <w:p>
      <w:pPr>
        <w:pStyle w:val="BodyText"/>
      </w:pPr>
      <w:r>
        <w:rPr>
          <w:rStyle w:val="FootnoteReference"/>
        </w:rPr>
        <w:footnoteReference w:id="880"/>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10" w:id="52"/>
      <w:r>
        <w:t xml:space="preserve">DOCTRINE</w:t>
      </w:r>
      <w:bookmarkEnd w:id="52"/>
    </w:p>
    <w:p>
      <w:pPr>
        <w:pStyle w:val="BlockQuote"/>
      </w:pPr>
      <w:r>
        <w:rPr>
          <w:i/>
          <w:iCs/>
        </w:rPr>
        <w:t xml:space="preserve">[The Work of Redemption is a work that God carries on from the fall of man to the end of the world.]</w:t>
      </w:r>
      <w:r>
        <w:rPr>
          <w:rStyle w:val="FootnoteReference"/>
        </w:rPr>
        <w:footnoteReference w:id="881"/>
      </w:r>
    </w:p>
    <w:p>
      <w:pPr>
        <w:pStyle w:val="BodyText"/>
      </w:pPr>
      <w:r>
        <w:rPr>
          <w:rStyle w:val="FootnoteReference"/>
        </w:rPr>
        <w:footnoteReference w:id="882"/>
      </w:r>
      <w:r>
        <w:t xml:space="preserve">3.</w:t>
      </w:r>
      <w:r>
        <w:rPr>
          <w:rStyle w:val="FootnoteReference"/>
        </w:rPr>
        <w:footnoteReference w:id="883"/>
      </w:r>
      <w:r>
        <w:t xml:space="preserve"> The captivity into Babylon was the occasion of another [thing] which did afterwards much promote the setting up Christ's kingdom in the world, and that was the Jews being dispersed before Christ came [through] the greatest part of the then known world. For the whole nation being carried away far out of their own land, and continuing in a state of captivity for so long a time, they got them possessions and built them houses and settled themselves in the land of their captivity, agreeable to the direction that Jeremiah gave them in the letter he wrote to 'em in the Jeremiah 29. And therefore when Cyrus gave liberty to 'em [to]</w:t>
      </w:r>
      <w:r>
        <w:rPr>
          <w:rStyle w:val="FootnoteReference"/>
        </w:rPr>
        <w:footnoteReference w:id="884"/>
      </w:r>
      <w:r>
        <w:t xml:space="preserve"> return to the land where they had formerly dwelt, many of them never returned; they were not willing to leave their settlements and possessions there to go into a desolate country many hundred miles off, which none but only the old men among 'em had ever seen. And therefore they were but a small number that returned, as we see in the accounts we have</w:t>
      </w:r>
    </w:p>
    <w:p>
      <w:pPr>
        <w:pStyle w:val="SourcePage"/>
      </w:pPr>
      <w:r>
        <w:t xml:space="preserve">[p. 256]</w:t>
      </w:r>
    </w:p>
    <w:p>
      <w:pPr>
        <w:pStyle w:val="BodyText"/>
      </w:pPr>
      <w:r>
        <w:t xml:space="preserve">in the books of Ezra and Nehemiah. Great numbers stayed behind, though they still retained the same religion with those that returned, so far as it could be practiced in a foreign land.</w:t>
      </w:r>
    </w:p>
    <w:p>
      <w:pPr>
        <w:pStyle w:val="BodyText"/>
      </w:pPr>
      <w:r>
        <w:t xml:space="preserve">Those messengers that we read of in the Zechariah 7 that came to inquire of the</w:t>
      </w:r>
      <w:r>
        <w:rPr>
          <w:rStyle w:val="FootnoteReference"/>
        </w:rPr>
        <w:footnoteReference w:id="885"/>
      </w:r>
      <w:r>
        <w:t xml:space="preserve"> priests and prophets in Jerusalem, Sherezer and Regemmelech, are supposed to be messengers sent from the Jews that remained still in the Babylon. Those Jews that remained still in that country were soon, by the great changes that happened in the world, dispersed thence into all adjacent countries. And hence we find that in Esther's time, which was after the return from the captivity, the Jews were a people that were dispersed throughout all parts of the vast Persian empire that extended from India to Ethiopia, as you may see in the Esther 3:8, "And Haman said unto King Ahasuerus, There is a certain people scattered abroad and dispersed among the people in all the provinces of thy kingdom, etc."</w:t>
      </w:r>
    </w:p>
    <w:p>
      <w:pPr>
        <w:pStyle w:val="BodyText"/>
      </w:pPr>
      <w:r>
        <w:t xml:space="preserve">And so they continued dispersed till Christ came and till the apostles went forth to preach the gospel. But yet these dispersed Jews retained their religion in this dispersion. Their captivity, as I said before, thoroughly cured 'em of their idolatry. And it was their manner for as many of them as could, from time to time to go up to the land of Judea, to Jerusalem, at their great feasts. Hence we read in the Acts 2</w:t>
      </w:r>
      <w:r>
        <w:rPr>
          <w:rStyle w:val="FootnoteReference"/>
        </w:rPr>
        <w:footnoteReference w:id="886"/>
      </w:r>
      <w:r>
        <w:t xml:space="preserve"> that at the time of that great feast of Pentecost, there were Jews abiding at Jerusalem out of every nation under heaven, which were Jews come up from all countries where they were dispersed to worship at that feast. And hence we find in the history of the Acts of the Apostles, that when the apostles went preaching through the world, they found Jews. They came to such a city, and such a city, and went into the synagogue of the Jews.</w:t>
      </w:r>
      <w:r>
        <w:rPr>
          <w:rStyle w:val="FootnoteReference"/>
        </w:rPr>
        <w:footnoteReference w:id="887"/>
      </w:r>
      <w:r>
        <w:t xml:space="preserve"> Antiochus the Great, about two hundred years before Christ, on a certain occasion transported two thousand families of Jews from the country about Babylon into Asia the Less, and so they and their posterity, many of them, settled in Pontus, Galatia, Phrygia, Pamphilia, and in Ephesus, and from thence settled in Athens, and Corinth, and Rome. Whence came those synagogues in those places that the apostle Paul preached in.</w:t>
      </w:r>
      <w:r>
        <w:rPr>
          <w:rStyle w:val="FootnoteReference"/>
        </w:rPr>
        <w:footnoteReference w:id="888"/>
      </w:r>
    </w:p>
    <w:p>
      <w:pPr>
        <w:pStyle w:val="SourcePage"/>
      </w:pPr>
      <w:r>
        <w:t xml:space="preserve">[p. 257]</w:t>
      </w:r>
    </w:p>
    <w:p>
      <w:pPr>
        <w:pStyle w:val="BodyText"/>
      </w:pPr>
      <w:r>
        <w:t xml:space="preserve">This dispersion of the Jews through the world before Christ came did many ways prepare the way for his coming and setting up his kingdom in the world:</w:t>
      </w:r>
    </w:p>
    <w:p>
      <w:pPr>
        <w:pStyle w:val="BodyText"/>
      </w:pPr>
      <w:r>
        <w:t xml:space="preserve">One</w:t>
      </w:r>
      <w:r>
        <w:rPr>
          <w:rStyle w:val="FootnoteReference"/>
        </w:rPr>
        <w:footnoteReference w:id="889"/>
      </w:r>
      <w:r>
        <w:t xml:space="preserve"> was that this was a means of raising a general expectation of the messiah through</w:t>
      </w:r>
      <w:r>
        <w:rPr>
          <w:rStyle w:val="FootnoteReference"/>
        </w:rPr>
        <w:footnoteReference w:id="890"/>
      </w:r>
      <w:r>
        <w:t xml:space="preserve"> the world about that time that he actually came. For the Jews wherever they were dispersed carried the holy Scriptures with them, and so the prophecies of the messiah, and being conversant with the nations among whom they lived, they by that means became acquainted with these prophecies and with the expectations of the Jews of their glorious messiah. And by this means, the birth of such a glorious person in Judea about that time, began the general expectation of the nations of the world, as appears by the writings of the learned men of the heathen that lived about that time that are still extant. Particularly Virgil the famous poet that lived in Italy a little before Christ was born, has a poem about the expectation of a great prince that was to be born and the happiness, time of righteousness and peace that he was to introduce,</w:t>
      </w:r>
      <w:r>
        <w:rPr>
          <w:rStyle w:val="FootnoteReference"/>
        </w:rPr>
        <w:footnoteReference w:id="891"/>
      </w:r>
      <w:r>
        <w:t xml:space="preserve"> some of it very much in the language of the prophet Isaiah.</w:t>
      </w:r>
    </w:p>
    <w:p>
      <w:pPr>
        <w:pStyle w:val="BodyText"/>
      </w:pPr>
      <w:r>
        <w:t xml:space="preserve">Another</w:t>
      </w:r>
      <w:r>
        <w:rPr>
          <w:rStyle w:val="FootnoteReference"/>
        </w:rPr>
        <w:footnoteReference w:id="892"/>
      </w:r>
      <w:r>
        <w:t xml:space="preserve"> way that this dispersed state of the Jews prepared the way for Christ was that it showed the necessity of abolishing the Jewish dispensation and introducing a new dispensation of the covenant of grace. It showed</w:t>
      </w:r>
      <w:r>
        <w:rPr>
          <w:rStyle w:val="FootnoteReference"/>
        </w:rPr>
        <w:footnoteReference w:id="893"/>
      </w:r>
      <w:r>
        <w:t xml:space="preserve"> the necessity of abolishing the ceremonial law and the old Jewish worship, for by this means that ceremonial law became impracticable even by the Jews themselves, for the ceremonial law was adapted to the state of a people dwelling together in the same land; where was the city that God had chosen, where was their temple, the only place where they might offer sacrifice, or where it was lawful for their priests and Levites to officiate, where they were to bring their first fruits, and where were their cities of refuge and the like. But the Jews by this dispersion, many of them, lived in other lands more than a thousand miles distant when Christ came, which made the observation of their laws of sacrifices and the like impracticable. And though their forefathers might be to blame in not going up ‹to the land of Judea when they were permitted by Cyrus›, which showed the</w:t>
      </w:r>
    </w:p>
    <w:p>
      <w:pPr>
        <w:pStyle w:val="SourcePage"/>
      </w:pPr>
      <w:r>
        <w:t xml:space="preserve">[p. 258]</w:t>
      </w:r>
    </w:p>
    <w:p>
      <w:pPr>
        <w:pStyle w:val="BodyText"/>
      </w:pPr>
      <w:r>
        <w:t xml:space="preserve">necessity of introducing a new dispensation that should be fitted not only to one particular land but to the general circumstances and use of all nations of the world.</w:t>
      </w:r>
    </w:p>
    <w:p>
      <w:pPr>
        <w:pStyle w:val="BodyText"/>
      </w:pPr>
      <w:r>
        <w:t xml:space="preserve">Again</w:t>
      </w:r>
      <w:r>
        <w:rPr>
          <w:rStyle w:val="FootnoteReference"/>
        </w:rPr>
        <w:footnoteReference w:id="894"/>
      </w:r>
      <w:r>
        <w:t xml:space="preserve"> another way that this dispersion of the Jews through the world prepared the way for the setting up the kingdom of Christ in the world, was that it contributed to the making the facts</w:t>
      </w:r>
      <w:r>
        <w:rPr>
          <w:rStyle w:val="FootnoteReference"/>
        </w:rPr>
        <w:footnoteReference w:id="895"/>
      </w:r>
      <w:r>
        <w:t xml:space="preserve"> concerning Jesus Christ publicly known through the world. For as I said before, the Jews that lived in other countries used frequently to go up to Jerusalem at their three great feasts, which were from year to year, and so by this means they could not but become acquainted with the news of the wonderful things that Christ did in that land.</w:t>
      </w:r>
    </w:p>
    <w:p>
      <w:pPr>
        <w:pStyle w:val="BodyText"/>
      </w:pPr>
      <w:r>
        <w:t xml:space="preserve">We find they were [at], and took great notice of, that miracle of raising Lazarus which excited the curiosity of those foreign Jews that came up to the feast of Passover to see Jesus; you may see, John 12:19–21 ["The Pharisees therefore said … the world is gone after him. And there were certain Greeks … that came up to worship … saying, Sir, we would see Jesus"]. These Greeks were foreign Jews and proselytes, as is evident by their coming to worship at the feast of the Passover. The Jews that lived abroad among the Greeks and spoke their language were called "Greeks" or "Hellenists." So they are called "Grecians," Acts 6:1 ["And in those days, … there arose a murmuring of the Grecians against the Hebrews"]. These Grecians here spoken [of] were not Gentile Christians, for this was before the calling of the Gentiles.</w:t>
      </w:r>
    </w:p>
    <w:p>
      <w:pPr>
        <w:pStyle w:val="BodyText"/>
      </w:pPr>
      <w:r>
        <w:t xml:space="preserve">By the same means the Jews that went up from other countries became acquainted with Christ's crucifixion. Thus the disciples going to Emmaus say to Christ, when they did not know him, Luke 24:18, "Art thou but a stranger in Jerusalem, [and hast not known the things which are come to pass there in these days?]" implying that these things were not so obvious that the strangers that were [there]</w:t>
      </w:r>
      <w:r>
        <w:rPr>
          <w:rStyle w:val="FootnoteReference"/>
        </w:rPr>
        <w:footnoteReference w:id="896"/>
      </w:r>
      <w:r>
        <w:t xml:space="preserve"> could not but be informed of them. And so afterwards they were acquainted with the news of his resurrection, and when they went home again into their own countries they carried the news with them, and so made these facts public through the world, as they had made the prophecies of them public before.</w:t>
      </w:r>
    </w:p>
    <w:p>
      <w:pPr>
        <w:pStyle w:val="BodyText"/>
      </w:pPr>
      <w:r>
        <w:t xml:space="preserve">After this those foreign Jews that came to Jerusalem took great notice of the pouring out of the Spirit at Pentecost and the wonderful</w:t>
      </w:r>
    </w:p>
    <w:p>
      <w:pPr>
        <w:pStyle w:val="SourcePage"/>
      </w:pPr>
      <w:r>
        <w:t xml:space="preserve">[p. 259]</w:t>
      </w:r>
    </w:p>
    <w:p>
      <w:pPr>
        <w:pStyle w:val="BodyText"/>
      </w:pPr>
      <w:r>
        <w:t xml:space="preserve">effects of it, and many of them were converted by it, Parthians, Medes, and Elamites, and the dwellers in Mesopotamia, and in Egypt, and the parts of Libya about Cyrene, and the strangers of Rome, Jews and proselytes, Cretes and Arabians.</w:t>
      </w:r>
      <w:r>
        <w:rPr>
          <w:rStyle w:val="FootnoteReference"/>
        </w:rPr>
        <w:footnoteReference w:id="897"/>
      </w:r>
      <w:r>
        <w:t xml:space="preserve"> And so then they did not only carry back the news of the facts of Christianity, but Christianity itself, into their own countries with them, which contributed much to the spreading of it through the world.</w:t>
      </w:r>
    </w:p>
    <w:p>
      <w:pPr>
        <w:pStyle w:val="BodyText"/>
      </w:pPr>
      <w:r>
        <w:t xml:space="preserve">Again</w:t>
      </w:r>
      <w:r>
        <w:rPr>
          <w:rStyle w:val="FootnoteReference"/>
        </w:rPr>
        <w:footnoteReference w:id="898"/>
      </w:r>
      <w:r>
        <w:t xml:space="preserve"> another way ‹that the dispersion of the Jews contributed to the setting up of the gospel kingdom in the world›, was that it opened a door for the introduction of the apostles in all places when they came to preach the gospel. For almost in all places when they came, they found Jews, synagogues of Jews,</w:t>
      </w:r>
      <w:r>
        <w:rPr>
          <w:rStyle w:val="FootnoteReference"/>
        </w:rPr>
        <w:footnoteReference w:id="899"/>
      </w:r>
      <w:r>
        <w:t xml:space="preserve"> synagogues of them where the holy Scriptures were read and the true God worshipped, which was a great advantage to the apostles in their spreading the gospel through the world. For their way was, into whatever city they came, first to go into the synagogue of the Jews, they being people of the same nation, and there preach the gospel unto them. And hereby their coming and their new doctrine was taken notice of by their Gentile neighbors, whose curiosity fired 'em to hear what they had to say, which became a fair occasion to the apostles to preach the gospel to them. Thus it appears that it was by the account we have of things in the Acts of the Apostles.</w:t>
      </w:r>
      <w:r>
        <w:rPr>
          <w:rStyle w:val="FootnoteReference"/>
        </w:rPr>
        <w:footnoteReference w:id="900"/>
      </w:r>
      <w:r>
        <w:t xml:space="preserve"> And these Gentiles having been before, many of them prepared in some measure with some knowledge they had of the Jews' religion and their worship of one God, and their prophecies and expectation of a messiah, from the Jews that had been long their neighbors, this opened the door for the gospel to have access to them. And the work of the apostles with them was doubtless much easier than if they never had heard anything before</w:t>
      </w:r>
      <w:r>
        <w:rPr>
          <w:rStyle w:val="FootnoteReference"/>
        </w:rPr>
        <w:footnoteReference w:id="901"/>
      </w:r>
      <w:r>
        <w:t xml:space="preserve"> of any expectation of such a person as the apostles preached, or anything about the worship of one only true God.</w:t>
      </w:r>
    </w:p>
    <w:p>
      <w:pPr>
        <w:pStyle w:val="BodyText"/>
      </w:pPr>
      <w:r>
        <w:t xml:space="preserve">So many ways did the Babylonish captivity greatly prepare the way for Christ's coming.</w:t>
      </w:r>
    </w:p>
    <w:p>
      <w:pPr>
        <w:pStyle w:val="BodyText"/>
      </w:pPr>
      <w:r>
        <w:t xml:space="preserve">The second</w:t>
      </w:r>
      <w:r>
        <w:rPr>
          <w:rStyle w:val="FootnoteReference"/>
        </w:rPr>
        <w:footnoteReference w:id="902"/>
      </w:r>
      <w:r>
        <w:t xml:space="preserve"> particular that I would take notice of is the addition made to that canon of Scripture in the time of the captivity, in those</w:t>
      </w:r>
    </w:p>
    <w:p>
      <w:pPr>
        <w:pStyle w:val="SourcePage"/>
      </w:pPr>
      <w:r>
        <w:t xml:space="preserve">[p. 260]</w:t>
      </w:r>
    </w:p>
    <w:p>
      <w:pPr>
        <w:pStyle w:val="BodyText"/>
      </w:pPr>
      <w:r>
        <w:t xml:space="preserve">two remarkable portions of Scripture, the prophecies of Ezekiel and Daniel. Christ appeared to each of these prophets in the form of that nature that he was soon to take upon him. The prophet Ezekiel gives an account of his appearing thus to him, once and again, as Ezekiel 1:26, "And above the firmament that was over their heads was the likeness of a throne, and as the appearance of a sapphire stone: and upon the likeness of the throne was the likeness as the appearance of a man above upon it." And so chapter eight, [verses] one and two. So Christ appeared to the prophet Daniel, Daniel 8:15–16, "There appeared before me as the appearance of a man. And I heard a man's voice between the banks of the river Ulai, which called, and said, Gabriel, make this man to understand the vision." There are several things</w:t>
      </w:r>
      <w:r>
        <w:rPr>
          <w:rStyle w:val="FootnoteReference"/>
        </w:rPr>
        <w:footnoteReference w:id="903"/>
      </w:r>
      <w:r>
        <w:t xml:space="preserve"> that make it manifest that this was Christ that I can't now stand to mention particularly. So Christ appeared again as a man to this prophet, chapter ten, [verses] five and six, etc. ["Then I lifted up mine eyes, and looked, and behold a certain man clothed in linen, whose loins were girded with fine gold of Uphaz: His body also was like the beryl, and his face as the appearance of lightning, and his eyes as lamps of fire, and his arms and his feet like in color to polished brass, and the voice of his words like the voice of a multitude"]. Comparing this vision with that of the apostle John in the Revelation 1, makes it manifest that it was Christ.</w:t>
      </w:r>
      <w:r>
        <w:rPr>
          <w:rStyle w:val="FootnoteReference"/>
        </w:rPr>
        <w:footnoteReference w:id="904"/>
      </w:r>
      <w:r>
        <w:t xml:space="preserve"> And the prophet Daniel in the historical part of his book, gives an account of a very remarkable appearance of Christ in Nebuchadnezzar's furnace, with Shadrach, Meshach, and Abednego. We have an account of it in the Daniel 3:25, [Christ is] said to be like the Son of God, and yet in the form of a man: ["Lo, I see four men loose, … and the form of the fourth is like the Son of God"].</w:t>
      </w:r>
      <w:r>
        <w:rPr>
          <w:rStyle w:val="FootnoteReference"/>
        </w:rPr>
        <w:footnoteReference w:id="905"/>
      </w:r>
      <w:r>
        <w:t xml:space="preserve"> Christ did not only here appear in the form of an human nature, but he appeared in a furnace,</w:t>
      </w:r>
      <w:r>
        <w:rPr>
          <w:rStyle w:val="FootnoteReference"/>
        </w:rPr>
        <w:footnoteReference w:id="906"/>
      </w:r>
      <w:r>
        <w:t xml:space="preserve"> saving those persons that believed in him from that furnace; by which is represented to us how that Christ by coming himself into the furnace of God's wrath, saves those that believe in him from that furnace so that it has no power on them and the wrath of God never reaches or touches them so much as to singe an hair of their heads.</w:t>
      </w:r>
    </w:p>
    <w:p>
      <w:pPr>
        <w:pStyle w:val="SourcePage"/>
      </w:pPr>
      <w:r>
        <w:t xml:space="preserve">[p. 261]</w:t>
      </w:r>
    </w:p>
    <w:p>
      <w:pPr>
        <w:pStyle w:val="BodyText"/>
      </w:pPr>
      <w:r>
        <w:rPr>
          <w:rStyle w:val="FootnoteReference"/>
        </w:rPr>
        <w:footnoteReference w:id="907"/>
      </w:r>
      <w:r>
        <w:t xml:space="preserve">These two prophets in many respects were more particular concerning the coming of Christ and his glorious gospel kingdom than any of the prophets had been before. They both of them mention those three great overturnings of the world that should [be] before he come. Ezekiel is particular in several places concerning the coming of Christ.</w:t>
      </w:r>
      <w:r>
        <w:rPr>
          <w:rStyle w:val="FootnoteReference"/>
        </w:rPr>
        <w:footnoteReference w:id="908"/>
      </w:r>
      <w:r>
        <w:t xml:space="preserve"> The prophet Daniel is more particular in foretelling the time of the coming of Christ than ever any prophet had been before in the Daniel 9 of his prophecy, who foretold that it should be 70 weeks, i.e. 70 weeks of years, or 70 times 7 years, or 490 years, from the decree to rebuild and restore the state of the Jews till the Messiah should be crucified,</w:t>
      </w:r>
      <w:r>
        <w:rPr>
          <w:rStyle w:val="FootnoteReference"/>
        </w:rPr>
        <w:footnoteReference w:id="909"/>
      </w:r>
      <w:r>
        <w:t xml:space="preserve"> which must be dated from the commission granted to Ezra by Artaxerxes that we have an account of in the Ezra 7,</w:t>
      </w:r>
      <w:r>
        <w:rPr>
          <w:rStyle w:val="FootnoteReference"/>
        </w:rPr>
        <w:footnoteReference w:id="910"/>
      </w:r>
      <w:r>
        <w:t xml:space="preserve"> whereby the very particular time of Christ's crucifixion was pointed out which never had been before.</w:t>
      </w:r>
    </w:p>
    <w:p>
      <w:pPr>
        <w:pStyle w:val="BodyText"/>
      </w:pPr>
      <w:r>
        <w:t xml:space="preserve">The prophet Ezekiel is very particular in a mystical description of the gospel church in his account of his vision</w:t>
      </w:r>
      <w:r>
        <w:rPr>
          <w:rStyle w:val="FootnoteReference"/>
        </w:rPr>
        <w:footnoteReference w:id="911"/>
      </w:r>
      <w:r>
        <w:t xml:space="preserve"> of a temple and city in the later part of his prophecy. The prophet Daniel points forth the order of particular events that should come to pass relating to the Christian church after Christ was come, as the rise of Antichrist</w:t>
      </w:r>
    </w:p>
    <w:p>
      <w:pPr>
        <w:pStyle w:val="SourcePage"/>
      </w:pPr>
      <w:r>
        <w:t xml:space="preserve">[p. 262]</w:t>
      </w:r>
    </w:p>
    <w:p>
      <w:pPr>
        <w:pStyle w:val="BodyText"/>
      </w:pPr>
      <w:r>
        <w:t xml:space="preserve">and the continuance of his reign and his fall, and that glory that should follow.</w:t>
      </w:r>
      <w:r>
        <w:rPr>
          <w:rStyle w:val="FootnoteReference"/>
        </w:rPr>
        <w:footnoteReference w:id="912"/>
      </w:r>
    </w:p>
    <w:p>
      <w:pPr>
        <w:pStyle w:val="BodyText"/>
      </w:pPr>
      <w:r>
        <w:t xml:space="preserve">Thus does gospel light still increase the nearer we come to the time of Christ's birth.</w:t>
      </w:r>
    </w:p>
    <w:p>
      <w:pPr>
        <w:pStyle w:val="BodyText"/>
      </w:pPr>
      <w:r>
        <w:t xml:space="preserve">3.</w:t>
      </w:r>
      <w:r>
        <w:rPr>
          <w:rStyle w:val="FootnoteReference"/>
        </w:rPr>
        <w:footnoteReference w:id="913"/>
      </w:r>
      <w:r>
        <w:t xml:space="preserve"> The next particular I would mention is the destruction of Babylon and the overthrow of the Chaldean empire by Cyrus. The destruction of Babylon was in that night when Belshazzar the king, and the city in general, was drowned in a drunken festival which they kept to their gods, when Daniel was called to read the handwriting on the wall, Daniel 5:30, "In that night was Belshazzar [the king of the Chaldeans slain]." And [this] was in such a manner, and wonderfully, to show the hand of God, and remarkably to fulfill his word by his prophets, which I can't now stand particularly to relate. Now that great city that had been long an enemy to the city of God, his Jerusalem, was destroyed after it had stood ever since the first building of Babel, which</w:t>
      </w:r>
      <w:r>
        <w:rPr>
          <w:rStyle w:val="FootnoteReference"/>
        </w:rPr>
        <w:footnoteReference w:id="914"/>
      </w:r>
      <w:r>
        <w:t xml:space="preserve"> was about seventeen hundred years. If the check that was put to the building this city at its beginning whereby they were prevented from carrying of it to that extent and magnificence as they intended, I say, if that this promoted the Work of Redemption as I have before shown it did, much more did this destruction of it. It was a remarkable instance of God's vengeance on the enemies of his redeemed church, for God brought this destruction on Babylon for the injuries they did to God's children, as is often set forth by the prophets. It also promoted the Work of Redemption as thereby God's people that were held captive by them were set at liberty to return to their own land to rebuild Jerusalem, and therefore Cyrus who did it is called God's shepherd therein, Isaiah 44, latter end,</w:t>
      </w:r>
      <w:r>
        <w:rPr>
          <w:rStyle w:val="FootnoteReference"/>
        </w:rPr>
        <w:footnoteReference w:id="915"/>
      </w:r>
      <w:r>
        <w:t xml:space="preserve"> and Isaiah 45:1. Besides these ways, wherein the setting up and overthrowing the four monarchies of the world did promote the Work of Redemption, which have been before observed.</w:t>
      </w:r>
      <w:r>
        <w:rPr>
          <w:rStyle w:val="FootnoteReference"/>
        </w:rPr>
        <w:footnoteReference w:id="916"/>
      </w:r>
    </w:p>
    <w:p>
      <w:pPr>
        <w:pStyle w:val="BodyText"/>
      </w:pPr>
      <w:r>
        <w:rPr>
          <w:rStyle w:val="FootnoteReference"/>
        </w:rPr>
        <w:footnoteReference w:id="917"/>
      </w:r>
      <w:r>
        <w:t xml:space="preserve">4.</w:t>
      </w:r>
      <w:r>
        <w:rPr>
          <w:rStyle w:val="FootnoteReference"/>
        </w:rPr>
        <w:footnoteReference w:id="918"/>
      </w:r>
      <w:r>
        <w:t xml:space="preserve"> What next followed this was the return of the Jews to their</w:t>
      </w:r>
    </w:p>
    <w:p>
      <w:pPr>
        <w:pStyle w:val="SourcePage"/>
      </w:pPr>
      <w:r>
        <w:t xml:space="preserve">[p. 263]</w:t>
      </w:r>
    </w:p>
    <w:p>
      <w:pPr>
        <w:pStyle w:val="BodyText"/>
      </w:pPr>
      <w:r>
        <w:t xml:space="preserve">own land and rebuilding Jerusalem and the temple. Cyrus, as soon as he had destroyed [the] Babylonish empire and had erected the Persian empire on its ruins, made a decree in favor of the Jews that they might return to their own land and rebuild their city and temple. This return of the Jews out of the Babylonish captivity is, next to the redemption out of Egypt, the most remarkable of all the Old Testament redemptions, and most insisted on in Scripture as a type of the great redemption of Jesus Christ. It was under the hand of one of the legal ancestors of Christ, viz. Zerubbabel, the son of Shealtiel, whose Babylonish name was Sheshbazzar. He was the governor of the Jews, who was their leader in their first return out of captivity, and together with Jeshua, the son of Jozadek, the high priest, had the chief hand in rebuilding the temple. It was under Zerubbabel and Jeshua, the priest, as before under Moses and Aaron.</w:t>
      </w:r>
      <w:r>
        <w:rPr>
          <w:rStyle w:val="FootnoteReference"/>
        </w:rPr>
        <w:footnoteReference w:id="919"/>
      </w:r>
    </w:p>
    <w:p>
      <w:pPr>
        <w:pStyle w:val="BodyText"/>
      </w:pPr>
      <w:r>
        <w:t xml:space="preserve">The return out of captivity was a remarkable dispensation of providence. It was remarkable that the heart of a heathen prince, as Cyrus was, should be so inclined to favor such a design as he did, not</w:t>
      </w:r>
      <w:r>
        <w:rPr>
          <w:rStyle w:val="FootnoteReference"/>
        </w:rPr>
        <w:footnoteReference w:id="920"/>
      </w:r>
      <w:r>
        <w:t xml:space="preserve"> only to give the people liberty to ‹return and rebuild the city and temple›, but to give charge that they should be helped with silver and gold and with goods and with beasts, as they needed, as Ezra 1:4. And afterwards God wonderfully inclined the heart of Darius to further the building of the house of God with his own tribute money, and commanding their bitter enemies, the Samaritans, that had been striving to hinder 'em, to help 'em without fail by furnishing them with all that they needed in order to it, and to supply 'em day and by day, making a decree that, if they failed of it, timber should be pulled down out of his house, and he hanged thereon, and his house made a dunghill, as we have [an] account in the Ezra 6.</w:t>
      </w:r>
      <w:r>
        <w:rPr>
          <w:rStyle w:val="FootnoteReference"/>
        </w:rPr>
        <w:footnoteReference w:id="921"/>
      </w:r>
      <w:r>
        <w:t xml:space="preserve"> And afterwards inclining the heart of Artaxerxes, another king of Persia, [to] promote the work of preserving the state of the Jews by his ample commission to Ezra, that we have account of in the Ezra 7; helping them abundantly with silver and gold of his own bounty, and offering more as should be needful out of the King's treasurehouse, and commanding his treasurers</w:t>
      </w:r>
      <w:r>
        <w:rPr>
          <w:rStyle w:val="FootnoteReference"/>
        </w:rPr>
        <w:footnoteReference w:id="922"/>
      </w:r>
      <w:r>
        <w:t xml:space="preserve"> beyond the river Euphrates to give more as should be needed, unto an hundred talents of silver, and an hundred measures of wheat, an hundred baths of</w:t>
      </w:r>
    </w:p>
    <w:p>
      <w:pPr>
        <w:pStyle w:val="SourcePage"/>
      </w:pPr>
      <w:r>
        <w:t xml:space="preserve">[p. 264]</w:t>
      </w:r>
    </w:p>
    <w:p>
      <w:pPr>
        <w:pStyle w:val="BodyText"/>
      </w:pPr>
      <w:r>
        <w:t xml:space="preserve">wine, an hundred baths of oil, and salt without prescribing how much, and giving leave to establish magistrates in the land, and freeing the priests of toll tribute and custom, and other things which render this decree and commission by Artaxerxes the most full and ample in the Jews' favor of any that at any time had been given for the restoring Jerusalem.</w:t>
      </w:r>
      <w:r>
        <w:rPr>
          <w:rStyle w:val="FootnoteReference"/>
        </w:rPr>
        <w:footnoteReference w:id="923"/>
      </w:r>
      <w:r>
        <w:t xml:space="preserve"> And therefore this in Daniel's prophecy is called the decree for restoring and building Jerusalem and hence the seventy weeks are dated.</w:t>
      </w:r>
      <w:r>
        <w:rPr>
          <w:rStyle w:val="FootnoteReference"/>
        </w:rPr>
        <w:footnoteReference w:id="924"/>
      </w:r>
    </w:p>
    <w:p>
      <w:pPr>
        <w:pStyle w:val="BodyText"/>
      </w:pPr>
      <w:r>
        <w:t xml:space="preserve">And then after this another favorable commission was granted by the king of Persia to Nehemiah, which we have an account of in the Nehemiah 2. It was remarkable that the hearts of heathen princes should be so inclined; it was the effect of his power who has the hearts of kings in his hands, and turns them [whithersoever he will]</w:t>
      </w:r>
      <w:r>
        <w:rPr>
          <w:rStyle w:val="FootnoteReference"/>
        </w:rPr>
        <w:footnoteReference w:id="925"/>
      </w:r>
      <w:r>
        <w:t xml:space="preserve"> and a remarkable instance of his favor to his people.</w:t>
      </w:r>
    </w:p>
    <w:p>
      <w:pPr>
        <w:pStyle w:val="BodyText"/>
      </w:pPr>
      <w:r>
        <w:rPr>
          <w:rStyle w:val="FootnoteReference"/>
        </w:rPr>
        <w:footnoteReference w:id="926"/>
      </w:r>
      <w:r>
        <w:t xml:space="preserve">Another remarkable circumstance of this restitution of the state of the Jews in their own land, was its being accomplished against so much opposition of those bitter, indefatigable enemies, the Samaritans, who for a long time together, with all the malice and craft they could exercise, opposed the Jews in this affair and sought their destruction. One while by Bishlam, Mithredath, Tabeel, Rehum, and Shimshai, Ezra 4; </w:t>
      </w:r>
      <w:r>
        <w:rPr>
          <w:rStyle w:val="FootnoteReference"/>
        </w:rPr>
        <w:footnoteReference w:id="927"/>
      </w:r>
      <w:r>
        <w:t xml:space="preserve"> and then by Tatnai and Shetharboznai and their companions, as chapter five.</w:t>
      </w:r>
      <w:r>
        <w:rPr>
          <w:rStyle w:val="FootnoteReference"/>
        </w:rPr>
        <w:footnoteReference w:id="928"/>
      </w:r>
      <w:r>
        <w:t xml:space="preserve"> And afterwards by Sanballat and Tobiah, as we read in the book of Nehemiah.</w:t>
      </w:r>
      <w:r>
        <w:rPr>
          <w:rStyle w:val="FootnoteReference"/>
        </w:rPr>
        <w:footnoteReference w:id="929"/>
      </w:r>
    </w:p>
    <w:p>
      <w:pPr>
        <w:pStyle w:val="BodyText"/>
      </w:pPr>
      <w:r>
        <w:t xml:space="preserve">We have showed before how the settlement of the people in this land in Joshua's time promoted the Work of Redemption. On the same accounts does their restitution belong to the same work. The resettlement of ‹the Jews in the land of Canaan› belongs to this work as it was a necessary means of preserving the Jewish church and dispensation in body till Christ come. If it had not been for this restoration of the Jewish church and temple and worship,</w:t>
      </w:r>
      <w:r>
        <w:rPr>
          <w:rStyle w:val="FootnoteReference"/>
        </w:rPr>
        <w:footnoteReference w:id="930"/>
      </w:r>
      <w:r>
        <w:t xml:space="preserve"> the people had remained without any temple, city [or] land of their own that should be, as it were, their headquarters, a place of worship, habitation, and rest; the whole constitution which God had done so much</w:t>
      </w:r>
    </w:p>
    <w:p>
      <w:pPr>
        <w:pStyle w:val="SourcePage"/>
      </w:pPr>
      <w:r>
        <w:t xml:space="preserve">[p. 265]</w:t>
      </w:r>
    </w:p>
    <w:p>
      <w:pPr>
        <w:pStyle w:val="BodyText"/>
      </w:pPr>
      <w:r>
        <w:t xml:space="preserve">to establish would have been in danger of utterly failing long before that six hundred years was out from about the time of the captivity till Christ. And so all that preparation that God had been making for the coming of Christ from the time of Abraham would have been in vain. Now that very temple was built that would fill with glory by Christ's coming into it, as the prophets Haggai and Zechariah told the Jews to encourage them in the priestly [office].</w:t>
      </w:r>
      <w:r>
        <w:rPr>
          <w:rStyle w:val="FootnoteReference"/>
        </w:rPr>
        <w:footnoteReference w:id="931"/>
      </w:r>
    </w:p>
    <w:p>
      <w:pPr>
        <w:pStyle w:val="BodyText"/>
      </w:pPr>
      <w:r>
        <w:t xml:space="preserve">5.</w:t>
      </w:r>
      <w:r>
        <w:rPr>
          <w:rStyle w:val="FootnoteReference"/>
        </w:rPr>
        <w:footnoteReference w:id="932"/>
      </w:r>
      <w:r>
        <w:t xml:space="preserve">The next particular I would observe is the addition made to [the] canon of the Scriptures soon after the captivity by the prophets Haggai and Zechariah, who were prophets</w:t>
      </w:r>
      <w:r>
        <w:rPr>
          <w:rStyle w:val="FootnoteReference"/>
        </w:rPr>
        <w:footnoteReference w:id="933"/>
      </w:r>
      <w:r>
        <w:t xml:space="preserve"> sent to encourage the people in their work of rebuilding the city and temple. And the main argument they make use of to that end is the approach of the time of the coming of Christ. Haggai foretold that Christ should be of Zerubbabel's legal posterity, last chapter, last verse, the last and most particular revelation [of the descent of Christ] ever made till the angel Gabriel.</w:t>
      </w:r>
      <w:r>
        <w:rPr>
          <w:rStyle w:val="FootnoteReference"/>
        </w:rPr>
        <w:footnoteReference w:id="934"/>
      </w:r>
    </w:p>
    <w:p>
      <w:pPr>
        <w:pStyle w:val="BodyText"/>
      </w:pPr>
      <w:r>
        <w:t xml:space="preserve">6.</w:t>
      </w:r>
      <w:r>
        <w:rPr>
          <w:rStyle w:val="FootnoteReference"/>
        </w:rPr>
        <w:footnoteReference w:id="935"/>
      </w:r>
      <w:r>
        <w:t xml:space="preserve"> The next thing I would take notice of was the pouring out of the Spirit of God that accompanied the ministry of Ezra the priest, after the captivity. That there was such a pouring out of the Spirit that accompanied Ezra's ministry is manifest by many things in the books of Ezra and Nehemiah. Presently after Ezra came up from Babylon with the ample commission which Artaxerxes gave him, whence Daniel's seventy weeks began, he set himself to reform the vices and corruptions he found among the Jews, and had great success in it, as we have account in the Ezra 10; so that there appeared a very general and great mourning of the congregation of Israel for their sins, which was accompanied with a solemn covenant that the people entered into with God, and this was followed with a great and general reformation, as we have there an account.</w:t>
      </w:r>
      <w:r>
        <w:rPr>
          <w:rStyle w:val="FootnoteReference"/>
        </w:rPr>
        <w:footnoteReference w:id="936"/>
      </w:r>
      <w:r>
        <w:t xml:space="preserve"> And the people about the same time, with great zeal and</w:t>
      </w:r>
      <w:r>
        <w:rPr>
          <w:rStyle w:val="FootnoteReference"/>
        </w:rPr>
        <w:footnoteReference w:id="937"/>
      </w:r>
      <w:r>
        <w:t xml:space="preserve"> earnestness and reverence, gathered themselves together to hear the word of God read by Ezra, and gave diligent attention while Ezra and the other</w:t>
      </w:r>
    </w:p>
    <w:p>
      <w:pPr>
        <w:pStyle w:val="SourcePage"/>
      </w:pPr>
      <w:r>
        <w:t xml:space="preserve">[p. 266]</w:t>
      </w:r>
    </w:p>
    <w:p>
      <w:pPr>
        <w:pStyle w:val="BodyText"/>
      </w:pPr>
      <w:r>
        <w:t xml:space="preserve">priest preached to 'em by reading and explaining the law;</w:t>
      </w:r>
      <w:r>
        <w:rPr>
          <w:rStyle w:val="FootnoteReference"/>
        </w:rPr>
        <w:footnoteReference w:id="938"/>
      </w:r>
      <w:r>
        <w:t xml:space="preserve"> and were greatly affected in the hearing of it. They wept when they heard the words of the law, and set themselves to observe the law, and kept the feast of tabernacles, as the Scriptures observe, after such a manner as it had not been kept since the days of Joshua, the son of Nun, as we have account in the Nehemiah 8.</w:t>
      </w:r>
      <w:r>
        <w:rPr>
          <w:rStyle w:val="FootnoteReference"/>
        </w:rPr>
        <w:footnoteReference w:id="939"/>
      </w:r>
      <w:r>
        <w:t xml:space="preserve"> And after this, they having separated themselves from all strangers, they kept a solemn fast throughout the land, which they kept by hearing the word of God and confessing their sins, as we have account in the Nehemiah 9.</w:t>
      </w:r>
      <w:r>
        <w:rPr>
          <w:rStyle w:val="FootnoteReference"/>
        </w:rPr>
        <w:footnoteReference w:id="940"/>
      </w:r>
      <w:r>
        <w:t xml:space="preserve"> And we have an account of their solemn renewing their covenant with God in the Nehemiah 10,</w:t>
      </w:r>
      <w:r>
        <w:rPr>
          <w:rStyle w:val="FootnoteReference"/>
        </w:rPr>
        <w:footnoteReference w:id="941"/>
      </w:r>
      <w:r>
        <w:t xml:space="preserve"> and we have a further account of their reformation in the Nehemiah 13.</w:t>
      </w:r>
      <w:r>
        <w:rPr>
          <w:rStyle w:val="FootnoteReference"/>
        </w:rPr>
        <w:footnoteReference w:id="942"/>
      </w:r>
    </w:p>
    <w:p>
      <w:pPr>
        <w:pStyle w:val="BodyText"/>
      </w:pPr>
      <w:r>
        <w:t xml:space="preserve">'Tis observable that it has been God's manner in every remarkable new establishment of the state of his visible church, to give a remarkable outpouring of his Spirit; so it was on the first establishment of the church,</w:t>
      </w:r>
      <w:r>
        <w:rPr>
          <w:rStyle w:val="FootnoteReference"/>
        </w:rPr>
        <w:footnoteReference w:id="943"/>
      </w:r>
      <w:r>
        <w:t xml:space="preserve"> the Jews at their first coming into Canaan under Joshua, as has been observed. And so it was now in this second settlement of his church in the same land in the time of Ezra. And so it was in the first establishment of the Christian church after Christ's resurrection, God wisely and graciously laying the foundation of those establishments in a work of his holy Spirit for the lasting benefit of the state of his church thenceforward continued in those establishments. And this pouring out of the Spirit was a final cure of that nation of that particular sin which just before they had especially, viz. intermarrying with the Gentiles; for however inclined they were to it before, they ever after showed an aversion to it.</w:t>
      </w:r>
    </w:p>
    <w:p>
      <w:pPr>
        <w:pStyle w:val="BodyText"/>
      </w:pPr>
      <w:r>
        <w:t xml:space="preserve">7.</w:t>
      </w:r>
      <w:r>
        <w:rPr>
          <w:rStyle w:val="FootnoteReference"/>
        </w:rPr>
        <w:footnoteReference w:id="944"/>
      </w:r>
      <w:r>
        <w:t xml:space="preserve"> Ezra added to the canon of the Scriptures. He wrote the book of Ezra, and he is supposed to have written the two books of Chronicles, at least compiling them if he was not the author of the materials or all the parts of these writings. That these books were written or compiled and completed after the captivity the things contained in</w:t>
      </w:r>
    </w:p>
    <w:p>
      <w:pPr>
        <w:pStyle w:val="SourcePage"/>
      </w:pPr>
      <w:r>
        <w:t xml:space="preserve">[p. 267]</w:t>
      </w:r>
    </w:p>
    <w:p>
      <w:pPr>
        <w:pStyle w:val="BodyText"/>
      </w:pPr>
      <w:r>
        <w:t xml:space="preserve">the books themselves make manifest, for the genealogies contained</w:t>
      </w:r>
      <w:r>
        <w:rPr>
          <w:rStyle w:val="FootnoteReference"/>
        </w:rPr>
        <w:footnoteReference w:id="945"/>
      </w:r>
      <w:r>
        <w:t xml:space="preserve"> therein are brought down below the captivity, as 1 Chronicles 3:17 etc.; we have there an account of the posterity of Jehoiakim for several successive generations. And there is mention in these books of the captivity into Babylon as a thing past, and of things that were done on the return of the Jews after the captivity, as you may see in the 1 Chronicles 9.</w:t>
      </w:r>
      <w:r>
        <w:rPr>
          <w:rStyle w:val="FootnoteReference"/>
        </w:rPr>
        <w:footnoteReference w:id="946"/>
      </w:r>
      <w:r>
        <w:t xml:space="preserve"> The chapter is mostly filled up with an account of things that came to pass after the captivity into Babylon, as you may see by comparing it with what is to be said in the books of Ezra and Nehemiah. And that Ezra was the person that compiled these books is probable by this, because they conclude with words that we know are the words of Ezra's history. The two last verses are Ezra's words in the history he gives in the Ezra 1:1–2.</w:t>
      </w:r>
      <w:r>
        <w:rPr>
          <w:rStyle w:val="FootnoteReference"/>
        </w:rPr>
        <w:footnoteReference w:id="947"/>
      </w:r>
    </w:p>
    <w:p>
      <w:pPr>
        <w:pStyle w:val="BodyText"/>
      </w:pPr>
      <w:r>
        <w:t xml:space="preserve">8.</w:t>
      </w:r>
      <w:r>
        <w:rPr>
          <w:rStyle w:val="FootnoteReference"/>
        </w:rPr>
        <w:footnoteReference w:id="948"/>
      </w:r>
      <w:r>
        <w:t xml:space="preserve"> Ezra is supposed to have collected all the books of which the holy Scriptures did then consist, and disposed them in their proper order. Ezra is often spoken of as a noted</w:t>
      </w:r>
      <w:r>
        <w:rPr>
          <w:rStyle w:val="FootnoteReference"/>
        </w:rPr>
        <w:footnoteReference w:id="949"/>
      </w:r>
      <w:r>
        <w:t xml:space="preserve"> and eminent scribe of the law of God. And the canon of the Scripture in his time was manifestly under his special care, and the Jews from the first accounts we have from them have always held that the canon of Scripture, so much of it as was then extant, was collected and orderly disposed and settled by Ezra.</w:t>
      </w:r>
      <w:r>
        <w:rPr>
          <w:rStyle w:val="FootnoteReference"/>
        </w:rPr>
        <w:footnoteReference w:id="950"/>
      </w:r>
      <w:r>
        <w:t xml:space="preserve"> And from him have delivered it down in the order in which he disposed it till Christ's time, when the Christian church received it from them, and have delivered it down to our times. And the truth of it is allowed as undoubted by divines in general.</w:t>
      </w:r>
    </w:p>
    <w:p>
      <w:pPr>
        <w:pStyle w:val="BodyText"/>
      </w:pPr>
      <w:r>
        <w:t xml:space="preserve">9.</w:t>
      </w:r>
      <w:r>
        <w:rPr>
          <w:rStyle w:val="FootnoteReference"/>
        </w:rPr>
        <w:footnoteReference w:id="951"/>
      </w:r>
      <w:r>
        <w:t xml:space="preserve"> [The Work of Redemption was carried on and promoted in this period by]</w:t>
      </w:r>
      <w:r>
        <w:rPr>
          <w:rStyle w:val="FootnoteReference"/>
        </w:rPr>
        <w:footnoteReference w:id="952"/>
      </w:r>
      <w:r>
        <w:t xml:space="preserve"> greatly multiplying the copies of the law, and appointing the constant public reading them in all the cities of Israel in their synagogues. 'Tis evident that before the captivity there were but few copies of the law. There was the original laid up beside the ark, and kings were required to write out a copy of the law for their use.</w:t>
      </w:r>
      <w:r>
        <w:rPr>
          <w:rStyle w:val="FootnoteReference"/>
        </w:rPr>
        <w:footnoteReference w:id="953"/>
      </w:r>
      <w:r>
        <w:t xml:space="preserve"> And the law was required to be read to the whole congregation of Israel</w:t>
      </w:r>
    </w:p>
    <w:p>
      <w:pPr>
        <w:pStyle w:val="SourcePage"/>
      </w:pPr>
      <w:r>
        <w:t xml:space="preserve">[p. 268]</w:t>
      </w:r>
    </w:p>
    <w:p>
      <w:pPr>
        <w:pStyle w:val="BodyText"/>
      </w:pPr>
      <w:r>
        <w:t xml:space="preserve">once every</w:t>
      </w:r>
      <w:r>
        <w:rPr>
          <w:rStyle w:val="FootnoteReference"/>
        </w:rPr>
        <w:footnoteReference w:id="954"/>
      </w:r>
      <w:r>
        <w:t xml:space="preserve"> seventh year.</w:t>
      </w:r>
      <w:r>
        <w:rPr>
          <w:rStyle w:val="FootnoteReference"/>
        </w:rPr>
        <w:footnoteReference w:id="955"/>
      </w:r>
      <w:r>
        <w:t xml:space="preserve"> And we have no account of any other stated public reading of the law before the captivity but this. And 'tis manifest by several things that might be mentioned that copies of the law were very rare before the captivity.</w:t>
      </w:r>
    </w:p>
    <w:p>
      <w:pPr>
        <w:pStyle w:val="BodyText"/>
      </w:pPr>
      <w:r>
        <w:t xml:space="preserve">But after the captivity the constant reading of the law was set up in every synagogue throughout the land. First, they began with reading the law, and then they proceeded to establish the constant reading the other books of the Old Testament. And lessons were read out of the Old Testament, as made up of both, in many synagogues which were set up in every city and everywhere, wherever the Jews built, as our meeting houses are; thus we find it was in Christ's and the apostles' times, Acts 15:21 ["Moses of old time hath in every city them that preach him, being read in the synagogues every sabbath day"]. And this as custom is universally supposed, by both Jews and Christians, to be begun by Ezra.</w:t>
      </w:r>
      <w:r>
        <w:rPr>
          <w:rStyle w:val="FootnoteReference"/>
        </w:rPr>
        <w:footnoteReference w:id="956"/>
      </w:r>
      <w:r>
        <w:t xml:space="preserve"> There were doubtless public assemblies before the captivity into Babylon. They used to assemble at the temple at their great feasts, and were directed</w:t>
      </w:r>
      <w:r>
        <w:rPr>
          <w:rStyle w:val="FootnoteReference"/>
        </w:rPr>
        <w:footnoteReference w:id="957"/>
      </w:r>
      <w:r>
        <w:t xml:space="preserve"> when they were at a loss about anything in the law to go to the priests for instruction. And they used also to resort to the prophets' houses, and we read of synagogues in the land before, Psalms 74:8. But 'tis not supposed that they had copies of the law for constant public reading and expounding through the land before as afterwards. This was one great means of their being preserved from idolatry.</w:t>
      </w:r>
      <w:r>
        <w:rPr>
          <w:rStyle w:val="FootnoteReference"/>
        </w:rPr>
        <w:footnoteReference w:id="958"/>
      </w:r>
    </w:p>
    <w:p>
      <w:pPr>
        <w:pStyle w:val="BodyText"/>
      </w:pPr>
      <w:r>
        <w:t xml:space="preserve">10.</w:t>
      </w:r>
      <w:r>
        <w:rPr>
          <w:rStyle w:val="FootnoteReference"/>
        </w:rPr>
        <w:footnoteReference w:id="959"/>
      </w:r>
      <w:r>
        <w:t xml:space="preserve"> The next thing I would mention was God's remarkably preserving the church and nation of the Jews when they were in imminent danger of being universally destroyed by Haman. We have the story in the book of Esther which is known by you. This series of providences was very wonderful in preventing their destruction. Esther was doubtless born for this very end, to be the instrument of this remarkable preservation.</w:t>
      </w:r>
    </w:p>
    <w:p>
      <w:pPr>
        <w:pStyle w:val="BodyText"/>
      </w:pPr>
      <w:r>
        <w:t xml:space="preserve">11.</w:t>
      </w:r>
      <w:r>
        <w:rPr>
          <w:rStyle w:val="FootnoteReference"/>
        </w:rPr>
        <w:footnoteReference w:id="960"/>
      </w:r>
      <w:r>
        <w:t xml:space="preserve"> After this the canon of Scripture was further added to in the books of Nehemiah and Esther. The one by Nehemiah himself, and whether the other was written by Nehemiah, or Mordecai, or Malachi</w:t>
      </w:r>
    </w:p>
    <w:p>
      <w:pPr>
        <w:pStyle w:val="SourcePage"/>
      </w:pPr>
      <w:r>
        <w:t xml:space="preserve">[p. 269]</w:t>
      </w:r>
    </w:p>
    <w:p>
      <w:pPr>
        <w:pStyle w:val="BodyText"/>
      </w:pPr>
      <w:r>
        <w:t xml:space="preserve">is not of importance for us to know,</w:t>
      </w:r>
      <w:r>
        <w:rPr>
          <w:rStyle w:val="FootnoteReference"/>
        </w:rPr>
        <w:footnoteReference w:id="961"/>
      </w:r>
      <w:r>
        <w:t xml:space="preserve"> as long as it was one of these books that were always read as part of their canon by the Jews, and was among those books that the Jews called their Scriptures in Christ's time, and as such was approved by him. For Christ does often in his speeches to the Jews manifestly approve and confirm those books which among them went by the name of the Scriptures, as might easily be shown if there were time for it.</w:t>
      </w:r>
    </w:p>
    <w:p>
      <w:pPr>
        <w:pStyle w:val="BodyText"/>
      </w:pPr>
      <w:r>
        <w:t xml:space="preserve">12.</w:t>
      </w:r>
      <w:r>
        <w:rPr>
          <w:rStyle w:val="FootnoteReference"/>
        </w:rPr>
        <w:footnoteReference w:id="962"/>
      </w:r>
      <w:r>
        <w:t xml:space="preserve"> After this the canon of the Old Testament was completed and sealed by Malachi. The manner of his concluding his prophecy seems to imply that they were to expect no more prophecies and no more</w:t>
      </w:r>
      <w:r>
        <w:rPr>
          <w:rStyle w:val="FootnoteReference"/>
        </w:rPr>
        <w:footnoteReference w:id="963"/>
      </w:r>
      <w:r>
        <w:t xml:space="preserve"> written revelations from God, till Christ should come. For in the last chapter, he prophesies of Christ's coming, Malachi 4:2–3 ["But unto you that fear my name shall the Sun of righteousness arise with healing in his wings; and ye shall go forth, and grow up as calves of the stall. And ye shall tread down the wicked; for they shall be ashes under the soles of your feet in the day that I shall do this, saith the Lord of hosts"].</w:t>
      </w:r>
      <w:r>
        <w:rPr>
          <w:rStyle w:val="FootnoteReference"/>
        </w:rPr>
        <w:footnoteReference w:id="964"/>
      </w:r>
      <w:r>
        <w:t xml:space="preserve"> And then concluding thus ["Remember ye the law of Moses my servant, which I commanded unto him in Horeb for all Israel, with the statutes and judgments"],</w:t>
      </w:r>
      <w:r>
        <w:rPr>
          <w:rStyle w:val="FootnoteReference"/>
        </w:rPr>
        <w:footnoteReference w:id="965"/>
      </w:r>
      <w:r>
        <w:t xml:space="preserve"> i.e. remember and improve what ye have, keep close to</w:t>
      </w:r>
      <w:r>
        <w:rPr>
          <w:rStyle w:val="FootnoteReference"/>
        </w:rPr>
        <w:footnoteReference w:id="966"/>
      </w:r>
      <w:r>
        <w:t xml:space="preserve"> that written rule you have as expecting no more additions to it till the night of the Old Testament is over and the sun of righteousness at length shall arise.</w:t>
      </w:r>
    </w:p>
    <w:p>
      <w:pPr>
        <w:pStyle w:val="BodyText"/>
      </w:pPr>
      <w:r>
        <w:t xml:space="preserve">13.</w:t>
      </w:r>
      <w:r>
        <w:rPr>
          <w:rStyle w:val="FootnoteReference"/>
        </w:rPr>
        <w:footnoteReference w:id="967"/>
      </w:r>
      <w:r>
        <w:t xml:space="preserve"> Soon after this, the spirit of prophecy ceased among that people till the time of the New Testament. Thus the Old Testament lights, the stars of that long night, began apace to hide their heads, the time of the sun of righteousness now drawing nigh. We before observed how the kings of the house of David ‹withdrew› and the cloud of glory ‹was taken away›. And now at last the spirit of prophecy ceased. The time of the great prophet of God was now so nigh, it was time for their typical prophets to be silent and shut their mouth!</w:t>
      </w:r>
    </w:p>
    <w:p>
      <w:pPr>
        <w:pStyle w:val="SourcePage"/>
      </w:pPr>
      <w:r>
        <w:t xml:space="preserve">[p. 270]</w:t>
      </w:r>
    </w:p>
    <w:p>
      <w:pPr>
        <w:pStyle w:val="Heading2"/>
      </w:pPr>
      <w:bookmarkStart w:name="heading_no_4_sermon_twelve" w:id="53"/>
      <w:r>
        <w:t xml:space="preserve">No. 4: SERMON TWELVE</w:t>
      </w:r>
      <w:bookmarkEnd w:id="53"/>
    </w:p>
    <w:p>
      <w:pPr>
        <w:pStyle w:val="BodyText"/>
      </w:pPr>
      <w:r>
        <w:rPr>
          <w:rStyle w:val="FootnoteReference"/>
        </w:rPr>
        <w:footnoteReference w:id="968"/>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11" w:id="54"/>
      <w:r>
        <w:t xml:space="preserve">DOCTRINE</w:t>
      </w:r>
      <w:bookmarkEnd w:id="54"/>
    </w:p>
    <w:p>
      <w:pPr>
        <w:pStyle w:val="BlockQuote"/>
      </w:pPr>
      <w:r>
        <w:rPr>
          <w:i/>
          <w:iCs/>
        </w:rPr>
        <w:t xml:space="preserve">[The Work of Redemption is a work that God carries on from the fall of man to the end of the world.]</w:t>
      </w:r>
      <w:r>
        <w:rPr>
          <w:rStyle w:val="FootnoteReference"/>
        </w:rPr>
        <w:footnoteReference w:id="969"/>
      </w:r>
    </w:p>
    <w:p>
      <w:pPr>
        <w:pStyle w:val="BodyText"/>
      </w:pPr>
      <w:r>
        <w:t xml:space="preserve">WE have gone through the times that we have any historical account of in the writings of the Old Testament, and the thirteenth</w:t>
      </w:r>
      <w:r>
        <w:rPr>
          <w:rStyle w:val="FootnoteReference"/>
        </w:rPr>
        <w:footnoteReference w:id="970"/>
      </w:r>
      <w:r>
        <w:t xml:space="preserve"> and last thing that was mentioned was the ceasing of the spirit of prophecy. I now proceed to show how the Work of Redemption was carried on through the remaining times that were before Christ, in which we have not that thread of Scripture history to guide us that [we] have had hitherto, but have these three things to guide us, viz. the prophecies of the Old Testament, and human histories of those times, and some occasional mention made and evidence given of some things that happened in those times in the New Testament. Therefore, the next, which is the,</w:t>
      </w:r>
    </w:p>
    <w:p>
      <w:pPr>
        <w:pStyle w:val="BodyText"/>
      </w:pPr>
      <w:r>
        <w:t xml:space="preserve">14th.</w:t>
      </w:r>
      <w:r>
        <w:rPr>
          <w:rStyle w:val="FootnoteReference"/>
        </w:rPr>
        <w:footnoteReference w:id="971"/>
      </w:r>
      <w:r>
        <w:t xml:space="preserve"> particular that I shall mention under this period is the destruction of the Persian empire and setting up of the Grecian empire by Alexander. This came to pass about 60 or 70 years after the times wherein the prophet Malachi is supposed to have prophesied Christ, about</w:t>
      </w:r>
      <w:r>
        <w:rPr>
          <w:rStyle w:val="FootnoteReference"/>
        </w:rPr>
        <w:footnoteReference w:id="972"/>
      </w:r>
      <w:r>
        <w:t xml:space="preserve"> 330 years before Christ. This was the third overturning of the</w:t>
      </w:r>
    </w:p>
    <w:p>
      <w:pPr>
        <w:pStyle w:val="SourcePage"/>
      </w:pPr>
      <w:r>
        <w:t xml:space="preserve">[p. 271]</w:t>
      </w:r>
    </w:p>
    <w:p>
      <w:pPr>
        <w:pStyle w:val="BodyText"/>
      </w:pPr>
      <w:r>
        <w:t xml:space="preserve">world that came to pass in this period, and was greater and more remarkable than either of the foregoing. It was very remarkable on account of the suddenness of that conquest of the world that Alexander [made], and the greatness of that empire which he set up, which much exceeded all the foregoing in its extent. This event is much spoken of in the prophecies of Daniel. This empire is represented by the third kingdom of brass in Daniel's interpretation [of]</w:t>
      </w:r>
      <w:r>
        <w:rPr>
          <w:rStyle w:val="FootnoteReference"/>
        </w:rPr>
        <w:footnoteReference w:id="973"/>
      </w:r>
      <w:r>
        <w:t xml:space="preserve"> Nebuchadnezzar's [dream], Daniel 2.</w:t>
      </w:r>
      <w:r>
        <w:rPr>
          <w:rStyle w:val="FootnoteReference"/>
        </w:rPr>
        <w:footnoteReference w:id="974"/>
      </w:r>
      <w:r>
        <w:t xml:space="preserve"> And in Daniel's vision of the four beasts, [it] is represented by the third beast that was like a leopard, that had on his back four wings of a fowl, to represent the swiftness of its conquests, chapter seven.</w:t>
      </w:r>
      <w:r>
        <w:rPr>
          <w:rStyle w:val="FootnoteReference"/>
        </w:rPr>
        <w:footnoteReference w:id="975"/>
      </w:r>
      <w:r>
        <w:t xml:space="preserve"> And [it] is more particularly represented by the he-goat in the Daniel 8, that came from the west on the face of the whole earth and touched not the ground, to represent how swiftly Alexander overran the world.</w:t>
      </w:r>
      <w:r>
        <w:rPr>
          <w:rStyle w:val="FootnoteReference"/>
        </w:rPr>
        <w:footnoteReference w:id="976"/>
      </w:r>
      <w:r>
        <w:t xml:space="preserve"> The angel himself does expressly interpret this he-goat to signify the king of Grecia, verse twenty-one, "The rough goat is the king of Grecia: and the great horn that is between his eyes is the first king," i.e. Alexander himself.</w:t>
      </w:r>
    </w:p>
    <w:p>
      <w:pPr>
        <w:pStyle w:val="BodyText"/>
      </w:pPr>
      <w:r>
        <w:t xml:space="preserve">After Alexander had conquered the world he soon died, and his dominion did not descend to his posterity, but four of his principal captains</w:t>
      </w:r>
      <w:r>
        <w:rPr>
          <w:rStyle w:val="FootnoteReference"/>
        </w:rPr>
        <w:footnoteReference w:id="977"/>
      </w:r>
      <w:r>
        <w:t xml:space="preserve"> divided his empire between them as it there follows, "Now that being broken, whereas four stood up for it, four kingdoms shall stand up out of the nation, but not in his power."</w:t>
      </w:r>
      <w:r>
        <w:rPr>
          <w:rStyle w:val="FootnoteReference"/>
        </w:rPr>
        <w:footnoteReference w:id="978"/>
      </w:r>
      <w:r>
        <w:t xml:space="preserve"> So you may see in the Daniel 11. The angel, after foretelling of the Persian empire, then proceeds to foretell of Alexander, Daniel 11:3, "And a mighty king shall stand up, and shall rule with great dominion, and do according to his will." And then he foretells in the Daniel 11:4 of the dividing of his kingdom between his four captains ["And when he shall stand up, his kingdom shall be broken, and shall be divided toward the four winds of heaven; and not to his posterity, nor according to his dominion which he ruled: for his kingdom shall be plucked up, even for others beside those"]. Of these, two of these four captains whose kingdoms were next to Judea, the one had Egypt and the neighboring countries on the south of Judea, and the other</w:t>
      </w:r>
    </w:p>
    <w:p>
      <w:pPr>
        <w:pStyle w:val="SourcePage"/>
      </w:pPr>
      <w:r>
        <w:t xml:space="preserve">[p. 272]</w:t>
      </w:r>
    </w:p>
    <w:p>
      <w:pPr>
        <w:pStyle w:val="BodyText"/>
      </w:pPr>
      <w:r>
        <w:t xml:space="preserve">had Syria and the neighboring countries north of Judea; and these two are those that are called the kings of the north and south in the Daniel 11.</w:t>
      </w:r>
      <w:r>
        <w:rPr>
          <w:rStyle w:val="FootnoteReference"/>
        </w:rPr>
        <w:footnoteReference w:id="979"/>
      </w:r>
    </w:p>
    <w:p>
      <w:pPr>
        <w:pStyle w:val="BodyText"/>
      </w:pPr>
      <w:r>
        <w:t xml:space="preserve">Now this setting up of the Grecian empire did greatly prepare the way for Christ's coming and setting up his kingdom in the world. Besides those ways common to the other overturnings of the world in this period that have been already mentioned, there is one peculiar to this revolution which I would take notice of, which did remarkably promote the Work of Redemption: and that was that it made the Greek language common in the world.</w:t>
      </w:r>
      <w:r>
        <w:rPr>
          <w:rStyle w:val="FootnoteReference"/>
        </w:rPr>
        <w:footnoteReference w:id="980"/>
      </w:r>
      <w:r>
        <w:t xml:space="preserve"> To have one common language understood and used through the greater part of the world was a thing that did greatly prepare the way for the setting up of Christ's kingdom. This gave advantage for spreading the gospel from one nation to another, and so through all nations, with vastly greater ease than if every nation had a distinct language and did not understand each other. For though some of the first preachers of the gospel had the gift of tongues, so that they could preach in any language, yet all had not this particular gift, and they that had could not exercise it when they would, but only at special seasons when the Spirit of God was pleased to inspire 'em this way. And the church in different parts of the world, as the churches of Jerusalem, Antioch, Galatia, Corinth, and others, which in countries distant one from another could not have had that communication one with another, which we have an account in the book of Acts, if they had no common language. So it was before setting up of the Grecian empire. But after this, many in all these countries well understood the same language, viz. the Greek language, which wonderfully opened the door for mutual communication between those churches so far separated one from another.</w:t>
      </w:r>
      <w:r>
        <w:rPr>
          <w:rStyle w:val="FootnoteReference"/>
        </w:rPr>
        <w:footnoteReference w:id="981"/>
      </w:r>
      <w:r>
        <w:t xml:space="preserve"> And then the making the Greek language common through so great a part of the world did wonderfully make way for that setting up the kingdom ‹of Christ›, because this was the language in which the New Testament was to be originally written.</w:t>
      </w:r>
    </w:p>
    <w:p>
      <w:pPr>
        <w:pStyle w:val="BodyText"/>
      </w:pPr>
      <w:r>
        <w:t xml:space="preserve">The apostles propagated the gospel through many scores of nations, and if those could not understand the Bible any otherwise than as it was translated into so many languages, it must have rendered the spreading of the gospel vastly more difficult. But by the Greek language being made common to all, they all understood the New</w:t>
      </w:r>
    </w:p>
    <w:p>
      <w:pPr>
        <w:pStyle w:val="SourcePage"/>
      </w:pPr>
      <w:r>
        <w:t xml:space="preserve">[p. 273]</w:t>
      </w:r>
    </w:p>
    <w:p>
      <w:pPr>
        <w:pStyle w:val="BodyText"/>
      </w:pPr>
      <w:r>
        <w:t xml:space="preserve">Testament of Jesus Christ in which the apostles and evangelists originally wrote it; so that as soon as ever it was written by its original penmen, it immediately lay open to the world in a language that was commonly understood everywhere, as there was no language that was so commonly understood in the world in Christ's and the apostles' times as the Greek, the cause of which was the setting up the Grecian empire in the world.</w:t>
      </w:r>
    </w:p>
    <w:p>
      <w:pPr>
        <w:pStyle w:val="BodyText"/>
      </w:pPr>
      <w:r>
        <w:t xml:space="preserve">15.</w:t>
      </w:r>
      <w:r>
        <w:rPr>
          <w:rStyle w:val="FootnoteReference"/>
        </w:rPr>
        <w:footnoteReference w:id="982"/>
      </w:r>
      <w:r>
        <w:t xml:space="preserve"> The next thing I shall take notice of is the translating of the Scriptures of the Old Testament into a language that was commonly understood by the Gentiles. The translation that I here speak of is that into the Greek language, that is commonly called the Septuagint, or the Translation of the Seventy. This</w:t>
      </w:r>
      <w:r>
        <w:rPr>
          <w:rStyle w:val="FootnoteReference"/>
        </w:rPr>
        <w:footnoteReference w:id="983"/>
      </w:r>
      <w:r>
        <w:t xml:space="preserve"> is supposed to have been made about fifty or sixty years after Alexander's conquering the world. This is the first translation that ever was made of the Scriptures that we have any credible account of. The canon of the Old Testament had been completed by the prophet Malachi, but about one hundred and twenty years before, in its original. And hitherto the Scriptures had remained locked up from all other nations but the Jews in the Hebrew tongue; that was understood by no other nation but they. But now it was translated into the Greek language which, as we observed before, was a language that was commonly understood by the nations of the world.</w:t>
      </w:r>
    </w:p>
    <w:p>
      <w:pPr>
        <w:pStyle w:val="BodyText"/>
      </w:pPr>
      <w:r>
        <w:t xml:space="preserve">This translation of the Old Testament is still extant, and is commonly in the hands of learned of men in these days, and is made great use of by them. The Jews have many fables about the occasion and manner of this translation, but the truth of the case is supposed to be this: that multitudes of the Jews living in other parts of the world besides Judea, and being born and bred among the Greeks, the Greek became their common language and they did not understand the original Hebrew; and therefore they provided that the Scriptures might be translated for their use</w:t>
      </w:r>
      <w:r>
        <w:rPr>
          <w:rStyle w:val="FootnoteReference"/>
        </w:rPr>
        <w:footnoteReference w:id="984"/>
      </w:r>
      <w:r>
        <w:t xml:space="preserve"> into the Greek tongue. And henceforward the Jews in all countries except Judea were wont in their synagogues to make use of this translation instead of the Hebrew.</w:t>
      </w:r>
    </w:p>
    <w:p>
      <w:pPr>
        <w:pStyle w:val="BodyText"/>
      </w:pPr>
      <w:r>
        <w:t xml:space="preserve">This translation of the Scriptures into a language commonly understood through the world, prepared the way for Christ's coming and setting up his kingdom in the world, and afterwards did actually</w:t>
      </w:r>
    </w:p>
    <w:p>
      <w:pPr>
        <w:pStyle w:val="SourcePage"/>
      </w:pPr>
      <w:r>
        <w:t xml:space="preserve">[p. 274]</w:t>
      </w:r>
    </w:p>
    <w:p>
      <w:pPr>
        <w:pStyle w:val="BodyText"/>
      </w:pPr>
      <w:r>
        <w:t xml:space="preserve">greatly promote it. For as the apostles went preaching through the world, they made great use of the Scriptures of the Old Testament, and especially prophecies of Christ that were contained [in] it; and by this means and [by] the Jews being scattered everywhere, they had the Scriptures at hand in a language that was understood by the Gentiles; and did actually principally make use of this translation in their preaching and writings wherever they went, as is evident by this: that in all the innumerable quotations that are made out of the Old Testament in their writings in the New Testament, they are almost everywhere in the very words of this Septuagint. The sense is the same as it is in the original Hebrew, but very often the words are different, as all that are acquainted with the Bible know. When the apostles in their epistles and the evangelists in their</w:t>
      </w:r>
      <w:r>
        <w:rPr>
          <w:rStyle w:val="FootnoteReference"/>
        </w:rPr>
        <w:footnoteReference w:id="985"/>
      </w:r>
      <w:r>
        <w:t xml:space="preserve"> histories, cite passages out of the [Old Testament], 'tis very often in different words from what we have in the Old Testament as you all know. But yet these citations are almost universally in the very words of the Septuagint version; for that may be seen by comparing them, they being both written in the same language, which makes it evident that the apostles in their preaching and writings commonly made use of this translation. So this very translation was that which was principally made use [of] in Christian churches, through most nations of the world, for several hundred years after Christ.</w:t>
      </w:r>
    </w:p>
    <w:p>
      <w:pPr>
        <w:pStyle w:val="BodyText"/>
      </w:pPr>
      <w:r>
        <w:t xml:space="preserve">16.</w:t>
      </w:r>
      <w:r>
        <w:rPr>
          <w:rStyle w:val="FootnoteReference"/>
        </w:rPr>
        <w:footnoteReference w:id="986"/>
      </w:r>
      <w:r>
        <w:t xml:space="preserve"> The next thing is the wonderful preservation of the church when it was imminently threatened and persecuted under the Grecian empire. The first time they were threatened was by Alexander himself, when he was besieging the city of Tyre, sending to the Jews for assistance and supplies for his army, and they refusing out of a conscientious regard to their oath to the king of Persia. He being a man of a very furious spirit, agreeable to the Scripture representation of the rough goat, marched against them with a design to cut them off. But the priests going out to meet him</w:t>
      </w:r>
      <w:r>
        <w:rPr>
          <w:rStyle w:val="FootnoteReference"/>
        </w:rPr>
        <w:footnoteReference w:id="987"/>
      </w:r>
      <w:r>
        <w:t xml:space="preserve"> in their priestly garments when he met them, God wonderfully turned his heart to spare 'em and favor 'em much as he did the heart of Esau when he met Jacob.</w:t>
      </w:r>
    </w:p>
    <w:p>
      <w:pPr>
        <w:pStyle w:val="BodyText"/>
      </w:pPr>
      <w:r>
        <w:t xml:space="preserve">After this one of the kings of Egypt, a successor of one of Alexander's four captains, entertained a design of destroying the nation</w:t>
      </w:r>
    </w:p>
    <w:p>
      <w:pPr>
        <w:pStyle w:val="SourcePage"/>
      </w:pPr>
      <w:r>
        <w:t xml:space="preserve">[p. 275]</w:t>
      </w:r>
    </w:p>
    <w:p>
      <w:pPr>
        <w:pStyle w:val="BodyText"/>
      </w:pPr>
      <w:r>
        <w:t xml:space="preserve">of the Jews; but was remarkably and wonderfully prevented by a stronger interposition of heaven for their preservation. But the most wonderful preservation of them of all in this period was under the cruel persecution of Antiochus Epiphanes, king of Syria and successor of another of Alexander's four captains. The Jews were at that time subject to the power of Antiochus; and he being enraged with them, long strove to his utmost utterly to destroy them and root them out, at least all of them that would not forsake their religion and worship his idols; and did indeed in a great measure waste the country, and depopulate the city of Jerusalem, and profaned the temple in all parts of it by setting up his idols in it, and persecuted the people with insatiable cruelty, so that we have no account of any persecution like them before. Many of the particular circumstances of this persecution would be very affecting if I had time to insist</w:t>
      </w:r>
      <w:r>
        <w:rPr>
          <w:rStyle w:val="FootnoteReference"/>
        </w:rPr>
        <w:footnoteReference w:id="988"/>
      </w:r>
      <w:r>
        <w:t xml:space="preserve"> on them. This cruel persecution began about 170 years before Christ. It is much spoken of in the prophecy of Daniel, as you may see, Daniel 8:8 etc. ["Therefore the he goat waxed very great. … and by him the daily sacrifice was taken away"],</w:t>
      </w:r>
      <w:r>
        <w:rPr>
          <w:rStyle w:val="FootnoteReference"/>
        </w:rPr>
        <w:footnoteReference w:id="989"/>
      </w:r>
      <w:r>
        <w:t xml:space="preserve"> Daniel 8:21 etc. ["And the rough goat is the king of Grecia … and shall destroy the mighty and the holy people"].</w:t>
      </w:r>
      <w:r>
        <w:rPr>
          <w:rStyle w:val="FootnoteReference"/>
        </w:rPr>
        <w:footnoteReference w:id="990"/>
      </w:r>
      <w:r>
        <w:t xml:space="preserve"> And there is a fuller account of it in the Daniel 11, beginning with the Daniel 11:35.</w:t>
      </w:r>
    </w:p>
    <w:p>
      <w:pPr>
        <w:pStyle w:val="BodyText"/>
      </w:pPr>
      <w:r>
        <w:t xml:space="preserve">These persecutions are also spoken of in the New Testament, as in the Hebrews 11:36–38 ["And others had trial of cruel mockings and scourgings … they wandered about … being destitute.… They wandered in deserts and in mountains"]. Antiochus intended not only to extirpate the Jewish religion, but as far as in him lay, the very nation, and particularly labored to the utmost to destroy all copies of the law. And considering how weak they were in comparison of a king of such vast dominion, the providence of God appears very wonderful in defeating his design. Many times the Jews seemed to be on the brink of ruin, and just ready to be wholly swallowed up; their enemies often thought themselves sure of obtaining their purpose. They once came against the people with a mighty army with a design of killing all,</w:t>
      </w:r>
      <w:r>
        <w:rPr>
          <w:rStyle w:val="FootnoteReference"/>
        </w:rPr>
        <w:footnoteReference w:id="991"/>
      </w:r>
      <w:r>
        <w:t xml:space="preserve"> but only the women and children with a design of selling them for</w:t>
      </w:r>
    </w:p>
    <w:p>
      <w:pPr>
        <w:pStyle w:val="SourcePage"/>
      </w:pPr>
      <w:r>
        <w:t xml:space="preserve">[p. 276]</w:t>
      </w:r>
    </w:p>
    <w:p>
      <w:pPr>
        <w:pStyle w:val="BodyText"/>
      </w:pPr>
      <w:r>
        <w:t xml:space="preserve">slaves, and were so confident of obtaining their purpose, and others were so confident, that above a thousand merchants came with the army, with their money in their hands, to buy the slaves that should be sold. But God wonderfully stirred up and assisted one Judas and others his successors that were called the Maccabees, who with a small handful in comparison vanquished their enemies time after time and delivered their nation, which was foretold by Daniel in the Daniel 11:32,</w:t>
      </w:r>
      <w:r>
        <w:rPr>
          <w:rStyle w:val="FootnoteReference"/>
        </w:rPr>
        <w:footnoteReference w:id="992"/>
      </w:r>
      <w:r>
        <w:t xml:space="preserve"> speaking here of Antiochus' persecution, "And such as do wickedly against the covenant shall be corrupt by flattering but the people that do know their God shall be strong and do exploits." God afterwards brought this Antiochus to a fearful, miserable end with a loathsome disease under dreadful torments of body and horrors of mind, which was foretold in the last verse of the Daniel 11 in these words, "yet he shall come to his end, and none shall help him." After this death there were attempts still to destroy the church of God, but God baffled them all.</w:t>
      </w:r>
    </w:p>
    <w:p>
      <w:pPr>
        <w:pStyle w:val="BodyText"/>
      </w:pPr>
      <w:r>
        <w:rPr>
          <w:rStyle w:val="FootnoteReference"/>
        </w:rPr>
        <w:footnoteReference w:id="993"/>
      </w:r>
      <w:r>
        <w:t xml:space="preserve">17.</w:t>
      </w:r>
      <w:r>
        <w:rPr>
          <w:rStyle w:val="FootnoteReference"/>
        </w:rPr>
        <w:footnoteReference w:id="994"/>
      </w:r>
      <w:r>
        <w:t xml:space="preserve"> The next thing to be taken notice of is the destruction of the Grecian empire, and setting up the Roman empire. This was the fourth overturning of the world that was in this period. And though it was brought to pass more gradually than the setting up the Grecian empire, yet [it] far exceeded that, and was much the greatest and largest temporal monarchy that ever was in the world. So that the Roman empire was commonly called "all the world," as it is the Luke 2:1, "And there went out a decree from Caesar Augustus, that all the world should [be taxed]."</w:t>
      </w:r>
    </w:p>
    <w:p>
      <w:pPr>
        <w:pStyle w:val="BodyText"/>
      </w:pPr>
      <w:r>
        <w:t xml:space="preserve">This empire is spoken of in Daniel as much the strongest and greatest of any of the four, Daniel 2:40, "And the fourth kingdom shall be strong as iron: forasmuch as iron breaketh in pieces and subdueth all things: and as iron that breaketh all these, shall it break in pieces and bruise." So in the Daniel 7:7 ["I saw … a fourth beast, dreadful and terrible, and strong exceedingly … it was diverse from all the beasts"], Daniel 7:19 ["The truth of the fourth beast, which was diverse from all the others … which devoured"], Daniel 7:23 ["The fourth beast … shall devour the whole earth"].</w:t>
      </w:r>
      <w:r>
        <w:rPr>
          <w:rStyle w:val="FootnoteReference"/>
        </w:rPr>
        <w:footnoteReference w:id="995"/>
      </w:r>
    </w:p>
    <w:p>
      <w:pPr>
        <w:pStyle w:val="SourcePage"/>
      </w:pPr>
      <w:r>
        <w:t xml:space="preserve">[p. 277]</w:t>
      </w:r>
    </w:p>
    <w:p>
      <w:pPr>
        <w:pStyle w:val="BodyText"/>
      </w:pPr>
      <w:r>
        <w:t xml:space="preserve">The time that the Romans first conquered and brought under the land of Judea was between sixty and seventy years before Christ was</w:t>
      </w:r>
      <w:r>
        <w:rPr>
          <w:rStyle w:val="FootnoteReference"/>
        </w:rPr>
        <w:footnoteReference w:id="996"/>
      </w:r>
      <w:r>
        <w:t xml:space="preserve"> born. And soon after this, the Roman empire was established in its greatest extent, and the world continued subject to this empire henceforward till Christ came, and many hundred years afterwards. The nations of the world being united in one monarchy when Christ came and when the apostles went forth to preach the gospel, did greatly prepare the way for the spreading of the gospel and the setting up Christ's kingdom in the world. For the world being thus subject to one government, it opened a communication from nation to nation, and so the more swiftly propagating the gospel through the whole. Thus we find it to be now, as if anything prevails in the English nation, the communication is quick and easy from one part of the nation to another throughout all parts that are subject to the English government, much easier and quicker than to other nations that ben't subject to the English government and have little to do with them. There are innumerable difficulties in traveling through different nations thus ordered under different independent governments, that there are not in traveling through different parts of the same realm or different dominions of the same prince.</w:t>
      </w:r>
      <w:r>
        <w:rPr>
          <w:rStyle w:val="FootnoteReference"/>
        </w:rPr>
        <w:footnoteReference w:id="997"/>
      </w:r>
      <w:r>
        <w:t xml:space="preserve"> So the world being under one government, the government of the Romans, in Christ's and the apostles' times, facilitated the apostles' traveling and the gospel's spreading through the world.</w:t>
      </w:r>
    </w:p>
    <w:p>
      <w:pPr>
        <w:pStyle w:val="BodyText"/>
      </w:pPr>
      <w:r>
        <w:t xml:space="preserve">18.</w:t>
      </w:r>
      <w:r>
        <w:rPr>
          <w:rStyle w:val="FootnoteReference"/>
        </w:rPr>
        <w:footnoteReference w:id="998"/>
      </w:r>
      <w:r>
        <w:t xml:space="preserve"> About this time learning and philosophy were risen to their greatest height in the heathen world. The time of learning's flourishing in the heathen [world] was principally in this period. Almost all the famous philosophers that we have any account of among the heathen were after the captivity into Babylon; almost all the wise men of Greece and Rome flourished in this time. These philosophers, many of them, were indeed men of great temporal wisdom, and that which they in general professed chiefly to make their business was to inquire wherein man's chief happiness lay, and the way in which men might come to be happy. They seemed earnestly to busy themselves in this inquiry, and wrote multitudes of books about it, many of which are still extant. And they were exceedingly divided in their opinion about it. There have been reckoned several hundreds</w:t>
      </w:r>
      <w:r>
        <w:rPr>
          <w:rStyle w:val="FootnoteReference"/>
        </w:rPr>
        <w:footnoteReference w:id="999"/>
      </w:r>
      <w:r>
        <w:t xml:space="preserve"> of different</w:t>
      </w:r>
    </w:p>
    <w:p>
      <w:pPr>
        <w:pStyle w:val="SourcePage"/>
      </w:pPr>
      <w:r>
        <w:t xml:space="preserve">[p. 278]</w:t>
      </w:r>
    </w:p>
    <w:p>
      <w:pPr>
        <w:pStyle w:val="BodyText"/>
      </w:pPr>
      <w:r>
        <w:t xml:space="preserve">opinions that they had concerning it. Thus they wearied themselves in vain and wandered in the dark, not having the glorious gospel to guide [them]. God was pleased to suffer men to do the utmost that they could with human wisdom, and to try the extent of their own understandings to find out the way to true happiness, before the true light came to enlighten the world, before he sent the great prophet to lead men in the right way to happiness.</w:t>
      </w:r>
    </w:p>
    <w:p>
      <w:pPr>
        <w:pStyle w:val="BodyText"/>
      </w:pPr>
      <w:r>
        <w:t xml:space="preserve">God suffered these great philosophers to try what they could do for above six hundred years together, and then it proved, by the events of so long a time together, that all that they could do was in vain; the world not becoming wiser, better, or happier, under their instructions but growing more and more foolish, wicked, and miserable. He suffered their wisdom and philosophy to come to its greatest height before Christ came, that it might be seen how far reason and philosophy could go in their</w:t>
      </w:r>
      <w:r>
        <w:rPr>
          <w:rStyle w:val="FootnoteReference"/>
        </w:rPr>
        <w:footnoteReference w:id="1000"/>
      </w:r>
      <w:r>
        <w:t xml:space="preserve"> highest ascent, that the necessity of a divine teacher might appear before Christ came. And then God was pleased to make foolish the wisdom of this</w:t>
      </w:r>
      <w:r>
        <w:rPr>
          <w:rStyle w:val="FootnoteReference"/>
        </w:rPr>
        <w:footnoteReference w:id="1001"/>
      </w:r>
      <w:r>
        <w:t xml:space="preserve"> world, to show men the folly of their best wisdom by the doctrines of his glorious gospel, which were far above the reach of all their philosophy, 1 Corinthians 1:19–21 ["I will destroy the wisdom of the wise … hath not God made foolish the wisdom of this world? … it pleased God by the foolishness of preaching to save them that believe"].</w:t>
      </w:r>
    </w:p>
    <w:p>
      <w:pPr>
        <w:pStyle w:val="BodyText"/>
      </w:pPr>
      <w:r>
        <w:t xml:space="preserve">And after God had shown the vanity of human learning when set up in the room of the gospel, God was pleased to make it subservient to the purposes of Christ's kingdom as an handmaid to divine revelation. And so the prevailing of learning in the world before Christ came, made way for his coming both these ways, viz. as thereby the vanity of human wisdom was shown, and so the necessity of the gospel appeared. And also as hereby an handmaid was prepared to the gospel, for so it was made use of in the apostle Paul, who was famed for his much learning, as you may see, Acts 26:24; and was not only skilled in the learning of the Jews, but also of the philosophers, and improved it to the purposes of the gospel, as you may see he did in disputing with the philosophers at Athens, Acts 17:22 etc. ["Then Paul stood in the midst of Mars' hill, and said, Ye men of Athens,… ye are too superstitious.… Whom therefore ye ignorantly worship, him declare I unto you.… For in him we live, and move, and have</w:t>
      </w:r>
    </w:p>
    <w:p>
      <w:pPr>
        <w:pStyle w:val="SourcePage"/>
      </w:pPr>
      <w:r>
        <w:t xml:space="preserve">[p. 279]</w:t>
      </w:r>
    </w:p>
    <w:p>
      <w:pPr>
        <w:pStyle w:val="BodyText"/>
      </w:pPr>
      <w:r>
        <w:t xml:space="preserve">our being; as certain also of your own poets have said"].</w:t>
      </w:r>
      <w:r>
        <w:rPr>
          <w:rStyle w:val="FootnoteReference"/>
        </w:rPr>
        <w:footnoteReference w:id="1002"/>
      </w:r>
      <w:r>
        <w:t xml:space="preserve"> He by his learning knew how to accommodate himself in his discourses to learned men, as appears by this discourse of his, and knew well how to improve what he had read in their writings, and he here cites their own poets.</w:t>
      </w:r>
    </w:p>
    <w:p>
      <w:pPr>
        <w:pStyle w:val="BodyText"/>
      </w:pPr>
      <w:r>
        <w:t xml:space="preserve">And now Dionysius that was a philosopher was converted by him and, as ecclesiastical history gives an account, made a great instrument of promoting the gospel. And there were many others in that and the following ages.</w:t>
      </w:r>
    </w:p>
    <w:p>
      <w:pPr>
        <w:pStyle w:val="BodyText"/>
      </w:pPr>
      <w:r>
        <w:t xml:space="preserve">19.</w:t>
      </w:r>
      <w:r>
        <w:rPr>
          <w:rStyle w:val="FootnoteReference"/>
        </w:rPr>
        <w:footnoteReference w:id="1003"/>
      </w:r>
      <w:r>
        <w:t xml:space="preserve"> Just before Christ was born the Roman empire was raised to its greatest height and all settled in peace. About twenty-four years before Christ was born Augustus Caesar, the first Roman empire, began to rule as emperor of the world. Till then the Roman empire had a long time been a commonwealth under the government of the senate; but then it became an absolute monarchy. This Augustus Caesar, as he was the first, so he</w:t>
      </w:r>
      <w:r>
        <w:rPr>
          <w:rStyle w:val="FootnoteReference"/>
        </w:rPr>
        <w:footnoteReference w:id="1004"/>
      </w:r>
      <w:r>
        <w:t xml:space="preserve"> was the greatest of all the Roman emperors; he reigned in greatest glory. Thus the power of the heathen world, which was Satan's visible kingdom, was raised to its greatest height after it had been rising higher and higher and strengthening itself more and more from the days of Solomon to this day, which was about a thousand years. Now it appeared at a greater height than ever it appeared from the first beginning of Satan's heathenish kingdom, which was probably about the time of the building of Babel. Now the heathen world was in its greatest glory of strength, and wealth, and learning.</w:t>
      </w:r>
    </w:p>
    <w:p>
      <w:pPr>
        <w:pStyle w:val="BodyText"/>
      </w:pPr>
      <w:r>
        <w:t xml:space="preserve">God did two things to prepare the way for Christ's coming wherein he took a contrary method from that which human wisdom would have taken: he brought his own visible people very low and made them weak, but the heathen that were his enemies he exalted to the greatest height, for the more glorious triumph of his cross. With a small number in their greatest weakness, he conquered his enemies in their greatest glory. Thus Christ triumphed over principalities and powers in his cross.</w:t>
      </w:r>
      <w:r>
        <w:rPr>
          <w:rStyle w:val="FootnoteReference"/>
        </w:rPr>
        <w:footnoteReference w:id="1005"/>
      </w:r>
    </w:p>
    <w:p>
      <w:pPr>
        <w:pStyle w:val="BodyText"/>
      </w:pPr>
      <w:r>
        <w:t xml:space="preserve">Augustus Caesar had been for many years establishing the state of the Roman empire, subduing his enemies in one part and another, till the very year that Christ was born, when all his enemies being</w:t>
      </w:r>
    </w:p>
    <w:p>
      <w:pPr>
        <w:pStyle w:val="SourcePage"/>
      </w:pPr>
      <w:r>
        <w:t xml:space="preserve">[p. 280]</w:t>
      </w:r>
    </w:p>
    <w:p>
      <w:pPr>
        <w:pStyle w:val="BodyText"/>
      </w:pPr>
      <w:r>
        <w:t xml:space="preserve">subdued and his dominion over the world seemed settled in its</w:t>
      </w:r>
      <w:r>
        <w:rPr>
          <w:rStyle w:val="FootnoteReference"/>
        </w:rPr>
        <w:footnoteReference w:id="1006"/>
      </w:r>
      <w:r>
        <w:t xml:space="preserve"> greatest glory. All was established in peace; in token whereof the Romans shut the temple of Janus, which was an established symbol among [them] of there being universal peace throughout the Roman empire. And this universal peace which was begun that year that Christ was born, lasted twelve years till the year that Christ disputed with the doctors in the temple.</w:t>
      </w:r>
    </w:p>
    <w:p>
      <w:pPr>
        <w:pStyle w:val="BodyText"/>
      </w:pPr>
      <w:r>
        <w:t xml:space="preserve">Thus the world after it had been, as it were, in a continued convulsion for so many hundred years together, like the four winds striving together on the tempestuous raging ocean, whence rose those four great monarchies being now established in the greatest height of the fourth and last monarchy, and settled in quietness, and now all things are ready for the birth of Christ. This remarkable universal peace after so many ages of tumult and war was a fit prelude for the ushering the glorious Prince of Peace into the world.</w:t>
      </w:r>
    </w:p>
    <w:p>
      <w:pPr>
        <w:pStyle w:val="BodyText"/>
      </w:pPr>
      <w:r>
        <w:t xml:space="preserve">Thus I have gone through the first grand period of the whole space between the fall of man and the end of the world, viz. that from the fall to the time of the incarnation of Christ, and have shown the truth of the first proposition, viz. that from the fall to the incarnation of Christ, God was doing those things that</w:t>
      </w:r>
      <w:r>
        <w:rPr>
          <w:rStyle w:val="FootnoteReference"/>
        </w:rPr>
        <w:footnoteReference w:id="1007"/>
      </w:r>
      <w:r>
        <w:t xml:space="preserve"> was a preparatory to Christ's coming and were forerunners of it.</w:t>
      </w:r>
    </w:p>
    <w:p>
      <w:pPr>
        <w:pStyle w:val="SourcePage"/>
      </w:pPr>
      <w:r>
        <w:t xml:space="preserve">[p. 281]</w:t>
      </w:r>
    </w:p>
    <w:p>
      <w:pPr>
        <w:pStyle w:val="Heading2"/>
      </w:pPr>
      <w:bookmarkStart w:name="heading_sermon_thirteen" w:id="55"/>
      <w:r>
        <w:t xml:space="preserve">SERMON THIRTEEN</w:t>
      </w:r>
      <w:bookmarkEnd w:id="55"/>
    </w:p>
    <w:p>
      <w:pPr>
        <w:pStyle w:val="BodyText"/>
      </w:pPr>
      <w:r>
        <w:rPr>
          <w:rStyle w:val="FootnoteReference"/>
        </w:rPr>
        <w:footnoteReference w:id="1008"/>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12" w:id="56"/>
      <w:r>
        <w:t xml:space="preserve">[DOCTRINE]</w:t>
      </w:r>
      <w:bookmarkEnd w:id="56"/>
    </w:p>
    <w:p>
      <w:pPr>
        <w:pStyle w:val="BlockQuote"/>
      </w:pPr>
      <w:r>
        <w:rPr>
          <w:i/>
          <w:iCs/>
        </w:rPr>
        <w:t xml:space="preserve">[The Work of Redemption is a work that God carries on from the fall of man to the end of the world.]</w:t>
      </w:r>
      <w:r>
        <w:rPr>
          <w:rStyle w:val="FootnoteReference"/>
        </w:rPr>
        <w:footnoteReference w:id="1009"/>
      </w:r>
    </w:p>
    <w:p>
      <w:pPr>
        <w:pStyle w:val="BodyText"/>
      </w:pPr>
      <w:r>
        <w:t xml:space="preserve">BEFORE I proceed to the next proposition I would make some few remarks by way of improvement from what has been said under this.</w:t>
      </w:r>
    </w:p>
    <w:p>
      <w:pPr>
        <w:pStyle w:val="BodyText"/>
      </w:pPr>
      <w:r>
        <w:t xml:space="preserve">[IMPROVEMENT]</w:t>
      </w:r>
      <w:r>
        <w:rPr>
          <w:rStyle w:val="FootnoteReference"/>
        </w:rPr>
        <w:footnoteReference w:id="1010"/>
      </w:r>
    </w:p>
    <w:p>
      <w:pPr>
        <w:pStyle w:val="BodyText"/>
      </w:pPr>
      <w:r>
        <w:t xml:space="preserve">1.</w:t>
      </w:r>
      <w:r>
        <w:rPr>
          <w:rStyle w:val="FootnoteReference"/>
        </w:rPr>
        <w:footnoteReference w:id="1011"/>
      </w:r>
      <w:r>
        <w:t xml:space="preserve"> From what has been said we may strongly argue that Jesus of Nazareth is indeed the Son of God, and the savior of the world, and so that the Christian religion is the true religion, seeing that Christ is the very person so evidently pointed at in all the great dispensations of God's providence from the very fall of man, and was so undoubtedly in such a multitude of instances foretold from age to age, and shadowed forth in a vast variety of types and figures.</w:t>
      </w:r>
      <w:r>
        <w:rPr>
          <w:rStyle w:val="FootnoteReference"/>
        </w:rPr>
        <w:footnoteReference w:id="1012"/>
      </w:r>
      <w:r>
        <w:t xml:space="preserve"> If we seriously</w:t>
      </w:r>
    </w:p>
    <w:p>
      <w:pPr>
        <w:pStyle w:val="SourcePage"/>
      </w:pPr>
      <w:r>
        <w:t xml:space="preserve">[p. 282]</w:t>
      </w:r>
    </w:p>
    <w:p>
      <w:pPr>
        <w:pStyle w:val="BodyText"/>
      </w:pPr>
      <w:r>
        <w:t xml:space="preserve">consider the course of things from the beginning, and observe the motions of all the great wheels of providence from one age to another, we shall discern that they all tend hither. They are all as so many lines that, if they could be observed and accurately followed, it will be found that they, every one, centers here. It is so plain in very many things that it would argue stupidity to deny it. This therefore is undeniable, that this person is a divine person that was sent from God, that came into the world with his commission and authority to do his work, and to declare his mind. The great governor of the world in all his great works, before and since the flood, to Jews and Gentiles, down to the very time of Christ's birth, has declared it. It cannot be any vain imagination, but a plain and evident truth: that person that was born at Bethlehem, and dwelt at Nazareth, and at Capernaum, and was crucified without the gates of Jerusalem, must be the great messiah or anointed of God. And blessed are all they that believe in and confess him, and miserable are all that deny him.</w:t>
      </w:r>
      <w:r>
        <w:rPr>
          <w:rStyle w:val="FootnoteReference"/>
        </w:rPr>
        <w:footnoteReference w:id="1013"/>
      </w:r>
      <w:r>
        <w:t xml:space="preserve"> This shows the unreasonableness of deists that deny revealed religion, and the Jews that deny that this Jesus is the messiah foretold and promised to their fathers.</w:t>
      </w:r>
    </w:p>
    <w:p>
      <w:pPr>
        <w:pStyle w:val="BodyText"/>
      </w:pPr>
      <w:r>
        <w:rPr>
          <w:rStyle w:val="FootnoteReference"/>
        </w:rPr>
        <w:footnoteReference w:id="1014"/>
      </w:r>
      <w:r>
        <w:t xml:space="preserve">Here it may be some ignorant persons may be ready to object, and say that it may be some subtile, cunning persons contrived this history and these prophecies, so as all to point to Jesus Christ on purpose to confirm it that he was the messiah. To such it may be replied, how could such a thing be contrived by cunning men to point to Jesus Christ long before ever he</w:t>
      </w:r>
      <w:r>
        <w:rPr>
          <w:rStyle w:val="FootnoteReference"/>
        </w:rPr>
        <w:footnoteReference w:id="1015"/>
      </w:r>
      <w:r>
        <w:t xml:space="preserve"> was born, how could they know that ever any such person would be born, and how could their craft and subtilty help them to foresee and point at an event that was to come to pass many ages afterwards.</w:t>
      </w:r>
    </w:p>
    <w:p>
      <w:pPr>
        <w:pStyle w:val="BodyText"/>
      </w:pPr>
      <w:r>
        <w:t xml:space="preserve">For no fact can be more evident than the Jews had those writings long before Christ was born, as they have them still in the greatest veneration wherever they are in all their dispersions through the world. And they would never receive such a contrivance from Christianity to point to and confirm Jesus to be the messiah, whom they always denied to be the messiah, and always abhorred, and always much less would they be made to believe that they always had had</w:t>
      </w:r>
    </w:p>
    <w:p>
      <w:pPr>
        <w:pStyle w:val="SourcePage"/>
      </w:pPr>
      <w:r>
        <w:t xml:space="preserve">[p. 283]</w:t>
      </w:r>
    </w:p>
    <w:p>
      <w:pPr>
        <w:pStyle w:val="BodyText"/>
      </w:pPr>
      <w:r>
        <w:t xml:space="preserve">these books in their hands, when they were first made and imposed upon them.</w:t>
      </w:r>
    </w:p>
    <w:p>
      <w:pPr>
        <w:pStyle w:val="BodyText"/>
      </w:pPr>
      <w:r>
        <w:rPr>
          <w:rStyle w:val="FootnoteReference"/>
        </w:rPr>
        <w:footnoteReference w:id="1016"/>
      </w:r>
      <w:r>
        <w:t xml:space="preserve">2.</w:t>
      </w:r>
      <w:r>
        <w:rPr>
          <w:rStyle w:val="FootnoteReference"/>
        </w:rPr>
        <w:footnoteReference w:id="1017"/>
      </w:r>
      <w:r>
        <w:t xml:space="preserve"> What has been said affords a strong argument for the divine authority of the books of the Old Testament, from that admirable harmony there is in them whereby they all point to the same thing.</w:t>
      </w:r>
      <w:r>
        <w:rPr>
          <w:rStyle w:val="FootnoteReference"/>
        </w:rPr>
        <w:footnoteReference w:id="1018"/>
      </w:r>
      <w:r>
        <w:t xml:space="preserve"> For we may see by what has been said how that all parts of the Old Testament, though written by so many different penmen and in ages distant one from another, do all harmonize one with all, agree in one, and all center in the same thing, and that a future thing, an event which it was impossible any one of them should know but by divine revelation, even the future coming of Christ. This is most evident and manifest in them as appears by what has been said.</w:t>
      </w:r>
    </w:p>
    <w:p>
      <w:pPr>
        <w:pStyle w:val="BodyText"/>
      </w:pPr>
      <w:r>
        <w:t xml:space="preserve">Now if the Old Testament is not inspired by God, what account can be given of such an agreement; for if those books were only human writings,</w:t>
      </w:r>
      <w:r>
        <w:rPr>
          <w:rStyle w:val="FootnoteReference"/>
        </w:rPr>
        <w:footnoteReference w:id="1019"/>
      </w:r>
      <w:r>
        <w:t xml:space="preserve"> written without any divine direction, then none of these penmen knew that there would come such a person as Jesus Christ into the world, his coming was only a mere figment of their own brains? And if so how came that figment of theirs to come to pass, how came a vain imagination of theirs which they foretold, without any manner of ground for their prediction, to be exactly fulfilled? And especially how did they come all to agree in it, all pointing to exactly the same thing, though many of them lived so many hundred years distant one from another?</w:t>
      </w:r>
    </w:p>
    <w:p>
      <w:pPr>
        <w:pStyle w:val="BodyText"/>
      </w:pPr>
      <w:r>
        <w:t xml:space="preserve">This admirable consent and agreement in a future event is, therefore, a clear and certain evidence of the divine authority of these writings.</w:t>
      </w:r>
    </w:p>
    <w:p>
      <w:pPr>
        <w:pStyle w:val="BodyText"/>
      </w:pPr>
      <w:r>
        <w:rPr>
          <w:rStyle w:val="FootnoteReference"/>
        </w:rPr>
        <w:footnoteReference w:id="1020"/>
      </w:r>
      <w:r>
        <w:t xml:space="preserve">3.</w:t>
      </w:r>
      <w:r>
        <w:rPr>
          <w:rStyle w:val="FootnoteReference"/>
        </w:rPr>
        <w:footnoteReference w:id="1021"/>
      </w:r>
      <w:r>
        <w:t xml:space="preserve"> Hence we may learn what a weak and ignorant objection it is that some make against some parts of the Old Testament being the word of God, that they consist so much of histories of the wars and civil transactions of the kings and people of the nation of the Jews. Some say we find here among the books of a particular nation histories that they kept of the state of their nation from one age to another: histories of their kings and rulers, histories of their wars</w:t>
      </w:r>
    </w:p>
    <w:p>
      <w:pPr>
        <w:pStyle w:val="SourcePage"/>
      </w:pPr>
      <w:r>
        <w:t xml:space="preserve">[p. 284]</w:t>
      </w:r>
    </w:p>
    <w:p>
      <w:pPr>
        <w:pStyle w:val="BodyText"/>
      </w:pPr>
      <w:r>
        <w:t xml:space="preserve">with neighboring nations, and histories of the changes that happened from time to time in their state and government. And so we find that other nations used to keep histories of their public affairs as well as they; and why then should we think that state histories that the Jews had are the word of God more than those that other people [had].</w:t>
      </w:r>
    </w:p>
    <w:p>
      <w:pPr>
        <w:pStyle w:val="BodyText"/>
      </w:pPr>
      <w:r>
        <w:t xml:space="preserve">But what has been said shows the folly and vanity of such an objection. For hereby it appears that the case of these histories is very different from that of all other histories; this history alone gives us an account of the first</w:t>
      </w:r>
      <w:r>
        <w:rPr>
          <w:rStyle w:val="FootnoteReference"/>
        </w:rPr>
        <w:footnoteReference w:id="1022"/>
      </w:r>
      <w:r>
        <w:t xml:space="preserve"> original of all things, and this history alone deduces things down in a wonderful series from that original, giving an idea of the grand scheme of divine providence as tending to its great end. And together with the doctrines and prophecies contained in the same sacred Bible, gives a view of the whole series of the great events of divine providence, from the first original to the last end and consummation of all things, giving an excellent and glorious account of the wise and holy designs of the governor of the world in all. No common history has such penmen as this history, which was all written by men that came with evident signs and testimonies of their being prophets of the most high God, immediately inspired. And the histories that were written, as we have seen from what has been said under this proposition, do all contain those great events of providence by which it appears how God has been carrying on the glorious divine Work of Redemption from age to age. Though they are histories, yet they are no less full of divine instruction and those things that</w:t>
      </w:r>
      <w:r>
        <w:rPr>
          <w:rStyle w:val="FootnoteReference"/>
        </w:rPr>
        <w:footnoteReference w:id="1023"/>
      </w:r>
      <w:r>
        <w:t xml:space="preserve"> show forth Christ and contain his glorious gospel, than other parts of the holy Scriptures that are not historical.</w:t>
      </w:r>
    </w:p>
    <w:p>
      <w:pPr>
        <w:pStyle w:val="BodyText"/>
      </w:pPr>
      <w:r>
        <w:t xml:space="preserve">To object against a book's being divine merely because it is historical is a silly objection, just as if that could not be the word of God that gives us an account of what is past, or as though it was not reasonable to suppose that God, in a revelation he should give mankind, would go to give us any relation of the dispensations of his own providence. If it be so, it must be because his works ben't worthy that he should tell us what they are. It must be because the scheme of his government and series of his dispensations towards his church and towards the world that he has made, whereby he has ordered and disposed it from age to age, is not worthy that any record should be kept of it.</w:t>
      </w:r>
    </w:p>
    <w:p>
      <w:pPr>
        <w:pStyle w:val="SourcePage"/>
      </w:pPr>
      <w:r>
        <w:t xml:space="preserve">[p. 285]</w:t>
      </w:r>
    </w:p>
    <w:p>
      <w:pPr>
        <w:pStyle w:val="BodyText"/>
      </w:pPr>
      <w:r>
        <w:t xml:space="preserve">The objection that is made, that 'tis a common thing for nations and kingdoms to write histories and keep records of their wars and the revolutions that come to pass in their territories, is so far from being a weighty objection against the historical parts of Scripture being the word of God that 'tis a strong argument.</w:t>
      </w:r>
      <w:r>
        <w:rPr>
          <w:rStyle w:val="FootnoteReference"/>
        </w:rPr>
        <w:footnoteReference w:id="1024"/>
      </w:r>
      <w:r>
        <w:t xml:space="preserve"> For if reason and the light of nature teaches all civilized nations to keep records of the events of</w:t>
      </w:r>
      <w:r>
        <w:rPr>
          <w:rStyle w:val="FootnoteReference"/>
        </w:rPr>
        <w:footnoteReference w:id="1025"/>
      </w:r>
      <w:r>
        <w:t xml:space="preserve"> their human government, and the facts of their administrations, and to publish histories for the information of others, how much more may we expect that God gives the world a record of the dispensations of his divine government that doubtless is infinitely more worthy of an history for our information. If wise kings have taken care that there should be good histories written of the nations they have reigned [over], shall we think it incredible that Jesus Christ would take care his church, that is his nation, his peculiar people, should have in their hands a certain infallible history of their nation and his government of them?</w:t>
      </w:r>
    </w:p>
    <w:p>
      <w:pPr>
        <w:pStyle w:val="BodyText"/>
      </w:pPr>
      <w:r>
        <w:t xml:space="preserve">If it had not been for the history of the Old Testament, how woefully should we have been left in the dark about many things that the church of God needs to know. How should we have been ignorant of God's dealings towards mankind, and towards his church, from the beginning, and have been wholly in the dark about the creation of the world, the fall of man, the first rise and continued progress of the dispensations of grace towards fallen mankind, and should have known nothing how God at first set up a church in the world, and how it was preserved, and after what manner he</w:t>
      </w:r>
      <w:r>
        <w:rPr>
          <w:rStyle w:val="FootnoteReference"/>
        </w:rPr>
        <w:footnoteReference w:id="1026"/>
      </w:r>
      <w:r>
        <w:t xml:space="preserve"> governed it from the beginning, how the light of the gospel first began to dawn in the world, how it increased, and how things were preparing for the coming of Christ. If we are Christians, we belong to that building of God that has been the subject of our discourse from this text; but if it had not been for the history of the Old Testament, we should never have known what was the first occasion of God's going about this building, and how the foundation of it was laid at first, and how it has gone on from the beginning. The times of the history of the Old Testament on mostly are times that no other history reaches up to, and therefore if God had not have taken care to have given and preserved an account</w:t>
      </w:r>
    </w:p>
    <w:p>
      <w:pPr>
        <w:pStyle w:val="SourcePage"/>
      </w:pPr>
      <w:r>
        <w:t xml:space="preserve">[p. 286]</w:t>
      </w:r>
    </w:p>
    <w:p>
      <w:pPr>
        <w:pStyle w:val="BodyText"/>
      </w:pPr>
      <w:r>
        <w:t xml:space="preserve">of these things for us, we should have been wholly without them.</w:t>
      </w:r>
    </w:p>
    <w:p>
      <w:pPr>
        <w:pStyle w:val="BodyText"/>
      </w:pPr>
      <w:r>
        <w:t xml:space="preserve">They that object against the divine authority of the Old Testament history of the nation of the Jews may as well make it an objection against Moses' account of the creation, that it is historical. For in the other we have a history of a work no less important, viz. the Work of Redemption. Yea that this is a far greater</w:t>
      </w:r>
      <w:r>
        <w:rPr>
          <w:rStyle w:val="FootnoteReference"/>
        </w:rPr>
        <w:footnoteReference w:id="1027"/>
      </w:r>
      <w:r>
        <w:t xml:space="preserve"> and more glorious work; as we observed before, that if it be inquired which of the two works, the work of creation or the work of providence, is greatest, it must be answered ‹the work of providence›. But the Work of Redemption is the greatest of the works of providence. And let those that make this objection consider what part of the Old Testament history can be spared without making a great breach in that thread or series of events by which this glorious work has been carried on. This leads me to</w:t>
      </w:r>
      <w:r>
        <w:rPr>
          <w:rStyle w:val="FootnoteReference"/>
        </w:rPr>
        <w:footnoteReference w:id="1028"/>
      </w:r>
      <w:r>
        <w:t xml:space="preserve"> observe in the,</w:t>
      </w:r>
    </w:p>
    <w:p>
      <w:pPr>
        <w:pStyle w:val="BodyText"/>
      </w:pPr>
      <w:r>
        <w:t xml:space="preserve">4th place,</w:t>
      </w:r>
      <w:r>
        <w:rPr>
          <w:rStyle w:val="FootnoteReference"/>
        </w:rPr>
        <w:footnoteReference w:id="1029"/>
      </w:r>
      <w:r>
        <w:t xml:space="preserve"> that from what has been said we may see much of the wisdom of God in the composition of the Scriptures of the Old Testament, i.e. in the parts of which it consists. We may see by what has been said, we may see how that God hath wisely given us such revelations in the Old Testament as we needed to have given us. Let us briefly take a particular view of the several parts of it and the needfulness of them.</w:t>
      </w:r>
    </w:p>
    <w:p>
      <w:pPr>
        <w:pStyle w:val="BodyText"/>
      </w:pPr>
      <w:r>
        <w:t xml:space="preserve">Thus it was necessary that we should have some account of the creation of the world, and of our first parents and their primitive state, and of the fall, and a brief account of the old world, and of the degeneracy of it, and of the universal deluge, and some account of the original of nations after this destruction of mankind.</w:t>
      </w:r>
    </w:p>
    <w:p>
      <w:pPr>
        <w:pStyle w:val="BodyText"/>
      </w:pPr>
      <w:r>
        <w:t xml:space="preserve">It seems necessary that there should be some account of the succession of the church of God from the beginning. And seeing God suffered all the world to degenerate, and only took one nation to be his people to preserve the true worship and religion till the savior of the world should come, that in him the world might be gradually prepared for that great light and those wonderful things that he was to be the author of, and that they might be a typical nation, and that</w:t>
      </w:r>
    </w:p>
    <w:p>
      <w:pPr>
        <w:pStyle w:val="SourcePage"/>
      </w:pPr>
      <w:r>
        <w:t xml:space="preserve">[p. 287]</w:t>
      </w:r>
    </w:p>
    <w:p>
      <w:pPr>
        <w:pStyle w:val="BodyText"/>
      </w:pPr>
      <w:r>
        <w:t xml:space="preserve">in them</w:t>
      </w:r>
      <w:r>
        <w:rPr>
          <w:rStyle w:val="FootnoteReference"/>
        </w:rPr>
        <w:footnoteReference w:id="1030"/>
      </w:r>
      <w:r>
        <w:t xml:space="preserve"> God might shadow forth and teach as under a veil all future glorious things of the gospel; it was therefore necessary that we should have some account of this thing, how it was first done by the calling of Abraham, and by their being bond slaves in Egypt, and how they were brought to Canaan.</w:t>
      </w:r>
    </w:p>
    <w:p>
      <w:pPr>
        <w:pStyle w:val="BodyText"/>
      </w:pPr>
      <w:r>
        <w:t xml:space="preserve">It was necessary that we should have some account of the revelation that God made of himself to that people in giving the law, and appointing of their typical worship, and those things wherein the gospel is veiled, and of the forming of that people both as to their civil and ecclesiastical state. It seems exceeding needful that we should have some account of their being actually brought to Canaan, the country that was their promised land, and where they always dwelt.</w:t>
      </w:r>
    </w:p>
    <w:p>
      <w:pPr>
        <w:pStyle w:val="BodyText"/>
      </w:pPr>
      <w:r>
        <w:t xml:space="preserve">It seems very necessary that we should have an history of the successions of the church of Israel, and of those providences of God towards them that were most considerable and purest of gospel mystery. It seems necessary that we should have some account of the highest promised external glory of that nation under David and Solomon, and that we should have a very particular account of David whose history is so full of gospel, and so necessary in order to</w:t>
      </w:r>
      <w:r>
        <w:rPr>
          <w:rStyle w:val="FootnoteReference"/>
        </w:rPr>
        <w:footnoteReference w:id="1031"/>
      </w:r>
      <w:r>
        <w:t xml:space="preserve"> introduce the gospel into the world, and in whom began the race of their kings, and that we should also have some account of the building of the temple that was also so full of gospel mystery.</w:t>
      </w:r>
    </w:p>
    <w:p>
      <w:pPr>
        <w:pStyle w:val="BodyText"/>
      </w:pPr>
      <w:r>
        <w:t xml:space="preserve">And 'tis a matter of great consequence that we should have some account of Israel's dividing from Judah, and of the ten tribes' captivity and utter rejection, and a brief account why, and therefore a brief history of them till that time. 'Tis necessary that we should have an account of the succession of the kings of Judah, and of the church till their captivity into Babylon, and that we should have some account of the return from the captivity and resettlement in their own land; and so of the original of the last state that church was in before Christ came.</w:t>
      </w:r>
    </w:p>
    <w:p>
      <w:pPr>
        <w:pStyle w:val="BodyText"/>
      </w:pPr>
      <w:r>
        <w:t xml:space="preserve">A little consideration will convince everyone that all these things were necessary, and that none of them could be spared; and in the general that it was necessary that we should have a history of God's [works] till such times as are within the reach of human histories.</w:t>
      </w:r>
    </w:p>
    <w:p>
      <w:pPr>
        <w:pStyle w:val="BodyText"/>
      </w:pPr>
      <w:r>
        <w:t xml:space="preserve">And it was of vast importance that we should have an inspired history of these times of the Jewish church wherein there was kept</w:t>
      </w:r>
    </w:p>
    <w:p>
      <w:pPr>
        <w:pStyle w:val="SourcePage"/>
      </w:pPr>
      <w:r>
        <w:t xml:space="preserve">[p. 288]</w:t>
      </w:r>
    </w:p>
    <w:p>
      <w:pPr>
        <w:pStyle w:val="BodyText"/>
      </w:pPr>
      <w:r>
        <w:t xml:space="preserve">up a more extraordinary intercourse between God and them, and while he used to dwell among them, as it were, visibly revealing himself to them by the Shekinah,</w:t>
      </w:r>
      <w:r>
        <w:rPr>
          <w:rStyle w:val="FootnoteReference"/>
        </w:rPr>
        <w:footnoteReference w:id="1032"/>
      </w:r>
      <w:r>
        <w:t xml:space="preserve"> by Urim and Thummim, and by prophecy, and so more immediately to order their affairs.</w:t>
      </w:r>
    </w:p>
    <w:p>
      <w:pPr>
        <w:pStyle w:val="BodyText"/>
      </w:pPr>
      <w:r>
        <w:t xml:space="preserve">And it [was] necessary that we should have some account of the great dispensations of God in prophecy that were to be after the finishing of inspired history. And so it was exceeding suitable and needful that there should be a number of prophets raised who should foretell the coming of the son of God, and the nature and glory of his kingdom, to be as so many harbingers to make way for him, and that their prophecies should be outlined to the church.</w:t>
      </w:r>
    </w:p>
    <w:p>
      <w:pPr>
        <w:pStyle w:val="BodyText"/>
      </w:pPr>
      <w:r>
        <w:t xml:space="preserve">It was also a matter of great consequence that the church should have a book of divine songs, given by inspiration from God, wherein there should be a lively representation of the true spirit of devotion, of faith, hope, and divine love, joy, resignation, humility, obedience, repentance, etc.; and also that we should have from God such books of moral instructions relating to the affairs and state of mankind, and the concerns of human life, containing rules of true wisdom and prudence for our conduct in all circumstances, as we have in Proverbs and Ecclesiastes.</w:t>
      </w:r>
    </w:p>
    <w:p>
      <w:pPr>
        <w:pStyle w:val="BodyText"/>
      </w:pPr>
      <w:r>
        <w:rPr>
          <w:rStyle w:val="FootnoteReference"/>
        </w:rPr>
        <w:footnoteReference w:id="1033"/>
      </w:r>
      <w:r>
        <w:t xml:space="preserve">Especially ['tis] hard to visualize ourselves under affliction. Seeing the church of God here</w:t>
      </w:r>
      <w:r>
        <w:rPr>
          <w:rStyle w:val="FootnoteReference"/>
        </w:rPr>
        <w:footnoteReference w:id="1034"/>
      </w:r>
      <w:r>
        <w:t xml:space="preserve"> is in a militant state, and God's people do through much tribulation enter into the kingdom of heaven, and the church is for so very long a time under trouble and meets with such fiery trials and extreme sufferings before her time of peace and rest in the latter age of the world comes, therefore God has given a book most proper for the church under these circumstances, even the book of Job, written on occasion of the afflictions of a particular saint, which probably was at first given to the church in Egypt under afflictions there, and is made use of by the Apostle to comfort Christians under persecutions, James 5:11. God was pleased also to give us some view of the ancient divinity, before the giving of the law in the book of Job.</w:t>
      </w:r>
      <w:r>
        <w:rPr>
          <w:rStyle w:val="FootnoteReference"/>
        </w:rPr>
        <w:footnoteReference w:id="1035"/>
      </w:r>
    </w:p>
    <w:p>
      <w:pPr>
        <w:pStyle w:val="SourcePage"/>
      </w:pPr>
      <w:r>
        <w:t xml:space="preserve">[p. 289]</w:t>
      </w:r>
    </w:p>
    <w:p>
      <w:pPr>
        <w:pStyle w:val="BodyText"/>
      </w:pPr>
      <w:r>
        <w:rPr>
          <w:rStyle w:val="FootnoteReference"/>
        </w:rPr>
        <w:footnoteReference w:id="1036"/>
      </w:r>
      <w:r>
        <w:t xml:space="preserve">And that we should have particularly a song representing the great love between Christ and his spouse, the church, particularly adapted to the disposition and holy affections of a true Christian soul towards Christ, and representing his grace and marvellous love to, and delight in, his people, as we have in Solomon's Song.</w:t>
      </w:r>
    </w:p>
    <w:p>
      <w:pPr>
        <w:pStyle w:val="BodyText"/>
      </w:pPr>
      <w:r>
        <w:rPr>
          <w:rStyle w:val="FootnoteReference"/>
        </w:rPr>
        <w:footnoteReference w:id="1037"/>
      </w:r>
      <w:r>
        <w:t xml:space="preserve">Thus we see how needful every part of the Scripture of the Old Testament seems to be. God seems to have therein given just such revelations as it was necessary should be given before the coming of Christ, and no other.</w:t>
      </w:r>
    </w:p>
    <w:p>
      <w:pPr>
        <w:pStyle w:val="BodyText"/>
      </w:pPr>
      <w:r>
        <w:rPr>
          <w:rStyle w:val="FootnoteReference"/>
        </w:rPr>
        <w:footnoteReference w:id="1038"/>
      </w:r>
      <w:r>
        <w:t xml:space="preserve">'Tis very observable that the history is large and particular where this great affair of redemption requires it, as where there was most done towards this world, and most to typify Christ and prepare the way for him. Thus the Scripture history is very large in the history of Abraham and the other patriarchs, but very short in the account we have of the time the children of Israel spent in Egypt. So again, the Scripture history is large and particular in the account of the redemption out of Egypt, and the first settling the affairs of the Jewish church and nation in Moses' and Joshua's time, and much shorter in the account of the times of the judges. So again, the Scripture is large and particular in the account of David's and Solomon's time, and then very short in the history of ensuing reigns.</w:t>
      </w:r>
      <w:r>
        <w:rPr>
          <w:rStyle w:val="FootnoteReference"/>
        </w:rPr>
        <w:footnoteReference w:id="1039"/>
      </w:r>
      <w:r>
        <w:t xml:space="preserve"> So the accounts are large or short just as there is more or less of the affair of redemption to be seen in them.</w:t>
      </w:r>
    </w:p>
    <w:p>
      <w:pPr>
        <w:pStyle w:val="BodyText"/>
      </w:pPr>
      <w:r>
        <w:t xml:space="preserve">5.</w:t>
      </w:r>
      <w:r>
        <w:rPr>
          <w:rStyle w:val="FootnoteReference"/>
        </w:rPr>
        <w:footnoteReference w:id="1040"/>
      </w:r>
      <w:r>
        <w:t xml:space="preserve"> From what has been said we may see here that Christ and his redemption are the great subject of the whole Bible. Concerning the New Testament the matter is plain, but by what has been said on this subject hitherto it appears to be so also with the Old Testament. Christ and his redemption is the great subject of the prophecies of the Old Testament, as has been shown. It has also been shown how</w:t>
      </w:r>
    </w:p>
    <w:p>
      <w:pPr>
        <w:pStyle w:val="SourcePage"/>
      </w:pPr>
      <w:r>
        <w:t xml:space="preserve">[p. 290]</w:t>
      </w:r>
    </w:p>
    <w:p>
      <w:pPr>
        <w:pStyle w:val="BodyText"/>
      </w:pPr>
      <w:r>
        <w:t xml:space="preserve">that he is the great subject of the songs of the Old Testament, and the moral rules and precepts of it are all given in subordination to him. And Christ and his redemption is also the great subject of the history of the Old Testament, from the beginning all along, and even the history of the creation is brought as introduction to the history of redemption that immediately follows it. The whole book, both Old Testament and New, is filled up with gospel, only with this difference, that the Old Testament contains the gospel under a veil, but the New contains it unveiled, so that we may see the glory of the Lord with "open face."</w:t>
      </w:r>
      <w:r>
        <w:rPr>
          <w:rStyle w:val="FootnoteReference"/>
        </w:rPr>
        <w:footnoteReference w:id="1041"/>
      </w:r>
    </w:p>
    <w:p>
      <w:pPr>
        <w:pStyle w:val="BodyText"/>
      </w:pPr>
      <w:r>
        <w:rPr>
          <w:rStyle w:val="FootnoteReference"/>
        </w:rPr>
        <w:footnoteReference w:id="1042"/>
      </w:r>
      <w:r>
        <w:t xml:space="preserve">6.</w:t>
      </w:r>
      <w:r>
        <w:rPr>
          <w:rStyle w:val="FootnoteReference"/>
        </w:rPr>
        <w:footnoteReference w:id="1043"/>
      </w:r>
      <w:r>
        <w:t xml:space="preserve"> By what has been said we may see the usefulness and excellency of the Old Testament. Some are ready to look on the Old Testament as being, as it were, out of date and as if we in these days of the gospel had but little to do with it; which is a very great mistake, arising from want of observing the nature and design of the Old Testament, which if it was observed it would appear full of the gospel of Christ, and would in an excellent manner illustrate and confirm the glorious doctrines and promises of the New Testament. Those parts of the Old Testament which are commonly looked upon as containing the least divine instruction are, as it were, as mines and treasures of gospel knowledge, and the reason why they are thought to contain so little is because persons do but superficially read them. The treasures that are hid underneath are not observed. They only look on the top of the ground, and so suddenly pass a judgment that there is nothing there, but they never dig into the mine; if they did they would find it richly stored with silver and gold, and would be abundantly</w:t>
      </w:r>
      <w:r>
        <w:rPr>
          <w:rStyle w:val="FootnoteReference"/>
        </w:rPr>
        <w:footnoteReference w:id="1044"/>
      </w:r>
      <w:r>
        <w:t xml:space="preserve"> requited for their labors.</w:t>
      </w:r>
    </w:p>
    <w:p>
      <w:pPr>
        <w:pStyle w:val="BodyText"/>
      </w:pPr>
      <w:r>
        <w:t xml:space="preserve">What has been said may show us what a precious treasure God has committed into our hands in that he has given us the Bible. How little do most persons consider how much they enjoy in that they have the possession of that holy book the Bible which they have in their hearts and may converse with as they please. What an excellent book is this, and how far exceeding all human writings: that reveals God to us and gives us a view of the grand design and glorious scheme of his providence, from the beginning to the end of the world, either in history or prophecy, that reveals the great Redeemer and his glorious</w:t>
      </w:r>
    </w:p>
    <w:p>
      <w:pPr>
        <w:pStyle w:val="SourcePage"/>
      </w:pPr>
      <w:r>
        <w:t xml:space="preserve">[p. 291]</w:t>
      </w:r>
    </w:p>
    <w:p>
      <w:pPr>
        <w:pStyle w:val="BodyText"/>
      </w:pPr>
      <w:r>
        <w:t xml:space="preserve">redemption, and the various steps by which God accomplishes it from the first foundation to the topstone. Shall we prize a history that gives us a clear account of some great earthly prince or mighty warrior, as of Alexander the Great or Julius Caesar, or the duke of Marlborough, and shall we not prize the history that God has given us of the glorious kingdom of his</w:t>
      </w:r>
      <w:r>
        <w:rPr>
          <w:rStyle w:val="FootnoteReference"/>
        </w:rPr>
        <w:footnoteReference w:id="1045"/>
      </w:r>
      <w:r>
        <w:t xml:space="preserve"> son, Jesus Christ, the prince and savior of the world, and the wars and other great transactions of that king of kings and lord of armies,</w:t>
      </w:r>
      <w:r>
        <w:rPr>
          <w:rStyle w:val="FootnoteReference"/>
        </w:rPr>
        <w:footnoteReference w:id="1046"/>
      </w:r>
      <w:r>
        <w:t xml:space="preserve"> the lord mighty in battle, the history of the things he has wrought for the redemption of his chosen people.</w:t>
      </w:r>
    </w:p>
    <w:p>
      <w:pPr>
        <w:pStyle w:val="BodyText"/>
      </w:pPr>
      <w:r>
        <w:t xml:space="preserve">7.</w:t>
      </w:r>
      <w:r>
        <w:rPr>
          <w:rStyle w:val="FootnoteReference"/>
        </w:rPr>
        <w:footnoteReference w:id="1047"/>
      </w:r>
      <w:r>
        <w:t xml:space="preserve"> What has been said may make us sensible how much most persons are to blame for their inattentive, unobservant way of reading the Scriptures. How much does the Scripture contain if it was but observed the Bible is the most comprehensive book in the world. But what will all this signify to us if we read it without observing what is the drift of the Holy Ghost in it. The psalmist, Psalms 119:18, </w:t>
      </w:r>
      <w:r>
        <w:rPr>
          <w:rStyle w:val="FootnoteReference"/>
        </w:rPr>
        <w:footnoteReference w:id="1048"/>
      </w:r>
      <w:r>
        <w:t xml:space="preserve"> begs of God, that he would enlighten his eyes that he might "behold wondrous things come of his law." The Scripture is full of wondrous things. Those histories that are commonly read as if they were only histories of the private concerns of such and such particular persons, such as the histories of Abraham, Isaac, and Jacob, and Joseph, and the history of Ruth, and the histories of particular lawgivers and</w:t>
      </w:r>
      <w:r>
        <w:rPr>
          <w:rStyle w:val="FootnoteReference"/>
        </w:rPr>
        <w:footnoteReference w:id="1049"/>
      </w:r>
      <w:r>
        <w:t xml:space="preserve"> princes, as the history of Joshua and the judges, and David and other Israelitish princes, are accounts of vastly greater things, things of greater importance and more extensive concernment than they that read them are commonly aware of. Scripture histories are very commonly read as if they were stories written only to entertain men's fancies, and to while away their leisure hours, when the infinitely great things contained or pointed at in them are passed over and never taken notice of.</w:t>
      </w:r>
    </w:p>
    <w:p>
      <w:pPr>
        <w:pStyle w:val="BodyText"/>
      </w:pPr>
      <w:r>
        <w:t xml:space="preserve">Whatever treasures the Scriptures contain we shall be never the better for them if we don't observe what is there. He that has a Bible, and don't observe what is contained [in] it, is like a man that has a box full of silver and gold, and don't know it, don't observe that it is anything more than a vessel filled with common stones. As long as it is thus with him, he'll be never the better for his treasure. For he that</w:t>
      </w:r>
    </w:p>
    <w:p>
      <w:pPr>
        <w:pStyle w:val="SourcePage"/>
      </w:pPr>
      <w:r>
        <w:t xml:space="preserve">[p. 292]</w:t>
      </w:r>
    </w:p>
    <w:p>
      <w:pPr>
        <w:pStyle w:val="BodyText"/>
      </w:pPr>
      <w:r>
        <w:t xml:space="preserve">don't know</w:t>
      </w:r>
      <w:r>
        <w:rPr>
          <w:rStyle w:val="FootnoteReference"/>
        </w:rPr>
        <w:footnoteReference w:id="1050"/>
      </w:r>
      <w:r>
        <w:t xml:space="preserve"> he has a treasure will never make use of what he had, and so had as good be without it. He that has plenty of the choicest food stored up in his house and don't know it, will never taste what he has and will be as likely to starve as if his house were empty.</w:t>
      </w:r>
    </w:p>
    <w:p>
      <w:pPr>
        <w:pStyle w:val="BodyText"/>
      </w:pPr>
      <w:r>
        <w:t xml:space="preserve">8.</w:t>
      </w:r>
      <w:r>
        <w:rPr>
          <w:rStyle w:val="FootnoteReference"/>
        </w:rPr>
        <w:footnoteReference w:id="1051"/>
      </w:r>
      <w:r>
        <w:t xml:space="preserve"> What has been said may show us how great a person Jesus Christ is, and how great</w:t>
      </w:r>
      <w:r>
        <w:rPr>
          <w:rStyle w:val="FootnoteReference"/>
        </w:rPr>
        <w:footnoteReference w:id="1052"/>
      </w:r>
      <w:r>
        <w:t xml:space="preserve"> an errand he came upon, seeing there was so much done to prepare the way for his coming. God had been doing nothing else but prepare the way for his coming, and doing the work he had to do in the world, through all ages of the world from</w:t>
      </w:r>
      <w:r>
        <w:rPr>
          <w:rStyle w:val="FootnoteReference"/>
        </w:rPr>
        <w:footnoteReference w:id="1053"/>
      </w:r>
      <w:r>
        <w:t xml:space="preserve"> the very beginning.</w:t>
      </w:r>
    </w:p>
    <w:p>
      <w:pPr>
        <w:pStyle w:val="BodyText"/>
      </w:pPr>
      <w:r>
        <w:t xml:space="preserve">If we had notice of a certain stranger's being about to come into a country, and should observe that great preparation was made for his coming, that many months were taken up in it, and great things were done: many great alterations were made in the state of the whole country, and that many hands were employed, and persons of great note engaged therein,</w:t>
      </w:r>
      <w:r>
        <w:rPr>
          <w:rStyle w:val="FootnoteReference"/>
        </w:rPr>
        <w:footnoteReference w:id="1054"/>
      </w:r>
      <w:r>
        <w:t xml:space="preserve"> and were taken up in making preparation for the coming of this person, and the whole country was overturned, and all the affairs and concerns of that country were ordered so as to be subservient to the design of entertaining that person when he should come, it would be natural for us to think with ourselves, why surely this person is some extraordinary person indeed, and 'tis some very great business that he is coming about.</w:t>
      </w:r>
    </w:p>
    <w:p>
      <w:pPr>
        <w:pStyle w:val="BodyText"/>
      </w:pPr>
      <w:r>
        <w:t xml:space="preserve">How great a person then must he be for whose coming into the world the great God of heaven and earth, and governor of all things, spent four thousand years in preparing the way for his coming, going about it soon after the world was created, and from age to age doing great things, bringing mighty events to pass, accomplishing wonders without number, often overturning the world in order to it, and causing everything in the state of mankind, and all revolutions and changes in the habitable world, from generation to generation, to be subservient to this great design. Surely this must be some great and extraordinary person</w:t>
      </w:r>
      <w:r>
        <w:rPr>
          <w:rStyle w:val="FootnoteReference"/>
        </w:rPr>
        <w:footnoteReference w:id="1055"/>
      </w:r>
      <w:r>
        <w:t xml:space="preserve"> indeed, and a great work indeed it must needs be, that he is coming about.</w:t>
      </w:r>
    </w:p>
    <w:p>
      <w:pPr>
        <w:pStyle w:val="SourcePage"/>
      </w:pPr>
      <w:r>
        <w:t xml:space="preserve">[p. 293]</w:t>
      </w:r>
    </w:p>
    <w:p>
      <w:pPr>
        <w:pStyle w:val="BodyText"/>
      </w:pPr>
      <w:r>
        <w:t xml:space="preserve">We read, Matthew 21:8–10, that when Christ was coming into Jerusalem, and the multitudes ran before him, and cut down branches of palm trees and strewed them in the way, and others spread their garments in the way, and cried, "Hosannah to the son of David," that the whole city was moved saying, "Who is this." They wondered who that extraordinary person should be; that there should be such an ado made on occasion of his coming into the city, and to prepare the way before him. But if we could [know] what has been said on this subject, what great things had been done in all ages to prepare the way for Christ's coming into the world, and how the world had often overturned to make way for it, much more may we cry out, "Who it is, What great person is this," and say, as Psalms 24:8, Psalms 24:10, "Who is this King of glory" that God should show such respect and put such vast honor upon. Surely this person is honorable indeed in God's eyes and greatly beloved of him, and surely 'tis a great errand that he is sent into the world upon.</w:t>
      </w:r>
    </w:p>
    <w:p>
      <w:pPr>
        <w:pStyle w:val="SourcePage"/>
      </w:pPr>
      <w:r>
        <w:t xml:space="preserve">[p. 294]</w:t>
      </w:r>
    </w:p>
    <w:p>
      <w:pPr>
        <w:pStyle w:val="Heading2"/>
      </w:pPr>
      <w:bookmarkStart w:name="heading_no_5_sermon_fourteen" w:id="57"/>
      <w:r>
        <w:t xml:space="preserve">No. 5: SERMON FOURTEEN</w:t>
      </w:r>
      <w:bookmarkEnd w:id="57"/>
    </w:p>
    <w:p>
      <w:pPr>
        <w:pStyle w:val="BodyText"/>
      </w:pPr>
      <w:r>
        <w:rPr>
          <w:rStyle w:val="FootnoteReference"/>
        </w:rPr>
        <w:footnoteReference w:id="1056"/>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13" w:id="58"/>
      <w:r>
        <w:t xml:space="preserve">DOCTRINE</w:t>
      </w:r>
      <w:bookmarkEnd w:id="58"/>
    </w:p>
    <w:p>
      <w:pPr>
        <w:pStyle w:val="BlockQuote"/>
      </w:pPr>
      <w:r>
        <w:rPr>
          <w:i/>
          <w:iCs/>
        </w:rPr>
        <w:t xml:space="preserve">[The Work of Redemption is a work that God carries on from the fall of man to the end of the world.]</w:t>
      </w:r>
      <w:r>
        <w:rPr>
          <w:rStyle w:val="FootnoteReference"/>
        </w:rPr>
        <w:footnoteReference w:id="1057"/>
      </w:r>
    </w:p>
    <w:p>
      <w:pPr>
        <w:pStyle w:val="BodyText"/>
      </w:pPr>
      <w:r>
        <w:t xml:space="preserve">HAVING shown how the Work of Redemption was carried on through the first [period (from the fall of man to the incarnation of Christ)]</w:t>
      </w:r>
      <w:r>
        <w:rPr>
          <w:rStyle w:val="FootnoteReference"/>
        </w:rPr>
        <w:footnoteReference w:id="1058"/>
      </w:r>
      <w:r>
        <w:t xml:space="preserve"> from the first proposition, I come now to the second period, viz. the time of Christ's humiliation or the space from the incarnation of Christ to his resurrection. And we are now come to the most remarkable article of time that ever was or ever will be. Though it was but between thirty and forty years, yet more was done in it than had been done from the beginning of the world to that time. We have observed that all [things] that had been done before were only preparatory for what was done now, and it may also be observed that all that was done before the beginning of time in the eternal counsels of God, and</w:t>
      </w:r>
      <w:r>
        <w:rPr>
          <w:rStyle w:val="FootnoteReference"/>
        </w:rPr>
        <w:footnoteReference w:id="1059"/>
      </w:r>
      <w:r>
        <w:t xml:space="preserve"> that eternal transaction there was between the persons of the Trinity, chiefly respected this period.</w:t>
      </w:r>
    </w:p>
    <w:p>
      <w:pPr>
        <w:pStyle w:val="BodyText"/>
      </w:pPr>
      <w:r>
        <w:t xml:space="preserve">II.</w:t>
      </w:r>
      <w:r>
        <w:rPr>
          <w:rStyle w:val="FootnoteReference"/>
        </w:rPr>
        <w:footnoteReference w:id="1060"/>
      </w:r>
      <w:r>
        <w:t xml:space="preserve"> The [second] proposition, viz. that during [the] time of Christ's</w:t>
      </w:r>
    </w:p>
    <w:p>
      <w:pPr>
        <w:pStyle w:val="SourcePage"/>
      </w:pPr>
      <w:r>
        <w:t xml:space="preserve">[p. 295]</w:t>
      </w:r>
    </w:p>
    <w:p>
      <w:pPr>
        <w:pStyle w:val="BodyText"/>
      </w:pPr>
      <w:r>
        <w:t xml:space="preserve">humiliation, from his incarnation to his resurrection, the purchase of redemption was made.</w:t>
      </w:r>
    </w:p>
    <w:p>
      <w:pPr>
        <w:pStyle w:val="BodyText"/>
      </w:pPr>
      <w:r>
        <w:t xml:space="preserve">Though there were many things done in the affair of redemption from the fall of man to this time, millions of sacrifices had been offered, yet there was nothing done to purchase redemption. And before Christ's incarnation, no part of the purchase was made, no part of the price was offered till now. But as soon as Christ was incarnate, then the purchase began immediately without any delay. And the whole time of Christ's humiliation, from the morning that Christ began to be incarnate till the morning that he rose from the dead, was taken up in this purchase. And then the purchase was entirely and completely finished. As nothing was done before Christ's incarnation, so nothing was done after his resurrection</w:t>
      </w:r>
      <w:r>
        <w:rPr>
          <w:rStyle w:val="FootnoteReference"/>
        </w:rPr>
        <w:footnoteReference w:id="1061"/>
      </w:r>
      <w:r>
        <w:t xml:space="preserve"> to purchase redemption for men. Nor will there ever be anything more done to all eternity. But that very morn that the human nature of Christ ceased to remain under the power of death, the utmost farthing was paid of the price of the salvation of every one of the elect.</w:t>
      </w:r>
    </w:p>
    <w:p>
      <w:pPr>
        <w:pStyle w:val="BodyText"/>
      </w:pPr>
      <w:r>
        <w:t xml:space="preserve">But for the more orderly and regular consideration of the great things done by our Redeemer to purchase redemption for us, I would 1. speak of Christ becoming incarnate to capacitate himself for this purchase, and 2. I would speak of the purchase itself.</w:t>
      </w:r>
    </w:p>
    <w:p>
      <w:pPr>
        <w:pStyle w:val="BodyText"/>
      </w:pPr>
      <w:r>
        <w:t xml:space="preserve">First,</w:t>
      </w:r>
      <w:r>
        <w:rPr>
          <w:rStyle w:val="FootnoteReference"/>
        </w:rPr>
        <w:footnoteReference w:id="1062"/>
      </w:r>
      <w:r>
        <w:t xml:space="preserve"> I would consider Christ's coming into the world, or his taking upon him our nature, to put himself in a capacity to purchase redemption for us.</w:t>
      </w:r>
    </w:p>
    <w:p>
      <w:pPr>
        <w:pStyle w:val="BodyText"/>
      </w:pPr>
      <w:r>
        <w:t xml:space="preserve">Christ became incarnate or, which is the same thing, became man to put himself in a capacity for the working out our redemption. For though Christ as God was infinitely sufficient for the work, yet viewed as to his being in an immediate capacity for it, it was needful that he should</w:t>
      </w:r>
      <w:r>
        <w:rPr>
          <w:rStyle w:val="FootnoteReference"/>
        </w:rPr>
        <w:footnoteReference w:id="1063"/>
      </w:r>
      <w:r>
        <w:t xml:space="preserve"> not only be God but man.</w:t>
      </w:r>
      <w:r>
        <w:rPr>
          <w:rStyle w:val="FootnoteReference"/>
        </w:rPr>
        <w:footnoteReference w:id="1064"/>
      </w:r>
      <w:r>
        <w:t xml:space="preserve"> If Christ had remained only in the divine nature, he would not have been in a capacity to have purchased our salvation, not from any imperfection of the divine nature, but by reason of its absolute and infinite perfection. For Christ merely as God was not capable either of that obedience or suffering that was needful. The divine nature is not capable of suffering, for it is impassable</w:t>
      </w:r>
    </w:p>
    <w:p>
      <w:pPr>
        <w:pStyle w:val="SourcePage"/>
      </w:pPr>
      <w:r>
        <w:t xml:space="preserve">[p. 296]</w:t>
      </w:r>
    </w:p>
    <w:p>
      <w:pPr>
        <w:pStyle w:val="BodyText"/>
      </w:pPr>
      <w:r>
        <w:t xml:space="preserve">and infinitely above all suffering; neither is it capable of obedience to that law that was given to man. 'Tis as impossible that one that is only God should obey the law that was given to man as 'tis that he should suffer man's punishment.</w:t>
      </w:r>
    </w:p>
    <w:p>
      <w:pPr>
        <w:pStyle w:val="BodyText"/>
      </w:pPr>
      <w:r>
        <w:t xml:space="preserve">And</w:t>
      </w:r>
      <w:r>
        <w:rPr>
          <w:rStyle w:val="FootnoteReference"/>
        </w:rPr>
        <w:footnoteReference w:id="1065"/>
      </w:r>
      <w:r>
        <w:t xml:space="preserve"> it was necessary not only that Christ should take upon him a created nature but that he should take [upon] him our nature. It would not have sufficed for us for Christ to have become an angel, and to have obeyed and suffered in the angelic nature. But it was needful</w:t>
      </w:r>
      <w:r>
        <w:rPr>
          <w:rStyle w:val="FootnoteReference"/>
        </w:rPr>
        <w:footnoteReference w:id="1066"/>
      </w:r>
      <w:r>
        <w:t xml:space="preserve"> that he should become a man, and that upon three accounts.</w:t>
      </w:r>
    </w:p>
    <w:p>
      <w:pPr>
        <w:pStyle w:val="BodyText"/>
      </w:pPr>
      <w:r>
        <w:t xml:space="preserve">1.</w:t>
      </w:r>
      <w:r>
        <w:rPr>
          <w:rStyle w:val="FootnoteReference"/>
        </w:rPr>
        <w:footnoteReference w:id="1067"/>
      </w:r>
      <w:r>
        <w:t xml:space="preserve"> It was needful to answer the law that that nature should obey the law to which the law was given. Man's law could not be answered but by being obeyed by man. God insisted upon it that the law that he had given to man should be honored and submitted to and fulfilled by the nature of men; otherwise the law could not be answered for men. The words that were spoken, "thou shalt not eat thereof," "thou shalt" or "thou shalt not" do thus or thus, were spoken to the race of mankind,</w:t>
      </w:r>
      <w:r>
        <w:rPr>
          <w:rStyle w:val="FootnoteReference"/>
        </w:rPr>
        <w:footnoteReference w:id="1068"/>
      </w:r>
      <w:r>
        <w:t xml:space="preserve"> to that human nature, and therefore the human nature must fulfill them.</w:t>
      </w:r>
    </w:p>
    <w:p>
      <w:pPr>
        <w:pStyle w:val="BodyText"/>
      </w:pPr>
      <w:r>
        <w:t xml:space="preserve">2.</w:t>
      </w:r>
      <w:r>
        <w:rPr>
          <w:rStyle w:val="FootnoteReference"/>
        </w:rPr>
        <w:footnoteReference w:id="1069"/>
      </w:r>
      <w:r>
        <w:t xml:space="preserve"> It was needful to answer the law that the same nature that sinned should die. These words, "Thou shalt surely die,"</w:t>
      </w:r>
      <w:r>
        <w:rPr>
          <w:rStyle w:val="FootnoteReference"/>
        </w:rPr>
        <w:footnoteReference w:id="1070"/>
      </w:r>
      <w:r>
        <w:t xml:space="preserve"> respect the human nature; the same nature to which the command was given was the nature to whom the threatening was directed.</w:t>
      </w:r>
    </w:p>
    <w:p>
      <w:pPr>
        <w:pStyle w:val="BodyText"/>
      </w:pPr>
      <w:r>
        <w:t xml:space="preserve">3.</w:t>
      </w:r>
      <w:r>
        <w:rPr>
          <w:rStyle w:val="FootnoteReference"/>
        </w:rPr>
        <w:footnoteReference w:id="1071"/>
      </w:r>
      <w:r>
        <w:t xml:space="preserve"> God saw need that the same world that was the stage of man's fall and ruin should also be the stage</w:t>
      </w:r>
      <w:r>
        <w:rPr>
          <w:rStyle w:val="FootnoteReference"/>
        </w:rPr>
        <w:footnoteReference w:id="1072"/>
      </w:r>
      <w:r>
        <w:t xml:space="preserve"> of his redemption. We read often of Christ's coming into the world to save sinners, and God's sending of him into the world. It was needful that he should come into this sinful, miserable, and undone world to restore and save it. In order to man's recovery it was needful that he should come to man, to the world that was his proper habitation, and that [he] should tabernacle with us, John 1:14, "The Word was made flesh, and dwelt with us."</w:t>
      </w:r>
    </w:p>
    <w:p>
      <w:pPr>
        <w:pStyle w:val="SourcePage"/>
      </w:pPr>
      <w:r>
        <w:t xml:space="preserve">[p. 297]</w:t>
      </w:r>
    </w:p>
    <w:p>
      <w:pPr>
        <w:pStyle w:val="BodyText"/>
      </w:pPr>
      <w:r>
        <w:t xml:space="preserve">Concerning</w:t>
      </w:r>
      <w:r>
        <w:rPr>
          <w:rStyle w:val="FootnoteReference"/>
        </w:rPr>
        <w:footnoteReference w:id="1073"/>
      </w:r>
      <w:r>
        <w:t xml:space="preserve"> the incarnation of Christ, I would observe these following things.</w:t>
      </w:r>
    </w:p>
    <w:p>
      <w:pPr>
        <w:pStyle w:val="BodyText"/>
      </w:pPr>
      <w:r>
        <w:t xml:space="preserve">1.</w:t>
      </w:r>
      <w:r>
        <w:rPr>
          <w:rStyle w:val="FootnoteReference"/>
        </w:rPr>
        <w:footnoteReference w:id="1074"/>
      </w:r>
      <w:r>
        <w:t xml:space="preserve"> The incarnation itself in which especially two things are to be considered, viz.</w:t>
      </w:r>
    </w:p>
    <w:p>
      <w:pPr>
        <w:pStyle w:val="BodyText"/>
      </w:pPr>
      <w:r>
        <w:t xml:space="preserve">1.</w:t>
      </w:r>
      <w:r>
        <w:rPr>
          <w:rStyle w:val="FootnoteReference"/>
        </w:rPr>
        <w:footnoteReference w:id="1075"/>
      </w:r>
      <w:r>
        <w:t xml:space="preserve"> His conception, which was in the womb of one of the race of mankind, whereby he became truly the son of man, as he was often called. He was one of the posterity of Adam, and a child of Abraham, and a son of David, according to God's promise.</w:t>
      </w:r>
      <w:r>
        <w:rPr>
          <w:rStyle w:val="FootnoteReference"/>
        </w:rPr>
        <w:footnoteReference w:id="1076"/>
      </w:r>
      <w:r>
        <w:t xml:space="preserve"> But his conception was not in the way of ordinary generation, but by the power of the Holy Ghost. Christ was formed in the womb of the virgin, of the substance of her body, by the power of the Spirit of God. So that he was the immediate son of the woman, but not the immediate son of any male whatsoever; and so was the seed of the woman, and the son of a virgin, one that had never known man.</w:t>
      </w:r>
    </w:p>
    <w:p>
      <w:pPr>
        <w:pStyle w:val="BodyText"/>
      </w:pPr>
      <w:r>
        <w:t xml:space="preserve">2.</w:t>
      </w:r>
      <w:r>
        <w:rPr>
          <w:rStyle w:val="FootnoteReference"/>
        </w:rPr>
        <w:footnoteReference w:id="1077"/>
      </w:r>
      <w:r>
        <w:t xml:space="preserve"> His birth. Though the conception of Christ was supernatural, yet after he was conceived, and so the incarnation of Christ began, his human nature was gradually perfected in the womb of the virgin in a way of natural progress, and so his birth was in the way of nature. But his conception being supernatural, by the power of the Holy Ghost, he was both conceived and born without sin.</w:t>
      </w:r>
    </w:p>
    <w:p>
      <w:pPr>
        <w:pStyle w:val="BodyText"/>
      </w:pPr>
      <w:r>
        <w:t xml:space="preserve">2.</w:t>
      </w:r>
      <w:r>
        <w:rPr>
          <w:rStyle w:val="FootnoteReference"/>
        </w:rPr>
        <w:footnoteReference w:id="1078"/>
      </w:r>
      <w:r>
        <w:t xml:space="preserve"> The second thing I would observe concerning the incarnation of Christ is the fullness of the time in which it was accomplished; it was after things had been preparing for it from the very first</w:t>
      </w:r>
      <w:r>
        <w:rPr>
          <w:rStyle w:val="FootnoteReference"/>
        </w:rPr>
        <w:footnoteReference w:id="1079"/>
      </w:r>
      <w:r>
        <w:t xml:space="preserve"> fall of mankind, and when all things were ready. It came to pass at a time which, in the eyes of infinite wisdom, was the most fit and proper season, Galatians 4:4, "But when the fullness of time was come, God sent forth his Son, made of a woman, made under the law."</w:t>
      </w:r>
    </w:p>
    <w:p>
      <w:pPr>
        <w:pStyle w:val="BodyText"/>
      </w:pPr>
      <w:r>
        <w:t xml:space="preserve">It was now the most proper time on every account. Any time before the flood would not have been so fit a time, for then the mischief and ruin that the fall brought on mankind was not so fully seen; the curse did not so fully come on the earth before the flood as it did afterwards. For though the ground was cursed in a great measure before, yet it pleased God that the curse should once, before the restoration</w:t>
      </w:r>
    </w:p>
    <w:p>
      <w:pPr>
        <w:pStyle w:val="SourcePage"/>
      </w:pPr>
      <w:r>
        <w:t xml:space="preserve">[p. 298]</w:t>
      </w:r>
    </w:p>
    <w:p>
      <w:pPr>
        <w:pStyle w:val="BodyText"/>
      </w:pPr>
      <w:r>
        <w:t xml:space="preserve">by Christ, be executed in an universal overthrow, as it were, of the very frame of the earth, that the dire effects of the fall might once in such a way be seen before the recovery by Christ. Though mankind were mortal before the flood, yet their lives were the bigger part of a thousand years long, a kind of immortality in comparison of what the life of man is now. It pleased God that that curse, "Dust thou art, [and unto dust shalt thou return],"</w:t>
      </w:r>
      <w:r>
        <w:rPr>
          <w:rStyle w:val="FootnoteReference"/>
        </w:rPr>
        <w:footnoteReference w:id="1080"/>
      </w:r>
      <w:r>
        <w:t xml:space="preserve"> should have its full accomplishment, and be executed in its greatest degree, on mankind before the Redeemer came to purchase a never-ending life for man.</w:t>
      </w:r>
    </w:p>
    <w:p>
      <w:pPr>
        <w:pStyle w:val="BodyText"/>
      </w:pPr>
      <w:r>
        <w:t xml:space="preserve">It would not have been so fit a time for Christ to come after the flood before Moses' time, for till then mankind was not so universally apostatized from the true God. They were not fallen universally into heathenish darkness, and so the need of Christ, the light of the world was not so evident. And then the woeful consequence of the fall with respect to man's mortality was not so fully manifest till then, for man's life was not so shortened as to be reduced to the present standard till about Moses' time.</w:t>
      </w:r>
    </w:p>
    <w:p>
      <w:pPr>
        <w:pStyle w:val="BodyText"/>
      </w:pPr>
      <w:r>
        <w:t xml:space="preserve">It was most fit that the time of the messiah's coming should not be till many ages after Moses' time, till all other nations but the children</w:t>
      </w:r>
      <w:r>
        <w:rPr>
          <w:rStyle w:val="FootnoteReference"/>
        </w:rPr>
        <w:footnoteReference w:id="1081"/>
      </w:r>
      <w:r>
        <w:t xml:space="preserve"> of Israel had lain long in heathenish darkness, that the remedilessness of their disease might by long experience be seen, and so the absolute necessity of the heavenly physician before he come.</w:t>
      </w:r>
    </w:p>
    <w:p>
      <w:pPr>
        <w:pStyle w:val="BodyText"/>
      </w:pPr>
      <w:r>
        <w:t xml:space="preserve">Another reason—why not soon after the flood—</w:t>
      </w:r>
      <w:r>
        <w:rPr>
          <w:rStyle w:val="FootnoteReference"/>
        </w:rPr>
        <w:footnoteReference w:id="1082"/>
      </w:r>
      <w:r>
        <w:t xml:space="preserve"> was that the earth might be full of people, that Christ might have the more extensive kingdom, that the effects of his light, and power, and grace might be glory, and his victory over Satan the more glory; and in the multitude of his conquests.</w:t>
      </w:r>
    </w:p>
    <w:p>
      <w:pPr>
        <w:pStyle w:val="BodyText"/>
      </w:pPr>
      <w:r>
        <w:t xml:space="preserve">It was needful it should be many ages after Moses, that the church might be prepared that was formed by Moses, by the messiah's being long prefigured, many ways foretold, long expected.—Not before the Babylonish captivity; Satan's kingdom [had]</w:t>
      </w:r>
      <w:r>
        <w:rPr>
          <w:rStyle w:val="FootnoteReference"/>
        </w:rPr>
        <w:footnoteReference w:id="1083"/>
      </w:r>
      <w:r>
        <w:t xml:space="preserve"> not come to the height: [the] heathen world or Satan's kingdom. God saw meet that it should be in the time of one of the four great monarchies.—Not in the time of the Babylonish monarchy; it was God's will that several should follow one another,</w:t>
      </w:r>
      <w:r>
        <w:rPr>
          <w:rStyle w:val="FootnoteReference"/>
        </w:rPr>
        <w:footnoteReference w:id="1084"/>
      </w:r>
      <w:r>
        <w:t xml:space="preserve"> that it should be in the time of the last and appear</w:t>
      </w:r>
    </w:p>
    <w:p>
      <w:pPr>
        <w:pStyle w:val="SourcePage"/>
      </w:pPr>
      <w:r>
        <w:t xml:space="preserve">[p. 299]</w:t>
      </w:r>
    </w:p>
    <w:p>
      <w:pPr>
        <w:pStyle w:val="BodyText"/>
      </w:pPr>
      <w:r>
        <w:t xml:space="preserve">above 'em all. [The] Persian [monarchy] by overcoming the Babylonian appeared above that; [the Grecian monarchy appeared above the Persian; but Christ came under the Roman],</w:t>
      </w:r>
      <w:r>
        <w:rPr>
          <w:rStyle w:val="FootnoteReference"/>
        </w:rPr>
        <w:footnoteReference w:id="1085"/>
      </w:r>
      <w:r>
        <w:t xml:space="preserve"> in the time of the greatest and strongest monarchy.—Not before [the] Babylonish captivity, for before this we han't histories of the state of the heathen world to give us an idea of the need ‹of a messiah›. And then besides, before that learning did not much flourish; and then before that, the Jews were not dispersed; and so things [were] not so prepared, the necessity of abolishing the dispensation [was] not so apparent. At the very time when [the] Roman monarchy [was] at the height, and many other things might be mentioned, by which it may appear that no other time before that ‹was it proper for Christ to come›.</w:t>
      </w:r>
    </w:p>
    <w:p>
      <w:pPr>
        <w:pStyle w:val="BodyText"/>
      </w:pPr>
      <w:r>
        <w:rPr>
          <w:rStyle w:val="FootnoteReference"/>
        </w:rPr>
        <w:footnoteReference w:id="1086"/>
      </w:r>
      <w:r>
        <w:t xml:space="preserve">3.</w:t>
      </w:r>
      <w:r>
        <w:rPr>
          <w:rStyle w:val="FootnoteReference"/>
        </w:rPr>
        <w:footnoteReference w:id="1087"/>
      </w:r>
      <w:r>
        <w:t xml:space="preserve"> The next thing I would observe concerning the incarnation of Christ is the greatness of this event. Christ's incarnation was a greater and more wonderful thing than ever had come to pass, and there was but one that ever came to pass greater; and that was the death of Christ which was afterwards. But Christ's incarnation was a greater thing than ever had come to pass before. The creation of the world was a very great thing, but not so great a thing as the incarnation of Christ. It was a great thing for God to make the creature, but not so great as for the Creator himself to become a creature. We have spoken of many great things that were accomplished from one age to another in the ages between the fall of man and the incarnation of Christ, but God's becoming man was a greater thing than they all. When Christ was born, the greatest person was born that ever was or ever will be born.</w:t>
      </w:r>
    </w:p>
    <w:p>
      <w:pPr>
        <w:pStyle w:val="BodyText"/>
      </w:pPr>
      <w:r>
        <w:rPr>
          <w:rStyle w:val="FootnoteReference"/>
        </w:rPr>
        <w:footnoteReference w:id="1088"/>
      </w:r>
      <w:r>
        <w:t xml:space="preserve">4.</w:t>
      </w:r>
      <w:r>
        <w:rPr>
          <w:rStyle w:val="FootnoteReference"/>
        </w:rPr>
        <w:footnoteReference w:id="1089"/>
      </w:r>
      <w:r>
        <w:t xml:space="preserve"> What I would next observe concerning the incarnation are the remarkable circumstances of it,</w:t>
      </w:r>
      <w:r>
        <w:rPr>
          <w:rStyle w:val="FootnoteReference"/>
        </w:rPr>
        <w:footnoteReference w:id="1090"/>
      </w:r>
      <w:r>
        <w:t xml:space="preserve"> such as his being born of a poor virgin. She was a pious holy person but poor, as appeared by her offering at her purification, Luke 2:24, Leviticus 12:2, Leviticus 12:6, 8.</w:t>
      </w:r>
      <w:r>
        <w:rPr>
          <w:rStyle w:val="FootnoteReference"/>
        </w:rPr>
        <w:footnoteReference w:id="1091"/>
      </w:r>
      <w:r>
        <w:t xml:space="preserve"> She was</w:t>
      </w:r>
    </w:p>
    <w:p>
      <w:pPr>
        <w:pStyle w:val="SourcePage"/>
      </w:pPr>
      <w:r>
        <w:t xml:space="preserve">[p. 300]</w:t>
      </w:r>
    </w:p>
    <w:p>
      <w:pPr>
        <w:pStyle w:val="BodyText"/>
      </w:pPr>
      <w:r>
        <w:t xml:space="preserve">espoused to an husband that was a poor man. Though they were both of the royal family of David, the most honorable family, and Joseph the rightful heir, yet the family was reduced to a very low state, which is represented by the tabernacle of David's being fallen or broken down, Amos 9:11, "In that day I will raise up the tabernacle [of David that is fallen, and close up the breaches thereof; and I will raise up his ruins, and I will build it as in the days of old]."</w:t>
      </w:r>
      <w:r>
        <w:rPr>
          <w:rStyle w:val="FootnoteReference"/>
        </w:rPr>
        <w:footnoteReference w:id="1092"/>
      </w:r>
      <w:r>
        <w:t xml:space="preserve"> He was born in the town of Bethlehem, as was foretold, and there was a very remarkable providence of God to bring about the fulfillment of this prophecy. He was born in a very low condition, even in a stable, and laid in a manger.</w:t>
      </w:r>
      <w:r>
        <w:rPr>
          <w:rStyle w:val="FootnoteReference"/>
        </w:rPr>
        <w:footnoteReference w:id="1093"/>
      </w:r>
    </w:p>
    <w:p>
      <w:pPr>
        <w:pStyle w:val="BodyText"/>
      </w:pPr>
      <w:r>
        <w:rPr>
          <w:rStyle w:val="FootnoteReference"/>
        </w:rPr>
        <w:footnoteReference w:id="1094"/>
      </w:r>
      <w:r>
        <w:t xml:space="preserve">5.</w:t>
      </w:r>
      <w:r>
        <w:rPr>
          <w:rStyle w:val="FootnoteReference"/>
        </w:rPr>
        <w:footnoteReference w:id="1095"/>
      </w:r>
      <w:r>
        <w:t xml:space="preserve"> I would observe the concomitants of this great event, or the remarkable events with which it was attended.</w:t>
      </w:r>
    </w:p>
    <w:p>
      <w:pPr>
        <w:pStyle w:val="BodyText"/>
      </w:pPr>
      <w:r>
        <w:t xml:space="preserve">And</w:t>
      </w:r>
      <w:r>
        <w:rPr>
          <w:rStyle w:val="FootnoteReference"/>
        </w:rPr>
        <w:footnoteReference w:id="1096"/>
      </w:r>
      <w:r>
        <w:t xml:space="preserve"> there the first thing I would take notice of that attended the incarnation of Christ was the return of the Spirit, which indeed began a little before the incarnation of Christ, but yet was an occasion of that as it was to reveal either his birth or the birth of his forerunner, of John the Baptist. I have before observed how the spirit of prophecy ceased not long after the book of Malachi was written. Visions and immediate revelations ceased. But now on this occasion it returns again. The first instance of its restoration that we have any account of is in the vision that Zacharias, the father of John the Baptist, had that we read of.</w:t>
      </w:r>
      <w:r>
        <w:rPr>
          <w:rStyle w:val="FootnoteReference"/>
        </w:rPr>
        <w:footnoteReference w:id="1097"/>
      </w:r>
      <w:r>
        <w:t xml:space="preserve"> The next was to the Virgin Mary, then to Joseph.</w:t>
      </w:r>
      <w:r>
        <w:rPr>
          <w:rStyle w:val="FootnoteReference"/>
        </w:rPr>
        <w:footnoteReference w:id="1098"/>
      </w:r>
      <w:r>
        <w:t xml:space="preserve"> The next is to Elisabeth, Luke 1:41. And the next is in the song of the blessed virgin.</w:t>
      </w:r>
      <w:r>
        <w:rPr>
          <w:rStyle w:val="FootnoteReference"/>
        </w:rPr>
        <w:footnoteReference w:id="1099"/>
      </w:r>
      <w:r>
        <w:t xml:space="preserve"> And in Zacharias again, Luke 1:64.</w:t>
      </w:r>
      <w:r>
        <w:rPr>
          <w:rStyle w:val="FootnoteReference"/>
        </w:rPr>
        <w:footnoteReference w:id="1100"/>
      </w:r>
      <w:r>
        <w:t xml:space="preserve"> And then to the shepherds, Luke 2:9. And then to Simeon, Luke 2:25. And then Anna, Luke 2:36.</w:t>
      </w:r>
      <w:r>
        <w:rPr>
          <w:rStyle w:val="FootnoteReference"/>
        </w:rPr>
        <w:footnoteReference w:id="1101"/>
      </w:r>
      <w:r>
        <w:t xml:space="preserve"> And then to the wise men in the east.</w:t>
      </w:r>
      <w:r>
        <w:rPr>
          <w:rStyle w:val="FootnoteReference"/>
        </w:rPr>
        <w:footnoteReference w:id="1102"/>
      </w:r>
      <w:r>
        <w:t xml:space="preserve"> And then to Joseph, again directing him to flee into Egypt, and after that directing his return.</w:t>
      </w:r>
      <w:r>
        <w:rPr>
          <w:rStyle w:val="FootnoteReference"/>
        </w:rPr>
        <w:footnoteReference w:id="1103"/>
      </w:r>
    </w:p>
    <w:p>
      <w:pPr>
        <w:pStyle w:val="SourcePage"/>
      </w:pPr>
      <w:r>
        <w:t xml:space="preserve">[p. 301]</w:t>
      </w:r>
    </w:p>
    <w:p>
      <w:pPr>
        <w:pStyle w:val="BodyText"/>
      </w:pPr>
      <w:r>
        <w:t xml:space="preserve">2.</w:t>
      </w:r>
      <w:r>
        <w:rPr>
          <w:rStyle w:val="FootnoteReference"/>
        </w:rPr>
        <w:footnoteReference w:id="1104"/>
      </w:r>
      <w:r>
        <w:t xml:space="preserve"> The next concomitant of Christ's incarnation that I would observe is the great notice that was taken of it:</w:t>
      </w:r>
    </w:p>
    <w:p>
      <w:pPr>
        <w:pStyle w:val="BodyText"/>
      </w:pPr>
      <w:r>
        <w:t xml:space="preserve">1.</w:t>
      </w:r>
      <w:r>
        <w:rPr>
          <w:rStyle w:val="FootnoteReference"/>
        </w:rPr>
        <w:footnoteReference w:id="1105"/>
      </w:r>
      <w:r>
        <w:t xml:space="preserve"> In heaven by the glorious inhabitants of that world. This appears by their joyful songs on this occasion, heard by the shepherds in the night.</w:t>
      </w:r>
      <w:r>
        <w:rPr>
          <w:rStyle w:val="FootnoteReference"/>
        </w:rPr>
        <w:footnoteReference w:id="1106"/>
      </w:r>
      <w:r>
        <w:t xml:space="preserve"> This was the greatest event of providence that ever the angles beheld. We read of their singing praises when they saw the formation of this lower world, Job 38:7.</w:t>
      </w:r>
      <w:r>
        <w:rPr>
          <w:rStyle w:val="FootnoteReference"/>
        </w:rPr>
        <w:footnoteReference w:id="1107"/>
      </w:r>
      <w:r>
        <w:t xml:space="preserve"> As they sang praises then, so they do</w:t>
      </w:r>
      <w:r>
        <w:rPr>
          <w:rStyle w:val="FootnoteReference"/>
        </w:rPr>
        <w:footnoteReference w:id="1108"/>
      </w:r>
      <w:r>
        <w:t xml:space="preserve"> now on this much greater occasion of the birth of the Son of God who is the creator of the world. The glorious angels had all along expected this event. They had taken great notice of the prophecies and promises of these things all along, for we are told that the angels desire to look, 1 Peter 1:12. They had all along been the ministers of Christ in this affair of redemption, in the several stages of it down from the very fall of man. So we read that they were in God's dealings with Abraham; so they were [with] Jacob, covenanting with Israel at Mt. Sinai, and so from time to time. And doubtless [they] had joyfully expected the coming of Christ, but now they see it accomplished, and therefore greatly rejoice and sing praises on this occasion.</w:t>
      </w:r>
    </w:p>
    <w:p>
      <w:pPr>
        <w:pStyle w:val="BodyText"/>
      </w:pPr>
      <w:r>
        <w:t xml:space="preserve">2.</w:t>
      </w:r>
      <w:r>
        <w:rPr>
          <w:rStyle w:val="FootnoteReference"/>
        </w:rPr>
        <w:footnoteReference w:id="1109"/>
      </w:r>
      <w:r>
        <w:t xml:space="preserve"> We may observe the notice that was taken of it by some among the Jews, as particularly by Elisabeth and the Virgin Mary</w:t>
      </w:r>
      <w:r>
        <w:rPr>
          <w:rStyle w:val="FootnoteReference"/>
        </w:rPr>
        <w:footnoteReference w:id="1110"/>
      </w:r>
      <w:r>
        <w:t xml:space="preserve"> before the birth of Christ; not to say by John the Baptist before he was born when he leaped in his mother's womb, as it were, for joy at the voice of the salutation of Mary. But Elisabeth and Mary do most joyfully praise God together when they meet with Christ and his forerunner in their wombs, and the Holy Spirit in their souls.</w:t>
      </w:r>
      <w:r>
        <w:rPr>
          <w:rStyle w:val="FootnoteReference"/>
        </w:rPr>
        <w:footnoteReference w:id="1111"/>
      </w:r>
      <w:r>
        <w:t xml:space="preserve"> And afterwards what joyful notice is taken of this event by the shepherds, and by those holy persons, Zacharias and Simeon and Anna; how do they praise God on this occasion.</w:t>
      </w:r>
      <w:r>
        <w:rPr>
          <w:rStyle w:val="FootnoteReference"/>
        </w:rPr>
        <w:footnoteReference w:id="1112"/>
      </w:r>
      <w:r>
        <w:t xml:space="preserve"> Thus the church of God in heaven and the church on earth do, as it were, unite in their joy and praise on this occasion.</w:t>
      </w:r>
    </w:p>
    <w:p>
      <w:pPr>
        <w:pStyle w:val="SourcePage"/>
      </w:pPr>
      <w:r>
        <w:t xml:space="preserve">[p. 302]</w:t>
      </w:r>
    </w:p>
    <w:p>
      <w:pPr>
        <w:pStyle w:val="BodyText"/>
      </w:pPr>
      <w:r>
        <w:t xml:space="preserve">3.</w:t>
      </w:r>
      <w:r>
        <w:rPr>
          <w:rStyle w:val="FootnoteReference"/>
        </w:rPr>
        <w:footnoteReference w:id="1113"/>
      </w:r>
      <w:r>
        <w:t xml:space="preserve"> We may observe the notice taken of it by the Gentiles, which appears in the wise men from the east.</w:t>
      </w:r>
      <w:r>
        <w:rPr>
          <w:rStyle w:val="FootnoteReference"/>
        </w:rPr>
        <w:footnoteReference w:id="1114"/>
      </w:r>
      <w:r>
        <w:t xml:space="preserve"> Great part of the universe does, as it were, take a joyful notice. Heaven does so, and that lower world, the world of mankind, does so in both the parts of it, Jews and Gentiles. It pleased God to put honor on his son by wonderfully stirring up some of the wisest of the Gentiles to come a long journey</w:t>
      </w:r>
      <w:r>
        <w:rPr>
          <w:rStyle w:val="FootnoteReference"/>
        </w:rPr>
        <w:footnoteReference w:id="1115"/>
      </w:r>
      <w:r>
        <w:t xml:space="preserve"> to see and worship the son of God at his birth, being led by a miraculous star signifying the birth of that glorious person that is the bright and morning star, going before and leading them to the very place where the young child was.</w:t>
      </w:r>
      <w:r>
        <w:rPr>
          <w:rStyle w:val="FootnoteReference"/>
        </w:rPr>
        <w:footnoteReference w:id="1116"/>
      </w:r>
      <w:r>
        <w:t xml:space="preserve"> Some think that they were instructed by the prophecy of Balaam who dwelt in these eastern parts, and foretold of Christ's coming as a star that should rise out ‹of Jacob›.</w:t>
      </w:r>
      <w:r>
        <w:rPr>
          <w:rStyle w:val="FootnoteReference"/>
        </w:rPr>
        <w:footnoteReference w:id="1117"/>
      </w:r>
      <w:r>
        <w:t xml:space="preserve"> Or they might be instructed by that great expectation there was of the messiah's coming about that time, before spoken of, from the notice they had of it by the prophecies the Jews had of him in their dispersions in all parts of the world at that time.</w:t>
      </w:r>
    </w:p>
    <w:p>
      <w:pPr>
        <w:pStyle w:val="BodyText"/>
      </w:pPr>
      <w:r>
        <w:t xml:space="preserve">3.</w:t>
      </w:r>
      <w:r>
        <w:rPr>
          <w:rStyle w:val="FootnoteReference"/>
        </w:rPr>
        <w:footnoteReference w:id="1118"/>
      </w:r>
      <w:r>
        <w:t xml:space="preserve"> The next concomitant of the birth of Christ was of circumcision. But this may more properly be spoken of under another head, and so I will not insist upon it now.</w:t>
      </w:r>
    </w:p>
    <w:p>
      <w:pPr>
        <w:pStyle w:val="BodyText"/>
      </w:pPr>
      <w:r>
        <w:t xml:space="preserve">4.</w:t>
      </w:r>
      <w:r>
        <w:rPr>
          <w:rStyle w:val="FootnoteReference"/>
        </w:rPr>
        <w:footnoteReference w:id="1119"/>
      </w:r>
      <w:r>
        <w:t xml:space="preserve"> The next concomitant was his first coming into the second temple, which was his being brought there when an infant on</w:t>
      </w:r>
      <w:r>
        <w:rPr>
          <w:rStyle w:val="FootnoteReference"/>
        </w:rPr>
        <w:footnoteReference w:id="1120"/>
      </w:r>
      <w:r>
        <w:t xml:space="preserve"> occasion of the purification of the blessed virgin.</w:t>
      </w:r>
      <w:r>
        <w:rPr>
          <w:rStyle w:val="FootnoteReference"/>
        </w:rPr>
        <w:footnoteReference w:id="1121"/>
      </w:r>
      <w:r>
        <w:t xml:space="preserve"> We read, Haggai 2:7 ["The desire of all nations shall come: and I will fill this house with glory"]; Malachi 3:1 ["The Lord, whom ye seek, shall suddenly come to his temple, even the messenger of the covenant"]. And now was the first instance of the fulfillment of that prophecy.</w:t>
      </w:r>
    </w:p>
    <w:p>
      <w:pPr>
        <w:pStyle w:val="BodyText"/>
      </w:pPr>
      <w:r>
        <w:t xml:space="preserve">5.</w:t>
      </w:r>
      <w:r>
        <w:rPr>
          <w:rStyle w:val="FootnoteReference"/>
        </w:rPr>
        <w:footnoteReference w:id="1122"/>
      </w:r>
      <w:r>
        <w:t xml:space="preserve"> The last concomitant I shall mention is the scepter's departing from Judah in the death of Herod the Great.</w:t>
      </w:r>
      <w:r>
        <w:rPr>
          <w:rStyle w:val="FootnoteReference"/>
        </w:rPr>
        <w:footnoteReference w:id="1123"/>
      </w:r>
      <w:r>
        <w:t xml:space="preserve"> The scepter never had totally departed from Judah till now. Judah's scepter was greatly diminished in the revolt of the ten tribes in Jeroboam's time.</w:t>
      </w:r>
      <w:r>
        <w:rPr>
          <w:rStyle w:val="FootnoteReference"/>
        </w:rPr>
        <w:footnoteReference w:id="1124"/>
      </w:r>
      <w:r>
        <w:t xml:space="preserve"> And the</w:t>
      </w:r>
    </w:p>
    <w:p>
      <w:pPr>
        <w:pStyle w:val="SourcePage"/>
      </w:pPr>
      <w:r>
        <w:t xml:space="preserve">[p. 303]</w:t>
      </w:r>
    </w:p>
    <w:p>
      <w:pPr>
        <w:pStyle w:val="BodyText"/>
      </w:pPr>
      <w:r>
        <w:t xml:space="preserve">scepter departed from Israel or Ephraim at the time of the captivity of the ten tribes by Shalmaneser.</w:t>
      </w:r>
      <w:r>
        <w:rPr>
          <w:rStyle w:val="FootnoteReference"/>
        </w:rPr>
        <w:footnoteReference w:id="1125"/>
      </w:r>
      <w:r>
        <w:t xml:space="preserve"> But yet the scepter remained in the tribe of Judah under the kings of the house of David.</w:t>
      </w:r>
      <w:r>
        <w:rPr>
          <w:rStyle w:val="FootnoteReference"/>
        </w:rPr>
        <w:footnoteReference w:id="1126"/>
      </w:r>
      <w:r>
        <w:t xml:space="preserve"> And when the tribes of Judah and Benjamin were carried captive by Nebuchadnezzar the scepter of Judah ceased for a little while, till the return from the captivity under Cyrus.</w:t>
      </w:r>
      <w:r>
        <w:rPr>
          <w:rStyle w:val="FootnoteReference"/>
        </w:rPr>
        <w:footnoteReference w:id="1127"/>
      </w:r>
      <w:r>
        <w:t xml:space="preserve"> And then, though they were not an independent government as they had been before but owed fealty to the kings of Persia, yet their governor was of themselves,</w:t>
      </w:r>
      <w:r>
        <w:rPr>
          <w:rStyle w:val="FootnoteReference"/>
        </w:rPr>
        <w:footnoteReference w:id="1128"/>
      </w:r>
      <w:r>
        <w:t xml:space="preserve"> who had the power of life and death, and they were governed by their own laws. And so Judah had a lawgiver from between his feet</w:t>
      </w:r>
      <w:r>
        <w:rPr>
          <w:rStyle w:val="FootnoteReference"/>
        </w:rPr>
        <w:footnoteReference w:id="1129"/>
      </w:r>
      <w:r>
        <w:t xml:space="preserve"> during the Persian and Grecian monarchies. Towards the latter part of the Grecian monarchy, the people were governed by kings of their own, of the race of the Maccabees, for the bigger part of an hundred years.</w:t>
      </w:r>
      <w:r>
        <w:rPr>
          <w:rStyle w:val="FootnoteReference"/>
        </w:rPr>
        <w:footnoteReference w:id="1130"/>
      </w:r>
      <w:r>
        <w:t xml:space="preserve"> And after that they were subdued by the Romans. But yet the Romans suffered 'em to be governed by their own laws and to have a king of their own; Herod the Great, who reigned for about forty years and governed with proper kingly authority, only paying homage to the Romans. But presently, after Christ was born, he died as we have an account, and Archelaus succeeded him and was soon put down by the Roman emperor. And then the scepter departed from Judah. There were no more temporal kings of Judah after that; neither had that people their governors from the midst of themselves after that, but were ruled by a Roman governor sent among them, and ceased any more to have power of life and death among them. Hence the Jews say to Pilate,</w:t>
      </w:r>
      <w:r>
        <w:rPr>
          <w:rStyle w:val="FootnoteReference"/>
        </w:rPr>
        <w:footnoteReference w:id="1131"/>
      </w:r>
      <w:r>
        <w:t xml:space="preserve"> "It is not lawful for us to put any man to death," John 18:31. "Thus the scepter departed from Judah when Shiloh came."</w:t>
      </w:r>
      <w:r>
        <w:rPr>
          <w:rStyle w:val="FootnoteReference"/>
        </w:rPr>
        <w:footnoteReference w:id="1132"/>
      </w:r>
    </w:p>
    <w:p>
      <w:pPr>
        <w:pStyle w:val="BodyText"/>
      </w:pPr>
      <w:r>
        <w:t xml:space="preserve">Having thus considered Christ's coming into the world and his taking on him our nature to put himself into a capacity for the purchase of redemption, I come now,</w:t>
      </w:r>
    </w:p>
    <w:p>
      <w:pPr>
        <w:pStyle w:val="BodyText"/>
      </w:pPr>
      <w:r>
        <w:t xml:space="preserve">Secondly,</w:t>
      </w:r>
      <w:r>
        <w:rPr>
          <w:rStyle w:val="FootnoteReference"/>
        </w:rPr>
        <w:footnoteReference w:id="1133"/>
      </w:r>
      <w:r>
        <w:t xml:space="preserve"> to speak of the purchase itself, and in speaking to this I would, 1. show what is here intended by the purchase of redemption,</w:t>
      </w:r>
    </w:p>
    <w:p>
      <w:pPr>
        <w:pStyle w:val="SourcePage"/>
      </w:pPr>
      <w:r>
        <w:t xml:space="preserve">[p. 304]</w:t>
      </w:r>
    </w:p>
    <w:p>
      <w:pPr>
        <w:pStyle w:val="ListText"/>
        <w:numPr>
          <w:ilvl w:val="0"/>
          <w:numId w:val="3"/>
        </w:numPr>
      </w:pPr>
      <w:r>
        <w:t xml:space="preserve">observe some things in general concerning those things by which this purchase was made, and 3. would orderly consider those things that Christ did and suffered by which that purchase was made.</w:t>
      </w:r>
    </w:p>
    <w:p>
      <w:pPr>
        <w:pStyle w:val="BodyText"/>
      </w:pPr>
      <w:r>
        <w:t xml:space="preserve">I.</w:t>
      </w:r>
      <w:r>
        <w:rPr>
          <w:rStyle w:val="FootnoteReference"/>
        </w:rPr>
        <w:footnoteReference w:id="1134"/>
      </w:r>
      <w:r>
        <w:t xml:space="preserve"> I would show what is here intended by Christ's purchasing of redemption. And there are two things that [are] intended by it, viz, his satisfaction and merit. All is done by the price that Christ laid down. But the price that Christ laid down</w:t>
      </w:r>
      <w:r>
        <w:rPr>
          <w:rStyle w:val="FootnoteReference"/>
        </w:rPr>
        <w:footnoteReference w:id="1135"/>
      </w:r>
      <w:r>
        <w:t xml:space="preserve"> does two things: it pays our debt and so it satisfies by its intrinsic value and agreement between the Father and Son; it procures a title for us to happiness and so it merits. The satisfaction of Christ is to free us from misery, and the merit of Christ is to purchase happiness for us.</w:t>
      </w:r>
    </w:p>
    <w:p>
      <w:pPr>
        <w:pStyle w:val="BodyText"/>
      </w:pPr>
      <w:r>
        <w:t xml:space="preserve">The word purchase as it is used with respect to the purchase of Christ is taken either more strictly or more largely. It is oftentimes used more strictly to signify only the merit of Christ, and sometimes more largely to signify both his satisfaction and merit. Indeed most of the words that are used in this affair are used ambiguously. Thus sometimes divines use the word merit in this affair for the whole price that Christ offered, both satisfactory and also positively meritorious. And so the word satisfaction is sometimes used, not only for his propitiation but for his meritorious obedience. For in some sense not only suffering the penalty but positively obeying is needful to satisfy the law.</w:t>
      </w:r>
      <w:r>
        <w:rPr>
          <w:rStyle w:val="FootnoteReference"/>
        </w:rPr>
        <w:footnoteReference w:id="1136"/>
      </w:r>
      <w:r>
        <w:t xml:space="preserve"> The reason of this ambiguity of terms seems to be that satisfaction and merit don't differ so much really as relatively. They both consist in paying a valuable price, a price of infinite value. But only that price as it respects a debt to be payed is called satisfaction, and as it respects a positive good to be obtained is called merit.</w:t>
      </w:r>
    </w:p>
    <w:p>
      <w:pPr>
        <w:pStyle w:val="BodyText"/>
      </w:pPr>
      <w:r>
        <w:t xml:space="preserve">The differences between paying a debt and making a positive purchase differ more relatively than they do essentially. He that lays down a price to pay a debt, he does in some sense make a purchase, he purchases liberty from that obligation. And he that lays down a price to purchase a positive good does, as it [were], make satisfaction. He satisfies the conditional demands of him to whom he pays it. This may suffice concerning what is meant by the purchase of Christ.</w:t>
      </w:r>
    </w:p>
    <w:p>
      <w:pPr>
        <w:pStyle w:val="BodyText"/>
      </w:pPr>
      <w:r>
        <w:t xml:space="preserve">I now proceed,</w:t>
      </w:r>
    </w:p>
    <w:p>
      <w:pPr>
        <w:pStyle w:val="BodyText"/>
      </w:pPr>
      <w:r>
        <w:t xml:space="preserve">II.</w:t>
      </w:r>
      <w:r>
        <w:rPr>
          <w:rStyle w:val="FootnoteReference"/>
        </w:rPr>
        <w:footnoteReference w:id="1137"/>
      </w:r>
      <w:r>
        <w:t xml:space="preserve"> To observe some things in general, being those things by which this purchase [was made]. And here,</w:t>
      </w:r>
    </w:p>
    <w:p>
      <w:pPr>
        <w:pStyle w:val="SourcePage"/>
      </w:pPr>
      <w:r>
        <w:t xml:space="preserve">[p. 305]</w:t>
      </w:r>
    </w:p>
    <w:p>
      <w:pPr>
        <w:pStyle w:val="BodyText"/>
      </w:pPr>
      <w:r>
        <w:t xml:space="preserve">1.</w:t>
      </w:r>
      <w:r>
        <w:rPr>
          <w:rStyle w:val="FootnoteReference"/>
        </w:rPr>
        <w:footnoteReference w:id="1138"/>
      </w:r>
      <w:r>
        <w:t xml:space="preserve"> I would observe that whatever</w:t>
      </w:r>
      <w:r>
        <w:rPr>
          <w:rStyle w:val="FootnoteReference"/>
        </w:rPr>
        <w:footnoteReference w:id="1139"/>
      </w:r>
      <w:r>
        <w:t xml:space="preserve"> in Christ had the nature of satisfaction, it was by virtue of the suffering or humiliation that was in it. But whatever had the nature of merit, it was by virtue of the obedience and righteousness there was in it. The satisfaction of Christ consists in his answering those demands that the law laid on man that were consequent on the breach of the law, which was suffering the penalty of the law. The merit of Christ consisted in what he did to answer those demands of the law that were prior to man's breach of the law, or to fulfill what the law demanded before man sinned, which was obedience. The satisfaction or propitiation of Christ consists either in his suffering evil, or his being subject to abasement. For Christ did [not] only make satisfaction by proper suffering, but by whatsoever had the nature of humiliation and abasement of circumstances. Thus Christ made satisfaction for sin by continuing under the power of death after his lying buried in the grave, though neither his body nor soul properly endured any suffering after he was dead. Whatever</w:t>
      </w:r>
      <w:r>
        <w:rPr>
          <w:rStyle w:val="FootnoteReference"/>
        </w:rPr>
        <w:footnoteReference w:id="1140"/>
      </w:r>
      <w:r>
        <w:t xml:space="preserve"> Christ was subject to that was the judicial fruit of sin had the nature of satisfaction for sin. But not only proper suffering, but all abasement and depression of the state or circumstance of mankind below its primitive honor and dignity, such as his body's remaining under death, and body and soul remaining separate, and other things that might be mentioned, are the judicial fruits of sin. And all that Christ did in his state of humiliation that had the nature of obedience, or moral virtue, or goodness in it in one respect or another, had the nature of merit in it, and was part of the price with which he purchased happiness for the elect.</w:t>
      </w:r>
    </w:p>
    <w:p>
      <w:pPr>
        <w:pStyle w:val="SourcePage"/>
      </w:pPr>
      <w:r>
        <w:t xml:space="preserve">[p. 306]</w:t>
      </w:r>
    </w:p>
    <w:p>
      <w:pPr>
        <w:pStyle w:val="Heading2"/>
      </w:pPr>
      <w:bookmarkStart w:name="heading_sermon_fifteen" w:id="59"/>
      <w:r>
        <w:t xml:space="preserve">SERMON FIFTEEN</w:t>
      </w:r>
      <w:bookmarkEnd w:id="59"/>
    </w:p>
    <w:p>
      <w:pPr>
        <w:pStyle w:val="BodyText"/>
      </w:pPr>
      <w:r>
        <w:rPr>
          <w:rStyle w:val="FootnoteReference"/>
        </w:rPr>
        <w:footnoteReference w:id="1141"/>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form generation to generation.]</w:t>
      </w:r>
    </w:p>
    <w:p>
      <w:pPr>
        <w:pStyle w:val="BodyText"/>
      </w:pPr>
      <w:r>
        <w:t xml:space="preserve">Isaiah 51:8</w:t>
      </w:r>
    </w:p>
    <w:p>
      <w:pPr>
        <w:pStyle w:val="Heading3"/>
      </w:pPr>
      <w:bookmarkStart w:name="heading_doctrine_14" w:id="60"/>
      <w:r>
        <w:t xml:space="preserve">[DOCTRINE]</w:t>
      </w:r>
      <w:bookmarkEnd w:id="60"/>
    </w:p>
    <w:p>
      <w:pPr>
        <w:pStyle w:val="BlockQuote"/>
      </w:pPr>
      <w:r>
        <w:rPr>
          <w:i/>
          <w:iCs/>
        </w:rPr>
        <w:t xml:space="preserve">[The Work of Redemption is a work that God carries on from the fall of man to the end of the world.]</w:t>
      </w:r>
      <w:r>
        <w:rPr>
          <w:rStyle w:val="FootnoteReference"/>
        </w:rPr>
        <w:footnoteReference w:id="1142"/>
      </w:r>
    </w:p>
    <w:p>
      <w:pPr>
        <w:pStyle w:val="BodyText"/>
      </w:pPr>
      <w:r>
        <w:rPr>
          <w:i/>
          <w:iCs/>
        </w:rPr>
        <w:t xml:space="preserve">2</w:t>
      </w:r>
      <w:r>
        <w:t xml:space="preserve">.</w:t>
      </w:r>
      <w:r>
        <w:rPr>
          <w:rStyle w:val="FootnoteReference"/>
        </w:rPr>
        <w:footnoteReference w:id="1143"/>
      </w:r>
      <w:r>
        <w:t xml:space="preserve"> I would observe that both Christ's satisfaction for sin and also his meriting happiness by his righteousness were carried on through the whole time of his humiliation. Christ's satisfaction</w:t>
      </w:r>
      <w:r>
        <w:rPr>
          <w:rStyle w:val="FootnoteReference"/>
        </w:rPr>
        <w:footnoteReference w:id="1144"/>
      </w:r>
      <w:r>
        <w:t xml:space="preserve"> for sin was not only by his last sufferings, though it was principally by them. But all his sufferings, and all the humiliation that he was subject to, from the first moment of his incarnation to his resurrection, were propitiatory or satisfactory. Christ's satisfaction was chiefly by his death, because his suffering and humiliation in that was greatest, but all his other suffering and all his other humiliation all along had the nature of satisfaction. So had the mean circumstances in which he was born; his being born in such a low condition was to make satisfaction for sin. His being born of a poor virgin in a stable, and his being laid in</w:t>
      </w:r>
    </w:p>
    <w:p>
      <w:pPr>
        <w:pStyle w:val="SourcePage"/>
      </w:pPr>
      <w:r>
        <w:t xml:space="preserve">[p. 307]</w:t>
      </w:r>
    </w:p>
    <w:p>
      <w:pPr>
        <w:pStyle w:val="BodyText"/>
      </w:pPr>
      <w:r>
        <w:t xml:space="preserve">a manger, his taking the human nature upon him in its low state, and under those infirmities brought upon it by the fall, his being born in the form of sinful flesh, had the nature of satisfaction. And so all his sufferings in his infancy and childhood, and all that labor, and contempt, and reproach, and temptation, and difficulty of some</w:t>
      </w:r>
      <w:r>
        <w:rPr>
          <w:rStyle w:val="FootnoteReference"/>
        </w:rPr>
        <w:footnoteReference w:id="1145"/>
      </w:r>
      <w:r>
        <w:t xml:space="preserve"> kind other that he suffered through the whole course of his life, was of propitiatory and satisfactory nature. And so his purchase of happiness by his righteousness was also carried on through the whole time of his humiliation till his resurrection, not only in that obedience he performed through the course of his life, but also the obedience he performed in laying down his life.</w:t>
      </w:r>
    </w:p>
    <w:p>
      <w:pPr>
        <w:pStyle w:val="BodyText"/>
      </w:pPr>
      <w:r>
        <w:t xml:space="preserve">3.</w:t>
      </w:r>
      <w:r>
        <w:rPr>
          <w:rStyle w:val="FootnoteReference"/>
        </w:rPr>
        <w:footnoteReference w:id="1146"/>
      </w:r>
      <w:r>
        <w:t xml:space="preserve"> It was by the same things that Christ both satisfied God's justice and also purchased eternal happiness; this satisfaction and purchase of Christ were not only both carried on through the whole time of Christ's humiliation, but they were both carried on by the same things. He did not make satisfaction by some things that he did, and then work out righteousness by other different things; but in the same acts by which he wrought out righteousness he also made satisfaction, but only taken with a different relation. One and the same act of Christ, considered with respect to the obedience there was in it, was part of his righteousness and purchased heaven; but considered with respect to the self-denial, and difficulty, and humiliation with which he performed it, it had the nature of righteousness and merited happiness</w:t>
      </w:r>
      <w:r>
        <w:rPr>
          <w:rStyle w:val="FootnoteReference"/>
        </w:rPr>
        <w:footnoteReference w:id="1147"/>
      </w:r>
      <w:r>
        <w:t xml:space="preserve"> for us. Thus his going about doing good, preaching the gospel, and teaching disciples, was part of righteousness and purchase of heaven as it was done in obedience to the Father; and the same was part of his satisfaction as he did it with great labor, trouble, and weariness, and under great large labor, exposing himself thereby to reproach and contempt. So his laying down his life had the nature of satisfaction to God's offended justice considered as his bearing our punishment in our stead; but considered as an act of obedience to God who had given him this command that he should lay down his life for sinners it was part of his righteous purchase of heaven, and as much the principal part of his righteousness as it was the principal part of his satisfaction. And so to instance in his circumcision, what he suffered in that had the nature of satisfaction, the blood that was shed in his circumcision was propitiatory blood; but as it was a conformity</w:t>
      </w:r>
    </w:p>
    <w:p>
      <w:pPr>
        <w:pStyle w:val="SourcePage"/>
      </w:pPr>
      <w:r>
        <w:t xml:space="preserve">[p. 308]</w:t>
      </w:r>
    </w:p>
    <w:p>
      <w:pPr>
        <w:pStyle w:val="BodyText"/>
      </w:pPr>
      <w:r>
        <w:t xml:space="preserve">to the law of Moses it was part of his meritorious righteousness.</w:t>
      </w:r>
      <w:r>
        <w:rPr>
          <w:rStyle w:val="FootnoteReference"/>
        </w:rPr>
        <w:footnoteReference w:id="1148"/>
      </w:r>
      <w:r>
        <w:t xml:space="preserve"> Though it was not</w:t>
      </w:r>
      <w:r>
        <w:rPr>
          <w:rStyle w:val="FootnoteReference"/>
        </w:rPr>
        <w:footnoteReference w:id="1149"/>
      </w:r>
      <w:r>
        <w:t xml:space="preserve"> properly the act of his human nature, he being an infant, yet it being what the human nature was the subject of, and was the act of that person, it was accepted as an act of his obedience as our mediator. And so even his being born in such a low condition, it had the nature of satisfaction by reason of the humiliation that was in it; and also of righteousness, as it was the act of his person in obedience to the Father and what the human nature was the subject of and what the will of the human nature did acquiesce in, though there was no act of the will of the human nature prior to it.</w:t>
      </w:r>
    </w:p>
    <w:p>
      <w:pPr>
        <w:pStyle w:val="BodyText"/>
      </w:pPr>
      <w:r>
        <w:t xml:space="preserve">These things may suffice to have observed in the general concerning the purchase Christ made of redemption. I now proceed,</w:t>
      </w:r>
    </w:p>
    <w:p>
      <w:pPr>
        <w:pStyle w:val="BodyText"/>
      </w:pPr>
      <w:r>
        <w:t xml:space="preserve">III.</w:t>
      </w:r>
      <w:r>
        <w:rPr>
          <w:rStyle w:val="FootnoteReference"/>
        </w:rPr>
        <w:footnoteReference w:id="1150"/>
      </w:r>
      <w:r>
        <w:t xml:space="preserve"> to speak more particularly of those things Christ did and was the subject of during the time of his humiliation, whereby this purchase was made. And the nature of the purchase of Christ as it has been explained leads us to</w:t>
      </w:r>
      <w:r>
        <w:rPr>
          <w:rStyle w:val="FootnoteReference"/>
        </w:rPr>
        <w:footnoteReference w:id="1151"/>
      </w:r>
      <w:r>
        <w:t xml:space="preserve"> consider these things under a twofold view, viz. 1. with respect to his righteousness that appeared in them; 2. with respect to the sufferings and humiliation that he was subject to in them in our stead.</w:t>
      </w:r>
    </w:p>
    <w:p>
      <w:pPr>
        <w:pStyle w:val="BodyText"/>
      </w:pPr>
      <w:r>
        <w:t xml:space="preserve">1.</w:t>
      </w:r>
      <w:r>
        <w:rPr>
          <w:rStyle w:val="FootnoteReference"/>
        </w:rPr>
        <w:footnoteReference w:id="1152"/>
      </w:r>
      <w:r>
        <w:t xml:space="preserve"> I will consider the things that passed during the time of Christ's humiliation with respect to the obedience and righteousness that he exercised in them. And this is subject to a threefold distribution, 1. with respect [to] laws he obeyed, and 2. with respect to the different stages of his life, and 3. what virtues he exercised in that obedience.</w:t>
      </w:r>
    </w:p>
    <w:p>
      <w:pPr>
        <w:pStyle w:val="BodyText"/>
      </w:pPr>
      <w:r>
        <w:t xml:space="preserve">1.</w:t>
      </w:r>
      <w:r>
        <w:rPr>
          <w:rStyle w:val="FootnoteReference"/>
        </w:rPr>
        <w:footnoteReference w:id="1153"/>
      </w:r>
      <w:r>
        <w:t xml:space="preserve"> Christ's acts of righteousness may be distributed with respect [to] the legal laws Christ obeyed in that righteousness he performed. But here it must be observed in general that all the precepts that Christ obeyed may [be] reduced to one law, and that is that which the Apostle calls "the law of works," Romans 3:27. Every command that Christ obeyed may be reduced to that great and everlasting law of God that is contained in the covenant of works, that eternal rule of righteousness that God had established between himself and mankind.</w:t>
      </w:r>
    </w:p>
    <w:p>
      <w:pPr>
        <w:pStyle w:val="SourcePage"/>
      </w:pPr>
      <w:r>
        <w:t xml:space="preserve">[p. 309]</w:t>
      </w:r>
    </w:p>
    <w:p>
      <w:pPr>
        <w:pStyle w:val="BodyText"/>
      </w:pPr>
      <w:r>
        <w:t xml:space="preserve">Christ came into the world to fulfill and answer the covenant of works, that is the covenant that is to stand forever as a rule</w:t>
      </w:r>
      <w:r>
        <w:rPr>
          <w:rStyle w:val="FootnoteReference"/>
        </w:rPr>
        <w:footnoteReference w:id="1154"/>
      </w:r>
      <w:r>
        <w:t xml:space="preserve"> of judgment, and that is the covenant that we had broken, and that was the covenant that must be fulfilled.</w:t>
      </w:r>
    </w:p>
    <w:p>
      <w:pPr>
        <w:pStyle w:val="BodyText"/>
      </w:pPr>
      <w:r>
        <w:t xml:space="preserve">This law of works indeed includes all laws of God that ever have been given to mankind, both the law of nature and also all political commands that ever were given to man; for 'tis a general rule of the law of works, and indeed of the law of nature, that God is to be obeyed and that he must be submitted to in whatever positive precept he is pleased to give us. 'Tis a rule of the law of works that men should obey their earthly parents, and 'tis certainly as much of a rule of the same law that we should obey our heavenly Father: and so the law of works requires obedience to all positive commands of God. It so required Adam's obedience to that positive command ‹not to eat of the forbidden fruit›, and it required the Jews' obedience ‹to all the positive commands given them›. When God commanded Jonah to arise and go to Nineveh, the law of works required ‹him to obey›. And so it required Christ's obedience to all the positive commands God gave him. But more particularly, the commands of God that Christ obeyed were of three kinds: they were either such as he was subject to merely as man, or such</w:t>
      </w:r>
      <w:r>
        <w:rPr>
          <w:rStyle w:val="FootnoteReference"/>
        </w:rPr>
        <w:footnoteReference w:id="1155"/>
      </w:r>
      <w:r>
        <w:t xml:space="preserve"> as he was subject to as he was a Jew, or such as he was subject to purely as mediator.</w:t>
      </w:r>
    </w:p>
    <w:p>
      <w:pPr>
        <w:pStyle w:val="BodyText"/>
      </w:pPr>
      <w:r>
        <w:t xml:space="preserve">1.</w:t>
      </w:r>
      <w:r>
        <w:rPr>
          <w:rStyle w:val="FootnoteReference"/>
        </w:rPr>
        <w:footnoteReference w:id="1156"/>
      </w:r>
      <w:r>
        <w:t xml:space="preserve"> He obeyed those commands that he was subject to merely as man, and they were the commands of the moral law, which was the same with that that was given at Mount Sinai, written in two tables of stone, which are of obligation to mankind of all nations and all ages of the world.</w:t>
      </w:r>
    </w:p>
    <w:p>
      <w:pPr>
        <w:pStyle w:val="BodyText"/>
      </w:pPr>
      <w:r>
        <w:t xml:space="preserve">2.</w:t>
      </w:r>
      <w:r>
        <w:rPr>
          <w:rStyle w:val="FootnoteReference"/>
        </w:rPr>
        <w:footnoteReference w:id="1157"/>
      </w:r>
      <w:r>
        <w:t xml:space="preserve"> He obeyed all those laws that he was subject to as he was a Jew. Thus he was subject to ceremonial law and was conformed to it. He was conformed to it in his being circumcised the eighth day. And he strictly obeyed it in going up to Jerusalem to the temple three times in the year, at least after he was come to the age of twelve years, which seems to have been the age when the males began to go up to the temple. And so Christ constantly attended the service of the temple and of the synagogues.</w:t>
      </w:r>
    </w:p>
    <w:p>
      <w:pPr>
        <w:pStyle w:val="BodyText"/>
      </w:pPr>
      <w:r>
        <w:t xml:space="preserve">To the head of his obedience to the laws that he was subject to as</w:t>
      </w:r>
    </w:p>
    <w:p>
      <w:pPr>
        <w:pStyle w:val="SourcePage"/>
      </w:pPr>
      <w:r>
        <w:t xml:space="preserve">[p. 310]</w:t>
      </w:r>
    </w:p>
    <w:p>
      <w:pPr>
        <w:pStyle w:val="BodyText"/>
      </w:pPr>
      <w:r>
        <w:t xml:space="preserve">a Jew may be reduced his submission to John's baptism; for it was a special command of God to the Jews to go forth</w:t>
      </w:r>
      <w:r>
        <w:rPr>
          <w:rStyle w:val="FootnoteReference"/>
        </w:rPr>
        <w:footnoteReference w:id="1158"/>
      </w:r>
      <w:r>
        <w:t xml:space="preserve"> to John the Baptist and be baptized of him. And therefore Chirst, being a Jew, was subject to this command, and therefore when he came to be baptized of John, and John objected that he had more need to come to him be baptized of him, he gives this reason for it: that it was needful that he should do it that he might fulfill all righteousness, Matthew 3:13–15 ["Then cometh Jesus … unto John, to be baptized of him. But John forbad him, saying … comest thou to me? And Jesus answering said … it becometh us to fulfill all righteousness"].</w:t>
      </w:r>
    </w:p>
    <w:p>
      <w:pPr>
        <w:pStyle w:val="BodyText"/>
      </w:pPr>
      <w:r>
        <w:t xml:space="preserve">3.</w:t>
      </w:r>
      <w:r>
        <w:rPr>
          <w:rStyle w:val="FootnoteReference"/>
        </w:rPr>
        <w:footnoteReference w:id="1159"/>
      </w:r>
      <w:r>
        <w:t xml:space="preserve"> Another law that Christ was subject to was the mediatorial law which contained those commands of God that he was subject to, not merely as man, nor yet as a Jew, but related purely to the execution of his mediatorial office. Such were the commands that the Father gave him to teach such doctrines, to preach the gospel, to work such miracles, to call such disciples, to appoint such ordinances, and finally to lay down his life. For Christ did all these things in obedience to commands that he had received of the Father, as he often tells us.</w:t>
      </w:r>
      <w:r>
        <w:rPr>
          <w:rStyle w:val="FootnoteReference"/>
        </w:rPr>
        <w:footnoteReference w:id="1160"/>
      </w:r>
      <w:r>
        <w:t xml:space="preserve"> And these commands he was not subject to merely as man, for they did not belong to other men; nor yet</w:t>
      </w:r>
      <w:r>
        <w:rPr>
          <w:rStyle w:val="FootnoteReference"/>
        </w:rPr>
        <w:footnoteReference w:id="1161"/>
      </w:r>
      <w:r>
        <w:t xml:space="preserve"> was he subject to 'em as Jew, for they were no part of the Mosaic law. But they were commands that he had received of the Father that purely respected the work he was to do in the world in his mediatorial office.</w:t>
      </w:r>
    </w:p>
    <w:p>
      <w:pPr>
        <w:pStyle w:val="BodyText"/>
      </w:pPr>
      <w:r>
        <w:t xml:space="preserve">And 'tis to be observed that Christ's righteousness, by which he merited heaven for himself and all that believe in him, consists principally in his obedience to this mediatorial law: for in fulfilling this law consisted his chief work and business in the world. The history of the Evangelists</w:t>
      </w:r>
      <w:r>
        <w:rPr>
          <w:rStyle w:val="FootnoteReference"/>
        </w:rPr>
        <w:footnoteReference w:id="1162"/>
      </w:r>
      <w:r>
        <w:t xml:space="preserve"> is chiefly taken up in giving an account of his obedience to this law. And this part of his obedience was that which was attended with the greatest difficulty of all, and therefore his obedience in it was most meritorious.</w:t>
      </w:r>
    </w:p>
    <w:p>
      <w:pPr>
        <w:pStyle w:val="BodyText"/>
      </w:pPr>
      <w:r>
        <w:t xml:space="preserve">What Christ had to do in the world by virtue of his being mediator was infinitely more difficult than what he had to do merely as man or as a Jew. To his obedience to this mediatorial [law] belongs his</w:t>
      </w:r>
    </w:p>
    <w:p>
      <w:pPr>
        <w:pStyle w:val="SourcePage"/>
      </w:pPr>
      <w:r>
        <w:t xml:space="preserve">[p. 311]</w:t>
      </w:r>
    </w:p>
    <w:p>
      <w:pPr>
        <w:pStyle w:val="BodyText"/>
      </w:pPr>
      <w:r>
        <w:t xml:space="preserve">going through his last sufferings, beginning with his agony in the garden and ending ‹with his resurrection›. As the obedience of the Adam, wherein his righteousness would have consisted</w:t>
      </w:r>
      <w:r>
        <w:rPr>
          <w:rStyle w:val="FootnoteReference"/>
        </w:rPr>
        <w:footnoteReference w:id="1163"/>
      </w:r>
      <w:r>
        <w:t xml:space="preserve"> if he had stood, would have mainly consisted not in his obedience to the moral law that he was subject to merely as man, but in his obedience to that special law that he was subject to as a moral head and surety of mankind, even the command of abstaining from the tree of knowledge ‹of good and evil›, so the obedience of the second Adam, wherein his righteousness consists, lies mainly not in his obedience to the law that he was subject to merely as man, but to that special law, that which he was subject [to] in his office as mediator and surety for man.</w:t>
      </w:r>
      <w:r>
        <w:rPr>
          <w:rStyle w:val="FootnoteReference"/>
        </w:rPr>
        <w:footnoteReference w:id="1164"/>
      </w:r>
    </w:p>
    <w:p>
      <w:pPr>
        <w:pStyle w:val="BodyText"/>
      </w:pPr>
      <w:r>
        <w:t xml:space="preserve">Before</w:t>
      </w:r>
      <w:r>
        <w:rPr>
          <w:rStyle w:val="FootnoteReference"/>
        </w:rPr>
        <w:footnoteReference w:id="1165"/>
      </w:r>
      <w:r>
        <w:t xml:space="preserve"> I proceed to the next distribution of Christ's righteousness I would observe three things concerning Christ's obedience to these laws.</w:t>
      </w:r>
    </w:p>
    <w:p>
      <w:pPr>
        <w:pStyle w:val="BodyText"/>
      </w:pPr>
      <w:r>
        <w:t xml:space="preserve">1.</w:t>
      </w:r>
      <w:r>
        <w:rPr>
          <w:rStyle w:val="FootnoteReference"/>
        </w:rPr>
        <w:footnoteReference w:id="1166"/>
      </w:r>
      <w:r>
        <w:t xml:space="preserve"> He performed that obedience to them that was in every respect perfect. It was universal as to the kinds of laws that he was subject [to]; he obeyed each of these three laws. And it was universal with respect to every individual precept contained in these laws, and it was perfect [as] to each command.</w:t>
      </w:r>
    </w:p>
    <w:p>
      <w:pPr>
        <w:pStyle w:val="BodyText"/>
      </w:pPr>
      <w:r>
        <w:t xml:space="preserve">It was perfect with respect to positive transgressions avoided, for he never transgressed</w:t>
      </w:r>
      <w:r>
        <w:rPr>
          <w:rStyle w:val="FootnoteReference"/>
        </w:rPr>
        <w:footnoteReference w:id="1167"/>
      </w:r>
      <w:r>
        <w:t xml:space="preserve"> in one instance; he was guilty of no sin of commission. And it was perfect with respect to the work commanded; he perfected the whole work that each command required, and never was guilty of any sin of omission. And it was perfect with respect to the principle he acted from, which he obeyed. His heart was perfect, his principles were wholly right, there was no corruption in his heart, and it was perfect with respect to the ends he acted for; for he never had any beyond but aimed perfectly at such ends as the law of God required.</w:t>
      </w:r>
    </w:p>
    <w:p>
      <w:pPr>
        <w:pStyle w:val="BodyText"/>
      </w:pPr>
      <w:r>
        <w:t xml:space="preserve">And it was perfect with respect to the manner of performance; every circumstance of each act was perfectly conformed to the command. And it was perfect with respect to the degree of the performance;</w:t>
      </w:r>
    </w:p>
    <w:p>
      <w:pPr>
        <w:pStyle w:val="SourcePage"/>
      </w:pPr>
      <w:r>
        <w:t xml:space="preserve">[p. 312]</w:t>
      </w:r>
    </w:p>
    <w:p>
      <w:pPr>
        <w:pStyle w:val="BodyText"/>
      </w:pPr>
      <w:r>
        <w:t xml:space="preserve">he acted holy, up to the rule. And it was perfect with respect to the constancy of obedience; he did not only perfectly obey sometimes, but constantly, without any interruption. And it was perfect with respect to perseverance; he held in perfect obedience to the very end, through all the changes he passed</w:t>
      </w:r>
      <w:r>
        <w:rPr>
          <w:rStyle w:val="FootnoteReference"/>
        </w:rPr>
        <w:footnoteReference w:id="1168"/>
      </w:r>
      <w:r>
        <w:t xml:space="preserve"> through, and all the trials there were before him.</w:t>
      </w:r>
    </w:p>
    <w:p>
      <w:pPr>
        <w:pStyle w:val="BodyText"/>
      </w:pPr>
      <w:r>
        <w:t xml:space="preserve">The meritoriousness of Christ's obedience depends on the perfection of it. If it had failed in any instance of perfection, it could not have been meritorious; for imperfect obedience is not accepted as any obedience at all in the sight of the law of works, which was that law that Christ was subject to. For that is not accepted as an obedience to a law that don't answer that law.</w:t>
      </w:r>
      <w:r>
        <w:rPr>
          <w:rStyle w:val="FootnoteReference"/>
        </w:rPr>
        <w:footnoteReference w:id="1169"/>
      </w:r>
    </w:p>
    <w:p>
      <w:pPr>
        <w:pStyle w:val="BodyText"/>
      </w:pPr>
      <w:r>
        <w:t xml:space="preserve">2.</w:t>
      </w:r>
      <w:r>
        <w:rPr>
          <w:rStyle w:val="FootnoteReference"/>
        </w:rPr>
        <w:footnoteReference w:id="1170"/>
      </w:r>
      <w:r>
        <w:t xml:space="preserve"> The next thing I would observe of Christ's obedience is that it was performed through the greatest trials and temptations that ever any obedience was. His obedience was attended with the greatest difficulties, and most extreme abasement and sufferings, that ever any obedience was; which was another thing that rendered it more meritorious and thankworthy. To obey another when his commands are easy is not so worthy as 'tis to obey when it can't be done without great difficulty.</w:t>
      </w:r>
    </w:p>
    <w:p>
      <w:pPr>
        <w:pStyle w:val="BodyText"/>
      </w:pPr>
      <w:r>
        <w:t xml:space="preserve">3.</w:t>
      </w:r>
      <w:r>
        <w:rPr>
          <w:rStyle w:val="FootnoteReference"/>
        </w:rPr>
        <w:footnoteReference w:id="1171"/>
      </w:r>
      <w:r>
        <w:t xml:space="preserve"> He performed this obedience with infinite respect to God and the honor of his law. The obedience he performed was with infinitely</w:t>
      </w:r>
      <w:r>
        <w:rPr>
          <w:rStyle w:val="FootnoteReference"/>
        </w:rPr>
        <w:footnoteReference w:id="1172"/>
      </w:r>
      <w:r>
        <w:t xml:space="preserve"> greater love to God and regard to his authority than the angels perform their obedience. The angels perform their obedience with love that is perfect, with sinless perfection. But Christ did not only do so, but he performed his obedience with much greater love than the angels do theirs, even infinite love. For though the human nature of Christ was not capable of love absolutely infinite, yet Christ's obedience that performed in that human nature is not to be looked on as merely the obedience of the human, but the obedience of his person as God-man, and there was infinite love of the person of Christ manifest in that obedience. And this together with the infinite dignity of the person that obeyed rendered his obedience infinitely meritorious.</w:t>
      </w:r>
    </w:p>
    <w:p>
      <w:pPr>
        <w:pStyle w:val="BodyText"/>
      </w:pPr>
      <w:r>
        <w:t xml:space="preserve">[The]</w:t>
      </w:r>
      <w:r>
        <w:rPr>
          <w:rStyle w:val="FootnoteReference"/>
        </w:rPr>
        <w:footnoteReference w:id="1173"/>
      </w:r>
      <w:r>
        <w:t xml:space="preserve"> second distribution of the acts of Christ's obedience may be</w:t>
      </w:r>
    </w:p>
    <w:p>
      <w:pPr>
        <w:pStyle w:val="SourcePage"/>
      </w:pPr>
      <w:r>
        <w:t xml:space="preserve">[p. 313]</w:t>
      </w:r>
    </w:p>
    <w:p>
      <w:pPr>
        <w:pStyle w:val="BodyText"/>
      </w:pPr>
      <w:r>
        <w:t xml:space="preserve">with respect to the different parts of his life wherein they were. And so the distribution may be into those that were performed during his Private life or his public ministry.</w:t>
      </w:r>
    </w:p>
    <w:p>
      <w:pPr>
        <w:pStyle w:val="BodyText"/>
      </w:pPr>
      <w:r>
        <w:t xml:space="preserve">1.</w:t>
      </w:r>
      <w:r>
        <w:rPr>
          <w:rStyle w:val="FootnoteReference"/>
        </w:rPr>
        <w:footnoteReference w:id="1174"/>
      </w:r>
      <w:r>
        <w:t xml:space="preserve"> Those acts he performed during his private life. He was perfectly obedient in</w:t>
      </w:r>
      <w:r>
        <w:rPr>
          <w:rStyle w:val="FootnoteReference"/>
        </w:rPr>
        <w:footnoteReference w:id="1175"/>
      </w:r>
      <w:r>
        <w:t xml:space="preserve"> his childhood. He infinitely differed from other children who, as soon as they begin to act, ‹do so in disobedience›. He was subject to his earthly parents though he was Lord of all, Luke 2:51. He was found about his Father's business at twelve years of age in the temple, Luke 2:42.</w:t>
      </w:r>
      <w:r>
        <w:rPr>
          <w:rStyle w:val="FootnoteReference"/>
        </w:rPr>
        <w:footnoteReference w:id="1176"/>
      </w:r>
      <w:r>
        <w:t xml:space="preserve"> He then began that work that he had to do in fulfillment of the mediatorial law that the Father had given him. He continued his private life for about thirty years, dwelling at Nazareth in the house of his reputed father, Joseph, where he served God in a private capacity, and in following a mechanical trade, the business of a carpenter.</w:t>
      </w:r>
    </w:p>
    <w:p>
      <w:pPr>
        <w:pStyle w:val="BodyText"/>
      </w:pPr>
      <w:r>
        <w:t xml:space="preserve">2.</w:t>
      </w:r>
      <w:r>
        <w:rPr>
          <w:rStyle w:val="FootnoteReference"/>
        </w:rPr>
        <w:footnoteReference w:id="1177"/>
      </w:r>
      <w:r>
        <w:t xml:space="preserve"> Those acts that he performed during his public ministry, which began when he was about thirty years of age. Thirty years was the age at which the prophet's work by God's direction began, Numbers 4, </w:t>
      </w:r>
      <w:r>
        <w:rPr>
          <w:rStyle w:val="FootnoteReference"/>
        </w:rPr>
        <w:footnoteReference w:id="1178"/>
      </w:r>
      <w:r>
        <w:t xml:space="preserve"> and continued for the three last years and one-half of his life. Most of the history of the Evangelists is taken up in giving an account of what passed during these three years and one-half. So is all the history of the evangelist Matthew, excepting the Matthew 1–2. So is the whole of the history of the evangelist</w:t>
      </w:r>
      <w:r>
        <w:rPr>
          <w:rStyle w:val="FootnoteReference"/>
        </w:rPr>
        <w:footnoteReference w:id="1179"/>
      </w:r>
      <w:r>
        <w:t xml:space="preserve"> Mark; it begins and ends with it. And so also is all the Gospel of John, and all the Gospel of Luke, excepting the Luke 1–2, excepting what we find in the Evangelists concerning the ministry of John the Baptist. Christ's first appearing in his public ministry is what is often called his coming in Scripture.</w:t>
      </w:r>
      <w:r>
        <w:rPr>
          <w:rStyle w:val="FootnoteReference"/>
        </w:rPr>
        <w:footnoteReference w:id="1180"/>
      </w:r>
      <w:r>
        <w:t xml:space="preserve"> Thus John speaks of Christ's coming as what is yet to be, though he had been born long before.</w:t>
      </w:r>
      <w:r>
        <w:rPr>
          <w:rStyle w:val="FootnoteReference"/>
        </w:rPr>
        <w:footnoteReference w:id="1181"/>
      </w:r>
    </w:p>
    <w:p>
      <w:pPr>
        <w:pStyle w:val="BodyText"/>
      </w:pPr>
      <w:r>
        <w:t xml:space="preserve">Concerning the public ministry of Christ, I would observe the following things: 1. the forerunner of it, 2. the manner of his entering on it, 3. the works in which he was employed during the course of it, and 4.</w:t>
      </w:r>
      <w:r>
        <w:rPr>
          <w:rStyle w:val="FootnoteReference"/>
        </w:rPr>
        <w:footnoteReference w:id="1182"/>
      </w:r>
      <w:r>
        <w:t xml:space="preserve"> the manner of his finishing of it.</w:t>
      </w:r>
    </w:p>
    <w:p>
      <w:pPr>
        <w:pStyle w:val="SourcePage"/>
      </w:pPr>
      <w:r>
        <w:t xml:space="preserve">[p. 314]</w:t>
      </w:r>
    </w:p>
    <w:p>
      <w:pPr>
        <w:pStyle w:val="BodyText"/>
      </w:pPr>
      <w:r>
        <w:t xml:space="preserve">1.</w:t>
      </w:r>
      <w:r>
        <w:rPr>
          <w:rStyle w:val="FootnoteReference"/>
        </w:rPr>
        <w:footnoteReference w:id="1183"/>
      </w:r>
      <w:r>
        <w:t xml:space="preserve"> The forerunner of Christ's coming in his public ministry was John the Baptist.</w:t>
      </w:r>
      <w:r>
        <w:rPr>
          <w:rStyle w:val="FootnoteReference"/>
        </w:rPr>
        <w:footnoteReference w:id="1184"/>
      </w:r>
      <w:r>
        <w:t xml:space="preserve"> He came preaching repentance for the remission of sins,</w:t>
      </w:r>
      <w:r>
        <w:rPr>
          <w:rStyle w:val="FootnoteReference"/>
        </w:rPr>
        <w:footnoteReference w:id="1185"/>
      </w:r>
      <w:r>
        <w:t xml:space="preserve"> to make way for Christ's coming agreeable to the prophecies of him, Isaiah 40:3–5 ["The voice of him that crieth in the wilderness, Prepare ye the way of the Lord.… And the glory of the Lord shall be revealed"], and Malachi 4:5–6 ["Behold I will send you Elijah the prophet before the coming of the … day of the Lord"]. 'Tis supposed that John the Baptist began his ministry about three years and onehalf before Christ, so that John's ministry and Christ's put together made seven years, which was the last of Daniel's weeks, Daniel 9:27, "He will confirm the covenant with many for one week," Christ came in the midst of this, viz. the beginning of the last half of it, or the last three years and one-half, as Daniel foretold, as in the same verse ["And in the midst of the week he shall cause the sacrifice and the oblation to cease"].</w:t>
      </w:r>
    </w:p>
    <w:p>
      <w:pPr>
        <w:pStyle w:val="BodyText"/>
      </w:pPr>
      <w:r>
        <w:t xml:space="preserve">John's baptizing ministry consisted principally in preaching the law to awaken men and convince 'em of sin, to prepare men for the coming of Christ to comfort 'em, as the law is to prepare the heart for the entertainment of the gospel. There was a very remarkable outpouring of the Spirit of God attended John's ministry.</w:t>
      </w:r>
      <w:r>
        <w:rPr>
          <w:rStyle w:val="FootnoteReference"/>
        </w:rPr>
        <w:footnoteReference w:id="1186"/>
      </w:r>
      <w:r>
        <w:t xml:space="preserve"> John is spoken of as the greatest of all the prophets that came before Christ, Matthew 11:11, "Among these that are born of women [there hath not risen a greater than John the Baptist],"</w:t>
      </w:r>
      <w:r>
        <w:rPr>
          <w:rStyle w:val="FootnoteReference"/>
        </w:rPr>
        <w:footnoteReference w:id="1187"/>
      </w:r>
      <w:r>
        <w:t xml:space="preserve"> i.e. he had the most honorable office.</w:t>
      </w:r>
    </w:p>
    <w:p>
      <w:pPr>
        <w:pStyle w:val="BodyText"/>
      </w:pPr>
      <w:r>
        <w:t xml:space="preserve">He was as the morning star that is the harbinger of the approaching day and forerunner of the rising sun. The other prophets were stars that were to give light in the night, but we have heard how those stars went out on the approach of the gospel day. But now the coming of Christ being very nigh, the morning star comes before him, the brightest of all the stars, as John the Baptist was the greatest of all the prophets. And when Christ came in his public ministry, the light of that morning star decreased too, as we see when the sun rises it diminishes the light of the morning star. So John the Baptist says of himself, John 3:30, "He must increase, but</w:t>
      </w:r>
      <w:r>
        <w:rPr>
          <w:rStyle w:val="FootnoteReference"/>
        </w:rPr>
        <w:footnoteReference w:id="1188"/>
      </w:r>
      <w:r>
        <w:t xml:space="preserve"> I must decrease." And</w:t>
      </w:r>
    </w:p>
    <w:p>
      <w:pPr>
        <w:pStyle w:val="SourcePage"/>
      </w:pPr>
      <w:r>
        <w:t xml:space="preserve">[p. 315]</w:t>
      </w:r>
    </w:p>
    <w:p>
      <w:pPr>
        <w:pStyle w:val="BodyText"/>
      </w:pPr>
      <w:r>
        <w:t xml:space="preserve">soon after Christ began his public ministry, John the Baptist was put to death, as though the morning star is visible a little while after the sun is risen, yet soon after it goes out.</w:t>
      </w:r>
    </w:p>
    <w:p>
      <w:pPr>
        <w:pStyle w:val="BodyText"/>
      </w:pPr>
      <w:r>
        <w:t xml:space="preserve">2.</w:t>
      </w:r>
      <w:r>
        <w:rPr>
          <w:rStyle w:val="FootnoteReference"/>
        </w:rPr>
        <w:footnoteReference w:id="1189"/>
      </w:r>
      <w:r>
        <w:t xml:space="preserve"> The next thing to be taken notice of is Christ's entrance on his public ministry, which was by baptism followed with the temptation in the wilderness. His baptism was, as it were, his solemn inauguration and by which he entered on his ministry; and was attended with his anointing with the Holy [Spirit], in a solemn and visible manner, the Holy Spirit descending [upon him "like a dove"],</w:t>
      </w:r>
      <w:r>
        <w:rPr>
          <w:rStyle w:val="FootnoteReference"/>
        </w:rPr>
        <w:footnoteReference w:id="1190"/>
      </w:r>
      <w:r>
        <w:t xml:space="preserve"> attended with "a voice from heaven, [saying, This is my beloved Son, in whom I am well pleased],"</w:t>
      </w:r>
      <w:r>
        <w:rPr>
          <w:rStyle w:val="FootnoteReference"/>
        </w:rPr>
        <w:footnoteReference w:id="1191"/>
      </w:r>
      <w:r>
        <w:t xml:space="preserve"> Matthew 3:16–17. After this he was led of the devil into the wilderness.</w:t>
      </w:r>
      <w:r>
        <w:rPr>
          <w:rStyle w:val="FootnoteReference"/>
        </w:rPr>
        <w:footnoteReference w:id="1192"/>
      </w:r>
      <w:r>
        <w:t xml:space="preserve"> Satan made a violent onset upon him in his first entrance on his work, and now he had a remarkable trial of his obedience. But he got the victory.</w:t>
      </w:r>
      <w:r>
        <w:rPr>
          <w:rStyle w:val="FootnoteReference"/>
        </w:rPr>
        <w:footnoteReference w:id="1193"/>
      </w:r>
      <w:r>
        <w:t xml:space="preserve"> He who had such success with the first Adam had none with the second.</w:t>
      </w:r>
    </w:p>
    <w:p>
      <w:pPr>
        <w:pStyle w:val="BodyText"/>
      </w:pPr>
      <w:r>
        <w:t xml:space="preserve">3.</w:t>
      </w:r>
      <w:r>
        <w:rPr>
          <w:rStyle w:val="FootnoteReference"/>
        </w:rPr>
        <w:footnoteReference w:id="1194"/>
      </w:r>
      <w:r>
        <w:t xml:space="preserve"> I would take notice of the works in which Christ was employed during the course of his ministry. And here are three things chiefly to be taken notice of, viz. his preaching, and his working miracles, his calling and appointing disciples, ministers of his kingdom.</w:t>
      </w:r>
    </w:p>
    <w:p>
      <w:pPr>
        <w:pStyle w:val="BodyText"/>
      </w:pPr>
      <w:r>
        <w:t xml:space="preserve">1.</w:t>
      </w:r>
      <w:r>
        <w:rPr>
          <w:rStyle w:val="FootnoteReference"/>
        </w:rPr>
        <w:footnoteReference w:id="1195"/>
      </w:r>
      <w:r>
        <w:t xml:space="preserve"> His preaching the gospel. Great part of the work of his public ministry consisted in this, and much of that obedience by which he purchased salvation for us was in his speaking those things that the Father commanded him. He more clearly and abundantly revealed the mind and will of God than ever it had been before. He came from the "bosom of the Father,"</w:t>
      </w:r>
      <w:r>
        <w:rPr>
          <w:rStyle w:val="FootnoteReference"/>
        </w:rPr>
        <w:footnoteReference w:id="1196"/>
      </w:r>
      <w:r>
        <w:t xml:space="preserve"> and perfectly knew his mind, and was under the best capacity to reveal it. As the sun as soon as 'tis risen begins to shine, so Christ as soon as he came into his public ministry began to enlighten the world with his doctrine.</w:t>
      </w:r>
      <w:r>
        <w:rPr>
          <w:rStyle w:val="FootnoteReference"/>
        </w:rPr>
        <w:footnoteReference w:id="1197"/>
      </w:r>
      <w:r>
        <w:t xml:space="preserve"> As the law was given at Mount Sinai, so Christ delivered his blessed evangelical doctrine to a multitude on a mountain, full of blessings and not torments and curses, as we have an account in the Matthew 5–7.</w:t>
      </w:r>
      <w:r>
        <w:rPr>
          <w:rStyle w:val="FootnoteReference"/>
        </w:rPr>
        <w:footnoteReference w:id="1198"/>
      </w:r>
    </w:p>
    <w:p>
      <w:pPr>
        <w:pStyle w:val="SourcePage"/>
      </w:pPr>
      <w:r>
        <w:t xml:space="preserve">[p. 316]</w:t>
      </w:r>
    </w:p>
    <w:p>
      <w:pPr>
        <w:pStyle w:val="BodyText"/>
      </w:pPr>
      <w:r>
        <w:t xml:space="preserve">He when he preached he did not teach as the scribes but he taught "as one having authority,"</w:t>
      </w:r>
      <w:r>
        <w:rPr>
          <w:rStyle w:val="FootnoteReference"/>
        </w:rPr>
        <w:footnoteReference w:id="1199"/>
      </w:r>
      <w:r>
        <w:t xml:space="preserve"> so that his hearers were astonished at his doctrine. He did not reveal the mind and will of God in the style that the prophets used to. The prophets don't used to preach as speaking their own word, but the word of another; and used to speak in such a style as this, "Thus saith the Lord," but Christ in such a style as this, "I say unto you" thus or thus, "verily, verily, I say unto you."</w:t>
      </w:r>
      <w:r>
        <w:rPr>
          <w:rStyle w:val="FootnoteReference"/>
        </w:rPr>
        <w:footnoteReference w:id="1200"/>
      </w:r>
      <w:r>
        <w:t xml:space="preserve"> He delivered his doctrines not only as the doctrines of God the Father, but as his own doctrines. He gave forth his commands, not as the prophets used to as God's commands, but as his own commands. He spoke in</w:t>
      </w:r>
      <w:r>
        <w:rPr>
          <w:rStyle w:val="FootnoteReference"/>
        </w:rPr>
        <w:footnoteReference w:id="1201"/>
      </w:r>
      <w:r>
        <w:t xml:space="preserve"> such a style as this, John 15:12, </w:t>
      </w:r>
      <w:r>
        <w:rPr>
          <w:rStyle w:val="FootnoteReference"/>
        </w:rPr>
        <w:footnoteReference w:id="1202"/>
      </w:r>
      <w:r>
        <w:t xml:space="preserve"> "This is my commandment," then are ye my disciples "if ye do whatsoever I command you,"</w:t>
      </w:r>
      <w:r>
        <w:rPr>
          <w:rStyle w:val="FootnoteReference"/>
        </w:rPr>
        <w:footnoteReference w:id="1203"/>
      </w:r>
      <w:r>
        <w:t xml:space="preserve"> John 15:14.</w:t>
      </w:r>
    </w:p>
    <w:p>
      <w:pPr>
        <w:pStyle w:val="BodyText"/>
      </w:pPr>
      <w:r>
        <w:t xml:space="preserve">2.</w:t>
      </w:r>
      <w:r>
        <w:rPr>
          <w:rStyle w:val="FootnoteReference"/>
        </w:rPr>
        <w:footnoteReference w:id="1204"/>
      </w:r>
      <w:r>
        <w:t xml:space="preserve"> Another thing that Christ was employed in during the course of his ‹ministry› was working miracles, concerning which I would observe several things:</w:t>
      </w:r>
    </w:p>
    <w:p>
      <w:pPr>
        <w:pStyle w:val="BodyText"/>
      </w:pPr>
      <w:r>
        <w:t xml:space="preserve">1.</w:t>
      </w:r>
      <w:r>
        <w:rPr>
          <w:rStyle w:val="FootnoteReference"/>
        </w:rPr>
        <w:footnoteReference w:id="1205"/>
      </w:r>
      <w:r>
        <w:t xml:space="preserve"> There [were] multitudes. Besides particular instances we often have an account of multitudes coming with diseases, and his healing them all.</w:t>
      </w:r>
    </w:p>
    <w:p>
      <w:pPr>
        <w:pStyle w:val="BodyText"/>
      </w:pPr>
      <w:r>
        <w:t xml:space="preserve">2.</w:t>
      </w:r>
      <w:r>
        <w:rPr>
          <w:rStyle w:val="FootnoteReference"/>
        </w:rPr>
        <w:footnoteReference w:id="1206"/>
      </w:r>
      <w:r>
        <w:t xml:space="preserve"> They were works of mercy.</w:t>
      </w:r>
    </w:p>
    <w:p>
      <w:pPr>
        <w:pStyle w:val="BodyText"/>
      </w:pPr>
      <w:r>
        <w:t xml:space="preserve">3.</w:t>
      </w:r>
      <w:r>
        <w:rPr>
          <w:rStyle w:val="FootnoteReference"/>
        </w:rPr>
        <w:footnoteReference w:id="1207"/>
      </w:r>
      <w:r>
        <w:t xml:space="preserve"> They were almost all of them such as had been spoken of as the peculiar works</w:t>
      </w:r>
      <w:r>
        <w:rPr>
          <w:rStyle w:val="FootnoteReference"/>
        </w:rPr>
        <w:footnoteReference w:id="1208"/>
      </w:r>
      <w:r>
        <w:t xml:space="preserve"> of God in the Old Testament: Stilling the sea,</w:t>
      </w:r>
      <w:r>
        <w:rPr>
          <w:rStyle w:val="FootnoteReference"/>
        </w:rPr>
        <w:footnoteReference w:id="1209"/>
      </w:r>
      <w:r>
        <w:t xml:space="preserve"> Psalms 107:29, "He maketh the storm a calm, so that the waves thereof are still." Walking on the sea in a storm,</w:t>
      </w:r>
      <w:r>
        <w:rPr>
          <w:rStyle w:val="FootnoteReference"/>
        </w:rPr>
        <w:footnoteReference w:id="1210"/>
      </w:r>
      <w:r>
        <w:t xml:space="preserve"> Job 9:8 "Which [alone …</w:t>
      </w:r>
    </w:p>
    <w:p>
      <w:pPr>
        <w:pStyle w:val="SourcePage"/>
      </w:pPr>
      <w:r>
        <w:t xml:space="preserve">[p. 317]</w:t>
      </w:r>
    </w:p>
    <w:p>
      <w:pPr>
        <w:pStyle w:val="BodyText"/>
      </w:pPr>
      <w:r>
        <w:t xml:space="preserve">treadeth upon the waves of the sea]." Casting out devils,</w:t>
      </w:r>
      <w:r>
        <w:rPr>
          <w:rStyle w:val="FootnoteReference"/>
        </w:rPr>
        <w:footnoteReference w:id="1211"/>
      </w:r>
      <w:r>
        <w:t xml:space="preserve"> Psalms 74:14, "Thou brakest [the heads of leviathan in pieces]." Feeding a multitude in a wilderness,</w:t>
      </w:r>
      <w:r>
        <w:rPr>
          <w:rStyle w:val="FootnoteReference"/>
        </w:rPr>
        <w:footnoteReference w:id="1212"/>
      </w:r>
      <w:r>
        <w:t xml:space="preserve"> Deuteronomy 8:16, "Who fed thee in a wilderness [with manna]." Telling man's thoughts,</w:t>
      </w:r>
      <w:r>
        <w:rPr>
          <w:rStyle w:val="FootnoteReference"/>
        </w:rPr>
        <w:footnoteReference w:id="1213"/>
      </w:r>
      <w:r>
        <w:t xml:space="preserve"> Amos 4:13 ["Lo, he that … declareth unto man what is his thought"]. Raising the dead,</w:t>
      </w:r>
      <w:r>
        <w:rPr>
          <w:rStyle w:val="FootnoteReference"/>
        </w:rPr>
        <w:footnoteReference w:id="1214"/>
      </w:r>
      <w:r>
        <w:t xml:space="preserve"> Psalms 68:20, "Unto the Lord our God belong [the issues from death]." Opening eyes of blind,</w:t>
      </w:r>
      <w:r>
        <w:rPr>
          <w:rStyle w:val="FootnoteReference"/>
        </w:rPr>
        <w:footnoteReference w:id="1215"/>
      </w:r>
      <w:r>
        <w:t xml:space="preserve"> Psalms 146:8, "The Lord openeth the eyes of the blind." Healing sick,</w:t>
      </w:r>
      <w:r>
        <w:rPr>
          <w:rStyle w:val="FootnoteReference"/>
        </w:rPr>
        <w:footnoteReference w:id="1216"/>
      </w:r>
      <w:r>
        <w:t xml:space="preserve"> Psalms 103:3, "Who healeth all thy [diseases]." Lifting up them who are bowed and bound together,</w:t>
      </w:r>
      <w:r>
        <w:rPr>
          <w:rStyle w:val="FootnoteReference"/>
        </w:rPr>
        <w:footnoteReference w:id="1217"/>
      </w:r>
      <w:r>
        <w:t xml:space="preserve"> Psalms 146:7–8, </w:t>
      </w:r>
      <w:r>
        <w:rPr>
          <w:rStyle w:val="FootnoteReference"/>
        </w:rPr>
        <w:footnoteReference w:id="1218"/>
      </w:r>
      <w:r>
        <w:t xml:space="preserve"> "The Lord looseth the prisoners: he raiseth up them that there are bowed down."</w:t>
      </w:r>
    </w:p>
    <w:p>
      <w:pPr>
        <w:pStyle w:val="BodyText"/>
      </w:pPr>
      <w:r>
        <w:t xml:space="preserve">4.</w:t>
      </w:r>
      <w:r>
        <w:rPr>
          <w:rStyle w:val="FootnoteReference"/>
        </w:rPr>
        <w:footnoteReference w:id="1219"/>
      </w:r>
      <w:r>
        <w:t xml:space="preserve"> They were in general such works as were images of the great work he came to work on man's heart.</w:t>
      </w:r>
    </w:p>
    <w:p>
      <w:pPr>
        <w:pStyle w:val="BodyText"/>
      </w:pPr>
      <w:r>
        <w:t xml:space="preserve">5.</w:t>
      </w:r>
      <w:r>
        <w:rPr>
          <w:rStyle w:val="FootnoteReference"/>
        </w:rPr>
        <w:footnoteReference w:id="1220"/>
      </w:r>
      <w:r>
        <w:t xml:space="preserve"> He wrought them in such a manner as to show that he did 'em by his own power, and not by the power of another, as</w:t>
      </w:r>
      <w:r>
        <w:rPr>
          <w:rStyle w:val="FootnoteReference"/>
        </w:rPr>
        <w:footnoteReference w:id="1221"/>
      </w:r>
      <w:r>
        <w:t xml:space="preserve"> other prophets did in the name of the Lord. Moses was forbidden to enter into Canaan because he seemed by his speech to assume the honor of working [one miracle only by himself],</w:t>
      </w:r>
      <w:r>
        <w:rPr>
          <w:rStyle w:val="FootnoteReference"/>
        </w:rPr>
        <w:footnoteReference w:id="1222"/>
      </w:r>
      <w:r>
        <w:t xml:space="preserve"> not as the apostles did who wrought all in the name of Christ. [Christ] wrought in his own name, by his own authority and will: "I will; [be thou clean]," Matthew 8:3, Matthew 9:28, "Believe ye that I am able [to do this?]."</w:t>
      </w:r>
    </w:p>
    <w:p>
      <w:pPr>
        <w:pStyle w:val="BodyText"/>
      </w:pPr>
      <w:r>
        <w:t xml:space="preserve">3.</w:t>
      </w:r>
      <w:r>
        <w:rPr>
          <w:rStyle w:val="FootnoteReference"/>
        </w:rPr>
        <w:footnoteReference w:id="1223"/>
      </w:r>
      <w:r>
        <w:t xml:space="preserve"> The next thing that Christ did ‹in the course of his public ministry› was the calling disciples. He called many disciples. There</w:t>
      </w:r>
    </w:p>
    <w:p>
      <w:pPr>
        <w:pStyle w:val="SourcePage"/>
      </w:pPr>
      <w:r>
        <w:t xml:space="preserve">[p. 318]</w:t>
      </w:r>
    </w:p>
    <w:p>
      <w:pPr>
        <w:pStyle w:val="BodyText"/>
      </w:pPr>
      <w:r>
        <w:t xml:space="preserve">were many that he prepared as ministers; seventy disciples [were] sent forth.</w:t>
      </w:r>
      <w:r>
        <w:rPr>
          <w:rStyle w:val="FootnoteReference"/>
        </w:rPr>
        <w:footnoteReference w:id="1224"/>
      </w:r>
      <w:r>
        <w:t xml:space="preserve"> But there were twelve that he set apart as apostles that were to be the grand ministers of his kingdom, as twelve foundations of his church, Revelation 21:14, [to] sit on twelve thrones [as] main instruments of setting up his kingdom in the world.</w:t>
      </w:r>
    </w:p>
    <w:p>
      <w:pPr>
        <w:pStyle w:val="BodyText"/>
      </w:pPr>
      <w:r>
        <w:t xml:space="preserve">4.</w:t>
      </w:r>
      <w:r>
        <w:rPr>
          <w:rStyle w:val="FootnoteReference"/>
        </w:rPr>
        <w:footnoteReference w:id="1225"/>
      </w:r>
      <w:r>
        <w:t xml:space="preserve"> I would observe how he finished, and this was: 1. in giving his dying counsels to his disciples and all that be his disciples,</w:t>
      </w:r>
      <w:r>
        <w:rPr>
          <w:rStyle w:val="FootnoteReference"/>
        </w:rPr>
        <w:footnoteReference w:id="1226"/>
      </w:r>
      <w:r>
        <w:t xml:space="preserve"> 2. in instituting a solemn memorial of his death,</w:t>
      </w:r>
      <w:r>
        <w:rPr>
          <w:rStyle w:val="FootnoteReference"/>
        </w:rPr>
        <w:footnoteReference w:id="1227"/>
      </w:r>
      <w:r>
        <w:t xml:space="preserve"> 3. as God's high priest, offering up himself a sacrifice to God, which he did in his last sufferings.</w:t>
      </w:r>
      <w:r>
        <w:rPr>
          <w:rStyle w:val="FootnoteReference"/>
        </w:rPr>
        <w:footnoteReference w:id="1228"/>
      </w:r>
      <w:r>
        <w:t xml:space="preserve"> This he did as God's minister, as God's anointed priest; and it was the greatest act of his public ministry, the greatest act of his obedience by which he purchased heaven for believers. The priests of old used to do many other things as God's ministers, but then were they in their highest execution of their office when they were actually offering sacrifice on the altar. So the greatest thing that Christ did in the execution of his office, and the greatest thing that ever he did and the greatest thing that ever was done, was the offering up [himself a sacrifice to God].</w:t>
      </w:r>
      <w:r>
        <w:rPr>
          <w:rStyle w:val="FootnoteReference"/>
        </w:rPr>
        <w:footnoteReference w:id="1229"/>
      </w:r>
      <w:r>
        <w:t xml:space="preserve"> Herein he was the antitype of all that had been done, by all the priests, and in all their sacrifices and offerings, from the beginning of the world.</w:t>
      </w:r>
    </w:p>
    <w:p>
      <w:pPr>
        <w:pStyle w:val="SourcePage"/>
      </w:pPr>
      <w:r>
        <w:t xml:space="preserve">[p. 319]</w:t>
      </w:r>
    </w:p>
    <w:p>
      <w:pPr>
        <w:pStyle w:val="Heading2"/>
      </w:pPr>
      <w:bookmarkStart w:name="heading_no_6_sermon_sixteen_june_17_" w:id="61"/>
      <w:r>
        <w:t xml:space="preserve">No. 6: SERMON SIXTEEN June 17, 1739</w:t>
      </w:r>
      <w:bookmarkEnd w:id="61"/>
    </w:p>
    <w:p>
      <w:pPr>
        <w:pStyle w:val="BodyText"/>
      </w:pPr>
      <w:r>
        <w:rPr>
          <w:rStyle w:val="FootnoteReference"/>
        </w:rPr>
        <w:footnoteReference w:id="1230"/>
      </w:r>
    </w:p>
    <w:p>
      <w:pPr>
        <w:pStyle w:val="BodyText"/>
      </w:pPr>
      <w:r>
        <w:rPr>
          <w:rStyle w:val="FootnoteReference"/>
        </w:rPr>
        <w:footnoteReference w:id="1231"/>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15" w:id="62"/>
      <w:r>
        <w:t xml:space="preserve">[DOCTRINE]</w:t>
      </w:r>
      <w:bookmarkEnd w:id="62"/>
    </w:p>
    <w:p>
      <w:pPr>
        <w:pStyle w:val="BlockQuote"/>
      </w:pPr>
      <w:r>
        <w:rPr>
          <w:i/>
          <w:iCs/>
        </w:rPr>
        <w:t xml:space="preserve">[The Work of Redemption is a work that God carries on from the fall of man to the end of the world.]</w:t>
      </w:r>
      <w:r>
        <w:rPr>
          <w:rStyle w:val="FootnoteReference"/>
        </w:rPr>
        <w:footnoteReference w:id="1232"/>
      </w:r>
    </w:p>
    <w:p>
      <w:pPr>
        <w:pStyle w:val="BodyText"/>
      </w:pPr>
      <w:r>
        <w:t xml:space="preserve">IN showing from this text how that the Work of Redemption is carried on from the fall of man to the end of the world, after having shown how it was carried on through that period from the fall of man to the incarnation of Christ, we were last showing how it was carried on through the second period, viz. from the incarnation of Christ till his resurrection, from this proposition: [that during the time of Christ's humiliation, from his incarnation to his resurrection, the purchase of redemption was made].</w:t>
      </w:r>
      <w:r>
        <w:rPr>
          <w:rStyle w:val="FootnoteReference"/>
        </w:rPr>
        <w:footnoteReference w:id="1233"/>
      </w:r>
      <w:r>
        <w:t xml:space="preserve"> And in how by this I proposed: first, to consider the incarnation by which Christ qualified; 2. to consider the purchase itself. And in speaking of the purchase itself, three things were proposed, 1. show what is intended by the purchase of redemption, 2. observe some things in general concerning those things by which the purchase was made, 3. and duly consider two more particulars to those things that Christ did and suffered by which that purchase was made.</w:t>
      </w:r>
    </w:p>
    <w:p>
      <w:pPr>
        <w:pStyle w:val="BodyText"/>
      </w:pPr>
      <w:r>
        <w:t xml:space="preserve">We entered in a third and last of these things proposed, viz. a more particular consideration of those things by which the purchase was</w:t>
      </w:r>
    </w:p>
    <w:p>
      <w:pPr>
        <w:pStyle w:val="SourcePage"/>
      </w:pPr>
      <w:r>
        <w:t xml:space="preserve">[p. 320]</w:t>
      </w:r>
    </w:p>
    <w:p>
      <w:pPr>
        <w:pStyle w:val="BodyText"/>
      </w:pPr>
      <w:r>
        <w:t xml:space="preserve">made. And here it was proposed to consider those things under a twofold view, viz. 1. with respect to his righteousness that appeared in them, and 2. with respect to the suffering and humiliation that he was subject to in them in our stead. And in considering them with respect to his righteousness that</w:t>
      </w:r>
      <w:r>
        <w:rPr>
          <w:rStyle w:val="FootnoteReference"/>
        </w:rPr>
        <w:footnoteReference w:id="1234"/>
      </w:r>
      <w:r>
        <w:t xml:space="preserve"> appears in them, it was observed that they were subject to a threefold distribution, viz., 1. with respect to the laws he obeyed, 2. with respect to the different stages of life, 3. with respect to the virtues he manifested. I have considered those things by which Christ purchased redemption as by a righteousness with regard to the two former. I now come,</w:t>
      </w:r>
    </w:p>
    <w:p>
      <w:pPr>
        <w:pStyle w:val="BodyText"/>
      </w:pPr>
      <w:r>
        <w:t xml:space="preserve">3.</w:t>
      </w:r>
      <w:r>
        <w:rPr>
          <w:rStyle w:val="FootnoteReference"/>
        </w:rPr>
        <w:footnoteReference w:id="1235"/>
      </w:r>
      <w:r>
        <w:t xml:space="preserve"> to consider 'em in the last place with regard to the virtues that Christ exercised and manifested in them. And here I would observe that Christ in doing the work that he had to do here in the world for our redemption exercised every possible virtue and grace. Indeed there are some particular virtues that sinful man may have that were not in Christ, not from any want or defect of virtue, but because his virtue was perfect and without defect. Such is the virtue of repentance, and brokenness of heart for sin, and mortification, and denying lust. These virtues were not in Christ because he had no sin of his own to repent of, nor any lust to deny. But all virtues that don't presuppose sin</w:t>
      </w:r>
      <w:r>
        <w:rPr>
          <w:rStyle w:val="FootnoteReference"/>
        </w:rPr>
        <w:footnoteReference w:id="1236"/>
      </w:r>
      <w:r>
        <w:t xml:space="preserve"> were in him, and that in a higher degree than ever they were in any other man or any mere creature. Every virtue in him was perfect. Virtue itself was greater in him than in any other, and it was under greater advantages to shine in him than in any other. Strict virtue shines most when most tried, but never any virtue had such trials as Christ's had.</w:t>
      </w:r>
    </w:p>
    <w:p>
      <w:pPr>
        <w:pStyle w:val="BodyText"/>
      </w:pPr>
      <w:r>
        <w:t xml:space="preserve">The virtue that Christ exercised in the work that he did may be divided into three sorts, viz. the virtues that more immediately respect God, himself, and men.</w:t>
      </w:r>
    </w:p>
    <w:p>
      <w:pPr>
        <w:pStyle w:val="BodyText"/>
      </w:pPr>
      <w:r>
        <w:t xml:space="preserve">1.</w:t>
      </w:r>
      <w:r>
        <w:rPr>
          <w:rStyle w:val="FootnoteReference"/>
        </w:rPr>
        <w:footnoteReference w:id="1237"/>
      </w:r>
      <w:r>
        <w:t xml:space="preserve"> Those virtues that more immediately respect God wonderfully appeared in Christ in the work that he did for our redemption. There appeared in him a holy fear and reverence towards God the Father. Christ had a greater trial of his virtue in this respect than ever any other had, from the honorableness of his person. This was the temptation of the angels that fell, to cast off their worship of God and reverence of his majesty, that they were beings of such exalted dignity</w:t>
      </w:r>
    </w:p>
    <w:p>
      <w:pPr>
        <w:pStyle w:val="SourcePage"/>
      </w:pPr>
      <w:r>
        <w:t xml:space="preserve">[p. 321]</w:t>
      </w:r>
    </w:p>
    <w:p>
      <w:pPr>
        <w:pStyle w:val="BodyText"/>
      </w:pPr>
      <w:r>
        <w:t xml:space="preserve">and worthiness themselves. But Christ was infinitely more worthy and honorable than they, for he was the eternal son of God and his person was equal to the person of God the Father; and yet as he had taken on him the office of a mediator and the nature of man, he was full of</w:t>
      </w:r>
      <w:r>
        <w:rPr>
          <w:rStyle w:val="FootnoteReference"/>
        </w:rPr>
        <w:footnoteReference w:id="1238"/>
      </w:r>
      <w:r>
        <w:t xml:space="preserve"> reverence towards God. He adored him in the most reverential manner time after time.</w:t>
      </w:r>
    </w:p>
    <w:p>
      <w:pPr>
        <w:pStyle w:val="BodyText"/>
      </w:pPr>
      <w:r>
        <w:t xml:space="preserve">So he manifested a wonderful love to God. The angels give great testimonies of their love to God in their constancy and activity in doing the will of God. And many saints have given great testimonies of their love, who from love to God have endured great labors and sufferings. But none ever gave such testimonies of love to God as Christ has done, none ever performed such a labor of love as he, or suffered so much from love to God as he. So he manifested the most wonderful submission to the will of God. Never was anybody's submission so tried as his was. So he manifested the most wonderful spirit of obedience that ever was manifested. And then,</w:t>
      </w:r>
    </w:p>
    <w:p>
      <w:pPr>
        <w:pStyle w:val="BodyText"/>
      </w:pPr>
      <w:r>
        <w:t xml:space="preserve">2.</w:t>
      </w:r>
      <w:r>
        <w:rPr>
          <w:rStyle w:val="FootnoteReference"/>
        </w:rPr>
        <w:footnoteReference w:id="1239"/>
      </w:r>
      <w:r>
        <w:t xml:space="preserve"> Christ in this work wonderfully manifested those virtues that more immediately respected himself, as particularly humility and patience, contempt of the world. Christ though he was the most excellent and honorable of all men, yet was the most humble. Yea, he was the most humble of all creatures. No angels nor men ever equaled him in humility though he was the highest of all creatures in dignity and honorableness. Christ would have been under the greatest temptations to pride if it had been possible that anything could have been a</w:t>
      </w:r>
      <w:r>
        <w:rPr>
          <w:rStyle w:val="FootnoteReference"/>
        </w:rPr>
        <w:footnoteReference w:id="1240"/>
      </w:r>
      <w:r>
        <w:t xml:space="preserve"> temptation to him. The temptation of the angels that fell was the dignity of their nature and the honorableness of their circumstances, but Christ was infinitely more honorable than they. The human nature of Christ was so honored as to be in the same person with the eternal son of God, that was equal with God, and yet that human nature was not at all lifted up with pride. Nor was the man, Christ Jesus, at all lifted up with pride with all those wonderful works [such as] raising the dead. And though he knew that God had appointed him to be the king over heaven and earth, angels and men, as he says, Matthew 11:27, "All things are delivered unto me [of my Father]," though he knew he was such an infinitely honorable person, and "thought it not robbery [to be equal with God],"</w:t>
      </w:r>
      <w:r>
        <w:rPr>
          <w:rStyle w:val="FootnoteReference"/>
        </w:rPr>
        <w:footnoteReference w:id="1241"/>
      </w:r>
      <w:r>
        <w:t xml:space="preserve"> and though he knew</w:t>
      </w:r>
    </w:p>
    <w:p>
      <w:pPr>
        <w:pStyle w:val="SourcePage"/>
      </w:pPr>
      <w:r>
        <w:t xml:space="preserve">[p. 322]</w:t>
      </w:r>
    </w:p>
    <w:p>
      <w:pPr>
        <w:pStyle w:val="BodyText"/>
      </w:pPr>
      <w:r>
        <w:t xml:space="preserve">he was the heir of God the Father's kingdom, yet such was his humility that he did not disdain to be abased and depressed down into lower and viler circumstances and sufferings than ever any other elect creature was; so that he became least of all and lowest of all. The proper trial and evidence of humility is stooping or complying with those acts or circumstances</w:t>
      </w:r>
      <w:r>
        <w:rPr>
          <w:rStyle w:val="FootnoteReference"/>
        </w:rPr>
        <w:footnoteReference w:id="1242"/>
      </w:r>
      <w:r>
        <w:t xml:space="preserve"> when called to it that are very low and contain great abasement. But none ever stooped so low as Christ, if we consider either the infinite height that he stooped from, or the great depth to which he stooped. Such was his humility that though he knew his infinite worthiness of honor, and of being honored ten thousand times as much as the highest prince on earth, or angel in heaven yet he did not think it too much when called to it to be bound as a cursed malefactor, and to be the laughing stock and spitting stock of the vilest of men, and to be crowned with thorns and a mock robe</w:t>
      </w:r>
      <w:r>
        <w:rPr>
          <w:rStyle w:val="FootnoteReference"/>
        </w:rPr>
        <w:footnoteReference w:id="1243"/>
      </w:r>
      <w:r>
        <w:t xml:space="preserve"> and crucified like a slave and malefactor and one of the meanest and worst of vagabonds and miscreants, and a cursed enemy of God and men that was not fit to live on the earth, and that not for himself but for some of the meanest and vilest of creatures, some of those cursed wretches that crucified [him]. Was not this a wonderful manifestation of humility when he cheerfully and most freely complied with this abasement.</w:t>
      </w:r>
    </w:p>
    <w:p>
      <w:pPr>
        <w:pStyle w:val="BodyText"/>
      </w:pPr>
      <w:r>
        <w:t xml:space="preserve">And how did his patience shine forth under all the terrible sufferings</w:t>
      </w:r>
      <w:r>
        <w:rPr>
          <w:rStyle w:val="FootnoteReference"/>
        </w:rPr>
        <w:footnoteReference w:id="1244"/>
      </w:r>
      <w:r>
        <w:t xml:space="preserve"> he endured when he was dumb and opened not his mouth but went as a lamb to the slaughter.</w:t>
      </w:r>
      <w:r>
        <w:rPr>
          <w:rStyle w:val="FootnoteReference"/>
        </w:rPr>
        <w:footnoteReference w:id="1245"/>
      </w:r>
      <w:r>
        <w:t xml:space="preserve"> And was like a patient lamb under all the sufferings he endured from first to last. And what contempt of the glory of the world was there when he rather chose this contempt and meanness and suffering, than to wear a temporal crown and be invested with the external glories of an earthly prince, as the multitude often solicited him.</w:t>
      </w:r>
      <w:r>
        <w:rPr>
          <w:rStyle w:val="FootnoteReference"/>
        </w:rPr>
        <w:footnoteReference w:id="1246"/>
      </w:r>
    </w:p>
    <w:p>
      <w:pPr>
        <w:pStyle w:val="BodyText"/>
      </w:pPr>
      <w:r>
        <w:t xml:space="preserve">3.</w:t>
      </w:r>
      <w:r>
        <w:rPr>
          <w:rStyle w:val="FootnoteReference"/>
        </w:rPr>
        <w:footnoteReference w:id="1247"/>
      </w:r>
      <w:r>
        <w:t xml:space="preserve"> Christ in the work that he wrought out, in a wonderful manner exercised those virtues that more immediately respect other men. And these may be summed up under two heads, viz. meekness and love.</w:t>
      </w:r>
    </w:p>
    <w:p>
      <w:pPr>
        <w:pStyle w:val="BodyText"/>
      </w:pPr>
      <w:r>
        <w:t xml:space="preserve">Christ's meekness was his humble calmness of spirit under the</w:t>
      </w:r>
    </w:p>
    <w:p>
      <w:pPr>
        <w:pStyle w:val="SourcePage"/>
      </w:pPr>
      <w:r>
        <w:t xml:space="preserve">[p. 323]</w:t>
      </w:r>
    </w:p>
    <w:p>
      <w:pPr>
        <w:pStyle w:val="BodyText"/>
      </w:pPr>
      <w:r>
        <w:t xml:space="preserve">provocations that he met with. None ever met with so great provocations as he did. The greatness of provocation lies in two things, viz. in the degree of opposition by which the provocation is given, and secondly in the degree of the unreasonableness of that opposition,</w:t>
      </w:r>
      <w:r>
        <w:rPr>
          <w:rStyle w:val="FootnoteReference"/>
        </w:rPr>
        <w:footnoteReference w:id="1248"/>
      </w:r>
      <w:r>
        <w:t xml:space="preserve"> or in its being very causeless and without reason, and the great degree of obligation to the contrary.</w:t>
      </w:r>
    </w:p>
    <w:p>
      <w:pPr>
        <w:pStyle w:val="BodyText"/>
      </w:pPr>
      <w:r>
        <w:t xml:space="preserve">Now if we consider both these things, no man ever met with such provocations as Christ did when he was upon earth. If we consider how much he was hated, what abuses he suffered from the vilest of men, how great his sufferings from men were, and how spiteful and how contemptuous they were in offering him these abuses; and also consider how causeless and unreasonable these abuses were, how undeserving he was of them, and how much deserving of the contrary, viz. of love, and honor, and good treatment at their hands, I say, if we consider these things, no man ever met with a thousandth part of the provocation that Christ met with from men. And yet how meek was he under all, how composed and quiet his spirit, how far from being in a ruffle and tumult; when he was reviled he reviled not. Again, Isaiah 53:7, "as a sheep before his shearers is dumb, so he opened not his mouth." No appearance of a</w:t>
      </w:r>
      <w:r>
        <w:rPr>
          <w:rStyle w:val="FootnoteReference"/>
        </w:rPr>
        <w:footnoteReference w:id="1249"/>
      </w:r>
      <w:r>
        <w:t xml:space="preserve"> revengeful spirit; on the contrary, what a spirit of forgiveness was there. So that he fervently and effectually prayed for their forgiveness when they were in the highest act of provocation that ever they were, viz. nailing him to the cross, Luke 23:34, "Father forgive."</w:t>
      </w:r>
      <w:r>
        <w:rPr>
          <w:rStyle w:val="FootnoteReference"/>
        </w:rPr>
        <w:footnoteReference w:id="1250"/>
      </w:r>
    </w:p>
    <w:p>
      <w:pPr>
        <w:pStyle w:val="BodyText"/>
      </w:pPr>
      <w:r>
        <w:t xml:space="preserve">And never did there appear such an instance of love to men, Christ's love to men, that he showed when on earth. And especially in going through his last sufferings and offering up his life and soul under those sufferings, which was his greatest act of love; [this] was far beyond all parallel. There have been very remarkable manifestions of love in some of the saints, as in the apostle Paul, the apostle John, and others, but the love to men that Christ showed when on earth as much exceeded the love of all other men as the ocean exceeds a small stream.</w:t>
      </w:r>
    </w:p>
    <w:p>
      <w:pPr>
        <w:pStyle w:val="BodyText"/>
      </w:pPr>
      <w:r>
        <w:t xml:space="preserve">And 'tis to be observed that all the virtues that appeared in Christ shone brightest in the close of his life under the trials he met with then. Eminent virtue always shines brightest in the fire, pure gold</w:t>
      </w:r>
    </w:p>
    <w:p>
      <w:pPr>
        <w:pStyle w:val="SourcePage"/>
      </w:pPr>
      <w:r>
        <w:t xml:space="preserve">[p. 324]</w:t>
      </w:r>
    </w:p>
    <w:p>
      <w:pPr>
        <w:pStyle w:val="BodyText"/>
      </w:pPr>
      <w:r>
        <w:t xml:space="preserve">shows its purity chiefly in the furnace.</w:t>
      </w:r>
      <w:r>
        <w:rPr>
          <w:rStyle w:val="FootnoteReference"/>
        </w:rPr>
        <w:footnoteReference w:id="1251"/>
      </w:r>
      <w:r>
        <w:t xml:space="preserve"> It was chiefly under those trials that Christ underwent in the close of his life that his love to God, his honor of God's majesty, and his regard to honor of his law, and his spirit of obedience, and his humility, and contempt of the world, and his patience, and his meekness, and spirit of forgiveness, and love towards men appeared. Indeed everything that Christ did to work out redemption for us appears mainly in the close of his life. Here mainly is his satisfaction for sin, and here chiefly lies his merit of eternal life for sinners, and here chiefly appears the brightness of his example that he hath set us to follow.</w:t>
      </w:r>
    </w:p>
    <w:p>
      <w:pPr>
        <w:pStyle w:val="BodyText"/>
      </w:pPr>
      <w:r>
        <w:t xml:space="preserve">Thus we have taken a brief view of the things whereby the purchase of redemption was made with respect to his righteousness that appeared in them. I proceed now,</w:t>
      </w:r>
    </w:p>
    <w:p>
      <w:pPr>
        <w:pStyle w:val="BodyText"/>
      </w:pPr>
      <w:r>
        <w:t xml:space="preserve">II.</w:t>
      </w:r>
      <w:r>
        <w:rPr>
          <w:rStyle w:val="FootnoteReference"/>
        </w:rPr>
        <w:footnoteReference w:id="1252"/>
      </w:r>
      <w:r>
        <w:t xml:space="preserve"> To take a view of them with regard to the satisfaction that he thereby made for sin, or the sufferings and humiliation that he was the subject of in them on our account. And here,</w:t>
      </w:r>
    </w:p>
    <w:p>
      <w:pPr>
        <w:pStyle w:val="BodyText"/>
      </w:pPr>
      <w:r>
        <w:t xml:space="preserve">1.</w:t>
      </w:r>
      <w:r>
        <w:rPr>
          <w:rStyle w:val="FootnoteReference"/>
        </w:rPr>
        <w:footnoteReference w:id="1253"/>
      </w:r>
      <w:r>
        <w:t xml:space="preserve"> He was subject to uncommon humiliation and sufferings in his infancy. He was born to that end that he might die, and therefore he did, as it</w:t>
      </w:r>
      <w:r>
        <w:rPr>
          <w:rStyle w:val="FootnoteReference"/>
        </w:rPr>
        <w:footnoteReference w:id="1254"/>
      </w:r>
      <w:r>
        <w:t xml:space="preserve"> were, begin to die as soon as he was born. His mother suffered in an uncommon manner in bearing him. When her travail came upon her, 'tis said "there was no room for her in the inn," Luke 2:7. She was forced to betake herself to a stable, and therefore Christ was born in the place of the bringing forth of beasts. Thus he suffered in his birth as though he had [been] meaner and viler than a man, and not possessed of the dignity of the human nature, but had been of the rank of the brute creatures. And we may conclude that his mother's circumstances in other respects were proportionably strait and difficult, and that she was destitute of the conveniences necessary for a newborn infant that others were wont to have; for want of which the newborn babe, without doubt, suffered much.</w:t>
      </w:r>
    </w:p>
    <w:p>
      <w:pPr>
        <w:pStyle w:val="BodyText"/>
      </w:pPr>
      <w:r>
        <w:t xml:space="preserve">And then he was persecuted in his infancy. They began to seek his life as soon as he was born. Herod, the chief man in the land, was so engaged to kill him that in order to it he killed all the children in Bethlehem, and in all the coasts thereof, from two years old and under.</w:t>
      </w:r>
      <w:r>
        <w:rPr>
          <w:rStyle w:val="FootnoteReference"/>
        </w:rPr>
        <w:footnoteReference w:id="1255"/>
      </w:r>
      <w:r>
        <w:t xml:space="preserve"> And Christ suffered banishment in his infancy, was driven</w:t>
      </w:r>
    </w:p>
    <w:p>
      <w:pPr>
        <w:pStyle w:val="SourcePage"/>
      </w:pPr>
      <w:r>
        <w:t xml:space="preserve">[p. 325]</w:t>
      </w:r>
    </w:p>
    <w:p>
      <w:pPr>
        <w:pStyle w:val="BodyText"/>
      </w:pPr>
      <w:r>
        <w:t xml:space="preserve">out of his native country into Egypt, and without doubt suffered</w:t>
      </w:r>
      <w:r>
        <w:rPr>
          <w:rStyle w:val="FootnoteReference"/>
        </w:rPr>
        <w:footnoteReference w:id="1256"/>
      </w:r>
      <w:r>
        <w:t xml:space="preserve"> much by being carried so long a journey when he was so young, into a strange country.</w:t>
      </w:r>
      <w:r>
        <w:rPr>
          <w:rStyle w:val="FootnoteReference"/>
        </w:rPr>
        <w:footnoteReference w:id="1257"/>
      </w:r>
    </w:p>
    <w:p>
      <w:pPr>
        <w:pStyle w:val="BodyText"/>
      </w:pPr>
      <w:r>
        <w:t xml:space="preserve">And,</w:t>
      </w:r>
    </w:p>
    <w:p>
      <w:pPr>
        <w:pStyle w:val="BodyText"/>
      </w:pPr>
      <w:r>
        <w:t xml:space="preserve">2</w:t>
      </w:r>
      <w:r>
        <w:rPr>
          <w:rStyle w:val="FootnoteReference"/>
        </w:rPr>
        <w:footnoteReference w:id="1258"/>
      </w:r>
      <w:r>
        <w:t xml:space="preserve"> Christ was subject to such great humiliation in his private life at Nazareth. He there led a servile, obscure life in a mean, laborious occupation; for he is called not only the carpenter's son, but the carpenter, Mark 6:3, "Is not this the carpenter, the brother of James, and Joses and Juda and Simon."</w:t>
      </w:r>
      <w:r>
        <w:rPr>
          <w:rStyle w:val="FootnoteReference"/>
        </w:rPr>
        <w:footnoteReference w:id="1259"/>
      </w:r>
      <w:r>
        <w:t xml:space="preserve"> He by hard labor earned his bread before he eat it, and so suffered that curse that God pronounced on Adam, Genesis 3:19, "In the sweat of thy face shalt thou eat bread."</w:t>
      </w:r>
    </w:p>
    <w:p>
      <w:pPr>
        <w:pStyle w:val="BodyText"/>
      </w:pPr>
      <w:r>
        <w:t xml:space="preserve">Let us consider how great a degree of humiliation the glorious Son of God, the creator of heaven and earth, was subject to in this: that for about thirty years together he should live a private, obscure life among laboring men, and all this while to be overlooked, and not taken notice of in the world, as more than other common laborers. Christ's humiliation in some respects was greater in his private life than in the time of his public ministry. For in his public ministry there was many manifestations of his glory in the word he preached, and the great miracles he wrought. But the first thirty years of his life he spent among mean, ordinary men, as it</w:t>
      </w:r>
      <w:r>
        <w:rPr>
          <w:rStyle w:val="FootnoteReference"/>
        </w:rPr>
        <w:footnoteReference w:id="1260"/>
      </w:r>
      <w:r>
        <w:t xml:space="preserve"> were, in silence, without those manifestations of his glory or anything to make him to be taken notice of more than any ordinary mechanic, but only the spotless purity and eminent holiness of his life, and that was in a great measure hid in obscurity so that he was little taken notice till after his baptism.</w:t>
      </w:r>
    </w:p>
    <w:p>
      <w:pPr>
        <w:pStyle w:val="BodyText"/>
      </w:pPr>
      <w:r>
        <w:t xml:space="preserve">3.</w:t>
      </w:r>
      <w:r>
        <w:rPr>
          <w:rStyle w:val="FootnoteReference"/>
        </w:rPr>
        <w:footnoteReference w:id="1261"/>
      </w:r>
      <w:r>
        <w:t xml:space="preserve"> Christ was the subject of great humiliation and suffering during his public life from his baptism till the night wherein he was betrayed. As particularly,</w:t>
      </w:r>
    </w:p>
    <w:p>
      <w:pPr>
        <w:pStyle w:val="BodyText"/>
      </w:pPr>
      <w:r>
        <w:t xml:space="preserve">1.</w:t>
      </w:r>
      <w:r>
        <w:rPr>
          <w:rStyle w:val="FootnoteReference"/>
        </w:rPr>
        <w:footnoteReference w:id="1262"/>
      </w:r>
      <w:r>
        <w:t xml:space="preserve"> He suffered great poverty so that he had not "where to lay his head," Matthew 8:20, and commonly used to lodge abroad in the open air for want of a shelter to betake himself to, as you will see is manifest</w:t>
      </w:r>
    </w:p>
    <w:p>
      <w:pPr>
        <w:pStyle w:val="SourcePage"/>
      </w:pPr>
      <w:r>
        <w:t xml:space="preserve">[p. 326]</w:t>
      </w:r>
    </w:p>
    <w:p>
      <w:pPr>
        <w:pStyle w:val="BodyText"/>
      </w:pPr>
      <w:r>
        <w:t xml:space="preserve">if you compare the following places together which I shall but name to you: even Matthew 8:20, and John 18:1–2, and Luke 21:37, and Luke 22:39. So that what is spoken of Christ in Canticles 5:2, "My head is [filled] with dew and my locks [with the drops of the night]" was literally ‹fulfilled›. And through his poverty he doubtless was often</w:t>
      </w:r>
      <w:r>
        <w:rPr>
          <w:rStyle w:val="FootnoteReference"/>
        </w:rPr>
        <w:footnoteReference w:id="1263"/>
      </w:r>
      <w:r>
        <w:t xml:space="preserve"> pinched with hunger and cold.</w:t>
      </w:r>
      <w:r>
        <w:rPr>
          <w:rStyle w:val="FootnoteReference"/>
        </w:rPr>
        <w:footnoteReference w:id="1264"/>
      </w:r>
      <w:r>
        <w:t xml:space="preserve"> His mother and natural relations were poor and not able to help him. And Christ was maintained by the charity of some of his disciples while he lived. So we read in Luke 8, at beginning,</w:t>
      </w:r>
      <w:r>
        <w:rPr>
          <w:rStyle w:val="FootnoteReference"/>
        </w:rPr>
        <w:footnoteReference w:id="1265"/>
      </w:r>
      <w:r>
        <w:t xml:space="preserve"> of certain women that followed him and "ministered to him of their substance." He was so poor that he was not able to pay the tribute that was demanded of him without the miracle of creating a fish to bring the money out of the sea in his mouth, Matthew 17:27. And when he eat his last passover it was not at his own charge, but at the charge of another, as appears by Luke 22:7 etc. ["And he sent Peter and John, saying, Go and prepare us the passover.… And they said unto him, Where wilt thou that we prepare? And he said … there shall a man meet you … follow him into the house where he entereth in. And ye shall say unto the goodman of the house, The Master saith unto thee, Where is the guest chamber, where I shall eat the passover with my disciples?"].</w:t>
      </w:r>
      <w:r>
        <w:rPr>
          <w:rStyle w:val="FootnoteReference"/>
        </w:rPr>
        <w:footnoteReference w:id="1266"/>
      </w:r>
      <w:r>
        <w:t xml:space="preserve"> And from his poverty he had no grave of his own to be buried in. It was the manner of the Jews, unless they were very poor and were not able, to prepare 'em a sepulcher to be buried in while they lived. But Christ had no land of his own though he was possessor of heaven and earth, and therefore was buried by Joseph of Arimathaea's charity, in his tomb that he had prepared for himself.</w:t>
      </w:r>
      <w:r>
        <w:rPr>
          <w:rStyle w:val="FootnoteReference"/>
        </w:rPr>
        <w:footnoteReference w:id="1267"/>
      </w:r>
    </w:p>
    <w:p>
      <w:pPr>
        <w:pStyle w:val="BodyText"/>
      </w:pPr>
      <w:r>
        <w:t xml:space="preserve">2.</w:t>
      </w:r>
      <w:r>
        <w:rPr>
          <w:rStyle w:val="FootnoteReference"/>
        </w:rPr>
        <w:footnoteReference w:id="1268"/>
      </w:r>
      <w:r>
        <w:t xml:space="preserve"> He suffered great hatred and reproach. He was "despised and rejected of men":</w:t>
      </w:r>
      <w:r>
        <w:rPr>
          <w:rStyle w:val="FootnoteReference"/>
        </w:rPr>
        <w:footnoteReference w:id="1269"/>
      </w:r>
      <w:r>
        <w:t xml:space="preserve"> he was by most esteemed a poor, insignificant</w:t>
      </w:r>
      <w:r>
        <w:rPr>
          <w:rStyle w:val="FootnoteReference"/>
        </w:rPr>
        <w:footnoteReference w:id="1270"/>
      </w:r>
      <w:r>
        <w:t xml:space="preserve"> person, one of little account, slighted for his low parentage and his mean city, Nazareth.</w:t>
      </w:r>
      <w:r>
        <w:rPr>
          <w:rStyle w:val="FootnoteReference"/>
        </w:rPr>
        <w:footnoteReference w:id="1271"/>
      </w:r>
      <w:r>
        <w:t xml:space="preserve"> He was reproached as a glutton and drunkard,</w:t>
      </w:r>
      <w:r>
        <w:rPr>
          <w:rStyle w:val="FootnoteReference"/>
        </w:rPr>
        <w:footnoteReference w:id="1272"/>
      </w:r>
      <w:r>
        <w:t xml:space="preserve"> and a friend of publicans and sinners;</w:t>
      </w:r>
      <w:r>
        <w:rPr>
          <w:rStyle w:val="FootnoteReference"/>
        </w:rPr>
        <w:footnoteReference w:id="1273"/>
      </w:r>
      <w:r>
        <w:t xml:space="preserve"> was called a deceiver of the</w:t>
      </w:r>
    </w:p>
    <w:p>
      <w:pPr>
        <w:pStyle w:val="SourcePage"/>
      </w:pPr>
      <w:r>
        <w:t xml:space="preserve">[p. 327]</w:t>
      </w:r>
    </w:p>
    <w:p>
      <w:pPr>
        <w:pStyle w:val="BodyText"/>
      </w:pPr>
      <w:r>
        <w:t xml:space="preserve">people; sometimes was called a madman and a Samaritan, and possessed with the devil, John 7:20, John 8:48 and John 10:20. He was called a blasphemer,</w:t>
      </w:r>
      <w:r>
        <w:rPr>
          <w:rStyle w:val="FootnoteReference"/>
        </w:rPr>
        <w:footnoteReference w:id="1274"/>
      </w:r>
      <w:r>
        <w:t xml:space="preserve"> and accounted by many a wizard or one that wrought miracles by the black art and by communication with Beelzebub.</w:t>
      </w:r>
      <w:r>
        <w:rPr>
          <w:rStyle w:val="FootnoteReference"/>
        </w:rPr>
        <w:footnoteReference w:id="1275"/>
      </w:r>
      <w:r>
        <w:t xml:space="preserve"> They excommunicated him, and agreed to excommunicate any man that should own him, as John 9:22. They wished him dead, and were continually seeking to murder him, sometimes by force and sometimes by craft. They often took up stones to stone him, and once led him to the brow of an hill, intending to throw him down the precipice, to dash him in pieces against the rocks.</w:t>
      </w:r>
      <w:r>
        <w:rPr>
          <w:rStyle w:val="FootnoteReference"/>
        </w:rPr>
        <w:footnoteReference w:id="1276"/>
      </w:r>
      <w:r>
        <w:t xml:space="preserve"> He was thus hated and reproached by his own visible people, John 1:11, "He came to his own and his own received</w:t>
      </w:r>
      <w:r>
        <w:rPr>
          <w:rStyle w:val="FootnoteReference"/>
        </w:rPr>
        <w:footnoteReference w:id="1277"/>
      </w:r>
      <w:r>
        <w:t xml:space="preserve"> him not." And he was principally despised and hated by those that were in chief repute and were their greatest men. And the hatred wherewith he was hated was general; into whatever part of the land he went he met with hatred and contempt: in Capernaum, when he went to Jericho, to Jerusalem the holy city, to the temple there, Nazareth his own city, and among his relations and old neighbors.</w:t>
      </w:r>
    </w:p>
    <w:p>
      <w:pPr>
        <w:pStyle w:val="BodyText"/>
      </w:pPr>
      <w:r>
        <w:t xml:space="preserve">3</w:t>
      </w:r>
      <w:r>
        <w:rPr>
          <w:rStyle w:val="FootnoteReference"/>
        </w:rPr>
        <w:footnoteReference w:id="1278"/>
      </w:r>
      <w:r>
        <w:t xml:space="preserve"> He suffered the buffetings of the devil in an uncommon manner. We read of one time in particular when he had a long conflict with the devil; when he was in the wilderness forty days with nothing but wild beasts and devils, and was so exposed to the devil's power that he was bodily carried about by him from place to place while he was otherwise in a very suffering state.</w:t>
      </w:r>
      <w:r>
        <w:rPr>
          <w:rStyle w:val="FootnoteReference"/>
        </w:rPr>
        <w:footnoteReference w:id="1279"/>
      </w:r>
    </w:p>
    <w:p>
      <w:pPr>
        <w:pStyle w:val="BodyText"/>
      </w:pPr>
      <w:r>
        <w:t xml:space="preserve">And so much for the humiliation and suffering of Christ's public life from his baptism to the night wherein he was betrayed.</w:t>
      </w:r>
      <w:r>
        <w:rPr>
          <w:rStyle w:val="FootnoteReference"/>
        </w:rPr>
        <w:footnoteReference w:id="1280"/>
      </w:r>
      <w:r>
        <w:t xml:space="preserve"> I come now,</w:t>
      </w:r>
    </w:p>
    <w:p>
      <w:pPr>
        <w:pStyle w:val="BodyText"/>
      </w:pPr>
      <w:r>
        <w:t xml:space="preserve">4.</w:t>
      </w:r>
      <w:r>
        <w:rPr>
          <w:rStyle w:val="FootnoteReference"/>
        </w:rPr>
        <w:footnoteReference w:id="1281"/>
      </w:r>
      <w:r>
        <w:t xml:space="preserve"> to his last humiliation and sufferings, from the evening of the night wherein he was betrayed to his resurrection. And here was his greatest humiliation and suffering, by which principally it was that he made satisfaction to the justice of God for the sins of men.</w:t>
      </w:r>
    </w:p>
    <w:p>
      <w:pPr>
        <w:pStyle w:val="BodyText"/>
      </w:pPr>
      <w:r>
        <w:t xml:space="preserve">And in the first place, his life was sold by one of his disciples for</w:t>
      </w:r>
    </w:p>
    <w:p>
      <w:pPr>
        <w:pStyle w:val="SourcePage"/>
      </w:pPr>
      <w:r>
        <w:t xml:space="preserve">[p. 328]</w:t>
      </w:r>
    </w:p>
    <w:p>
      <w:pPr>
        <w:pStyle w:val="BodyText"/>
      </w:pPr>
      <w:r>
        <w:t xml:space="preserve">thirty pieces of silver, which was the price of the life of a servant, as you may see, Exodus 21:32.</w:t>
      </w:r>
      <w:r>
        <w:rPr>
          <w:rStyle w:val="FootnoteReference"/>
        </w:rPr>
        <w:footnoteReference w:id="1282"/>
      </w:r>
    </w:p>
    <w:p>
      <w:pPr>
        <w:pStyle w:val="BodyText"/>
      </w:pPr>
      <w:r>
        <w:t xml:space="preserve">And then after this, Christ was in that dreadful agony in the garden. There came such a dismal gloom upon the soul of Christ that he began to be sorrowful and very heavy, and said, his "soul was exceeding sorrowful even unto death," and was sore amazed.</w:t>
      </w:r>
      <w:r>
        <w:rPr>
          <w:rStyle w:val="FootnoteReference"/>
        </w:rPr>
        <w:footnoteReference w:id="1283"/>
      </w:r>
      <w:r>
        <w:t xml:space="preserve"> And so violent was the agony of his soul as to force the blood through the pores of his skin, so that while his soul was overwhelmed with amazing sorrow his body was all blotted with blood.</w:t>
      </w:r>
      <w:r>
        <w:rPr>
          <w:rStyle w:val="FootnoteReference"/>
        </w:rPr>
        <w:footnoteReference w:id="1284"/>
      </w:r>
    </w:p>
    <w:p>
      <w:pPr>
        <w:pStyle w:val="BodyText"/>
      </w:pPr>
      <w:r>
        <w:t xml:space="preserve">And the disciples, that used to be as his friends, and family at this time above all appearing</w:t>
      </w:r>
      <w:r>
        <w:rPr>
          <w:rStyle w:val="FootnoteReference"/>
        </w:rPr>
        <w:footnoteReference w:id="1285"/>
      </w:r>
      <w:r>
        <w:t xml:space="preserve"> cold towards him and unconcerned for him at the same time that his Father's face was hid from him. And then Judas that Christ had been so very merciful to, and treated as one of his family or familiar friends, comes and betrays him in a most deceitful, treacherous manner.</w:t>
      </w:r>
      <w:r>
        <w:rPr>
          <w:rStyle w:val="FootnoteReference"/>
        </w:rPr>
        <w:footnoteReference w:id="1286"/>
      </w:r>
      <w:r>
        <w:t xml:space="preserve"> And then the officers and soldiers apprehend him and bind him.</w:t>
      </w:r>
      <w:r>
        <w:rPr>
          <w:rStyle w:val="FootnoteReference"/>
        </w:rPr>
        <w:footnoteReference w:id="1287"/>
      </w:r>
      <w:r>
        <w:t xml:space="preserve"> And then his disciples forsake him and flee; his own best friends don't stand by him, to comfort him in this, his time of distress.</w:t>
      </w:r>
      <w:r>
        <w:rPr>
          <w:rStyle w:val="FootnoteReference"/>
        </w:rPr>
        <w:footnoteReference w:id="1288"/>
      </w:r>
      <w:r>
        <w:t xml:space="preserve"> And then he was led away as a malefactor to appear before the priests and scribes, his venomous mortal enemies, that they might sit as his judges; who sat up all night to have the pleasure of insulting him now they had got him into their hands, and spent the remaining part of the night in abusing him.</w:t>
      </w:r>
      <w:r>
        <w:rPr>
          <w:rStyle w:val="FootnoteReference"/>
        </w:rPr>
        <w:footnoteReference w:id="1289"/>
      </w:r>
      <w:r>
        <w:t xml:space="preserve"> But because they aimed at nothing short of life, they set themselves to find some color</w:t>
      </w:r>
      <w:r>
        <w:rPr>
          <w:rStyle w:val="FootnoteReference"/>
        </w:rPr>
        <w:footnoteReference w:id="1290"/>
      </w:r>
      <w:r>
        <w:t xml:space="preserve"> to put him to death, and seek for witnesses against him.</w:t>
      </w:r>
      <w:r>
        <w:rPr>
          <w:rStyle w:val="FootnoteReference"/>
        </w:rPr>
        <w:footnoteReference w:id="1291"/>
      </w:r>
    </w:p>
    <w:p>
      <w:pPr>
        <w:pStyle w:val="BodyText"/>
      </w:pPr>
      <w:r>
        <w:t xml:space="preserve">And when none appeared, they set some to</w:t>
      </w:r>
      <w:r>
        <w:rPr>
          <w:rStyle w:val="FootnoteReference"/>
        </w:rPr>
        <w:footnoteReference w:id="1292"/>
      </w:r>
      <w:r>
        <w:t xml:space="preserve"> bear false witness; and when their witnesses did not agree together, then they go to examining him to catch something out of his own mouth.</w:t>
      </w:r>
      <w:r>
        <w:rPr>
          <w:rStyle w:val="FootnoteReference"/>
        </w:rPr>
        <w:footnoteReference w:id="1293"/>
      </w:r>
      <w:r>
        <w:t xml:space="preserve"> They hoped he would say that he was the Son of God, and then they thought they should have enough. But because they see they were not like to obtain</w:t>
      </w:r>
    </w:p>
    <w:p>
      <w:pPr>
        <w:pStyle w:val="SourcePage"/>
      </w:pPr>
      <w:r>
        <w:t xml:space="preserve">[p. 329]</w:t>
      </w:r>
    </w:p>
    <w:p>
      <w:pPr>
        <w:pStyle w:val="BodyText"/>
      </w:pPr>
      <w:r>
        <w:t xml:space="preserve">it from him,</w:t>
      </w:r>
      <w:r>
        <w:rPr>
          <w:rStyle w:val="FootnoteReference"/>
        </w:rPr>
        <w:footnoteReference w:id="1294"/>
      </w:r>
      <w:r>
        <w:t xml:space="preserve"> they then go to force him to say it by adjuring him in the name [of God].</w:t>
      </w:r>
      <w:r>
        <w:rPr>
          <w:rStyle w:val="FootnoteReference"/>
        </w:rPr>
        <w:footnoteReference w:id="1295"/>
      </w:r>
      <w:r>
        <w:t xml:space="preserve"> And when he confessed that he was, then they supposed they had enough. And then it was a time of rejoicing with 'em, which they show by falling upon Christ, and spitting in his face, and blindfolding him, and striking him in the face with the palms of their hands, and then bid him prophesy (who it was that struck him), ridiculing him for pretending to be a prophet. And the very servants have a hand in the sport, Mark 14:65.</w:t>
      </w:r>
      <w:r>
        <w:rPr>
          <w:rStyle w:val="FootnoteReference"/>
        </w:rPr>
        <w:footnoteReference w:id="1296"/>
      </w:r>
      <w:r>
        <w:t xml:space="preserve"> During the sufferings of that night Peter, one of the chief of his own disciples, instead of standing by him to comfort him, appears ashamed to own him, and denies and renounces him with oaths and curses.</w:t>
      </w:r>
      <w:r>
        <w:rPr>
          <w:rStyle w:val="FootnoteReference"/>
        </w:rPr>
        <w:footnoteReference w:id="1297"/>
      </w:r>
    </w:p>
    <w:p>
      <w:pPr>
        <w:pStyle w:val="BodyText"/>
      </w:pPr>
      <w:r>
        <w:t xml:space="preserve">And after the priests and elders had finished the</w:t>
      </w:r>
      <w:r>
        <w:rPr>
          <w:rStyle w:val="FootnoteReference"/>
        </w:rPr>
        <w:footnoteReference w:id="1298"/>
      </w:r>
      <w:r>
        <w:t xml:space="preserve"> night in so shamefully abusing him, when the morning which was the morning of the most wonderful day that ever was came, they led him away to Pilate to be condemned to death by him, because they had not the power of life and death in their own hands. And then he was brought before Pilate's judgment seat, and there the priests and elders accuse him as a traitor.</w:t>
      </w:r>
      <w:r>
        <w:rPr>
          <w:rStyle w:val="FootnoteReference"/>
        </w:rPr>
        <w:footnoteReference w:id="1299"/>
      </w:r>
      <w:r>
        <w:t xml:space="preserve"> And when Pilate upon examining into the matter declared he find no fault in him, the Jews were but the more fierce and violent to have him condemned. Upon which Pilate after clearing him, very unjustly brings him upon a second trial; and then not finding any thing against him, acquits him again. Pilate treats him as a poor, worthless fellow, but is ashamed on so little pretense to condemn him as a traitor.</w:t>
      </w:r>
      <w:r>
        <w:rPr>
          <w:rStyle w:val="FootnoteReference"/>
        </w:rPr>
        <w:footnoteReference w:id="1300"/>
      </w:r>
    </w:p>
    <w:p>
      <w:pPr>
        <w:pStyle w:val="BodyText"/>
      </w:pPr>
      <w:r>
        <w:t xml:space="preserve">And then he was sent to Herod to be tried by him. And was brought before Herod's judgment seat, and his enemies followed, and virulently accuse him before Herod. Herod don't condemn him as a traitor,</w:t>
      </w:r>
    </w:p>
    <w:p>
      <w:pPr>
        <w:pStyle w:val="SourcePage"/>
      </w:pPr>
      <w:r>
        <w:t xml:space="preserve">[p. 330]</w:t>
      </w:r>
    </w:p>
    <w:p>
      <w:pPr>
        <w:pStyle w:val="BodyText"/>
      </w:pPr>
      <w:r>
        <w:t xml:space="preserve">or one that would set up for a king, but looks upon him as Pilate did, as a poor worthless creature not worthy to be taken notice of; and does but make</w:t>
      </w:r>
      <w:r>
        <w:rPr>
          <w:rStyle w:val="FootnoteReference"/>
        </w:rPr>
        <w:footnoteReference w:id="1301"/>
      </w:r>
      <w:r>
        <w:t xml:space="preserve"> a mere laugh of the Jews accusing him as a dangerous person to Caesar, as one that was in danger of setting up to [be] a king against him. And therefore, in derision dresses him up in a mock robe, and makes sport of him, and sends him back through the streets of Jerusalem to Pilate with his mock robe on.</w:t>
      </w:r>
      <w:r>
        <w:rPr>
          <w:rStyle w:val="FootnoteReference"/>
        </w:rPr>
        <w:footnoteReference w:id="1302"/>
      </w:r>
    </w:p>
    <w:p>
      <w:pPr>
        <w:pStyle w:val="BodyText"/>
      </w:pPr>
      <w:r>
        <w:t xml:space="preserve">And then the Jews prefer Barabbas before him, and are instant and violent with loud voices to Pilate to crucify him. And so Pilate, after he had cleared him twice and Herod once, very unrighteously brings him on trial the third time, to try if he could not find something against him sufficient to crucify him.</w:t>
      </w:r>
      <w:r>
        <w:rPr>
          <w:rStyle w:val="FootnoteReference"/>
        </w:rPr>
        <w:footnoteReference w:id="1303"/>
      </w:r>
    </w:p>
    <w:p>
      <w:pPr>
        <w:pStyle w:val="BodyText"/>
      </w:pPr>
      <w:r>
        <w:t xml:space="preserve">And then, Christ was stripped and scourged; thus he gave his back to the smiter.</w:t>
      </w:r>
      <w:r>
        <w:rPr>
          <w:rStyle w:val="FootnoteReference"/>
        </w:rPr>
        <w:footnoteReference w:id="1304"/>
      </w:r>
      <w:r>
        <w:t xml:space="preserve"> And then after that, though Pilate still declared that he found no fault in him, yet so unjust was he that for fear of the Jews he delivered Christ to 'em to be crucified.</w:t>
      </w:r>
      <w:r>
        <w:rPr>
          <w:rStyle w:val="FootnoteReference"/>
        </w:rPr>
        <w:footnoteReference w:id="1305"/>
      </w:r>
      <w:r>
        <w:t xml:space="preserve"> But before they execute it, his spiteful, cruel enemies take the pleasure of another</w:t>
      </w:r>
      <w:r>
        <w:rPr>
          <w:rStyle w:val="FootnoteReference"/>
        </w:rPr>
        <w:footnoteReference w:id="1306"/>
      </w:r>
      <w:r>
        <w:t xml:space="preserve"> spate of mocking him; they get round him and make a set business of [it]: stripped,</w:t>
      </w:r>
      <w:r>
        <w:rPr>
          <w:rStyle w:val="FootnoteReference"/>
        </w:rPr>
        <w:footnoteReference w:id="1307"/>
      </w:r>
      <w:r>
        <w:t xml:space="preserve"> a scarlet robe, a reed,</w:t>
      </w:r>
      <w:r>
        <w:rPr>
          <w:rStyle w:val="FootnoteReference"/>
        </w:rPr>
        <w:footnoteReference w:id="1308"/>
      </w:r>
      <w:r>
        <w:t xml:space="preserve"> a crown of thorns.</w:t>
      </w:r>
      <w:r>
        <w:rPr>
          <w:rStyle w:val="FootnoteReference"/>
        </w:rPr>
        <w:footnoteReference w:id="1309"/>
      </w:r>
    </w:p>
    <w:p>
      <w:pPr>
        <w:pStyle w:val="BodyText"/>
      </w:pPr>
      <w:r>
        <w:t xml:space="preserve">And then Jews and Roman soldiers all together: bow the knee, spit, take the reed; and then lead him away to crucify him, and make him carry his own cross till he sunk under it, his strength being spent; and then laid it on one Simon, a Cyrenian.</w:t>
      </w:r>
      <w:r>
        <w:rPr>
          <w:rStyle w:val="FootnoteReference"/>
        </w:rPr>
        <w:footnoteReference w:id="1310"/>
      </w:r>
    </w:p>
    <w:p>
      <w:pPr>
        <w:pStyle w:val="BodyText"/>
      </w:pPr>
      <w:r>
        <w:t xml:space="preserve">And then they execute the sentence. They nail him to the cross. And now Christ's sufferings come to the extremity, now the cup is come.</w:t>
      </w:r>
      <w:r>
        <w:rPr>
          <w:rStyle w:val="FootnoteReference"/>
        </w:rPr>
        <w:footnoteReference w:id="1311"/>
      </w:r>
      <w:r>
        <w:t xml:space="preserve"> This used to be in those days the most tormenting kind of</w:t>
      </w:r>
    </w:p>
    <w:p>
      <w:pPr>
        <w:pStyle w:val="SourcePage"/>
      </w:pPr>
      <w:r>
        <w:t xml:space="preserve">[p. 331]</w:t>
      </w:r>
    </w:p>
    <w:p>
      <w:pPr>
        <w:pStyle w:val="BodyText"/>
      </w:pPr>
      <w:r>
        <w:t xml:space="preserve">death. No death wherein he [who]</w:t>
      </w:r>
      <w:r>
        <w:rPr>
          <w:rStyle w:val="FootnoteReference"/>
        </w:rPr>
        <w:footnoteReference w:id="1312"/>
      </w:r>
      <w:r>
        <w:t xml:space="preserve"> dies [endures] so much of men's torment; the Roman word for torment [is] taken from it.</w:t>
      </w:r>
    </w:p>
    <w:p>
      <w:pPr>
        <w:pStyle w:val="BodyText"/>
      </w:pPr>
      <w:r>
        <w:t xml:space="preserve">And besides what he endured in his body, he endured vastly more in his soul.</w:t>
      </w:r>
      <w:r>
        <w:rPr>
          <w:rStyle w:val="FootnoteReference"/>
        </w:rPr>
        <w:footnoteReference w:id="1313"/>
      </w:r>
      <w:r>
        <w:t xml:space="preserve"> Now was that "travail of his soul"; it pleased God to bruise him—poured out his soul unto death, as in the Isaiah 53.</w:t>
      </w:r>
      <w:r>
        <w:rPr>
          <w:rStyle w:val="FootnoteReference"/>
        </w:rPr>
        <w:footnoteReference w:id="1314"/>
      </w:r>
      <w:r>
        <w:t xml:space="preserve"> If the forethought of this cup made him sweat blood, ‹how much more it affected his soul›. Many martyrs have endured much in body but [with] joyful souls. Christ did not sweat blood in his sufferings because his blood had went otherwise. But though he did not sweat blood, yet such was the suffering of his soul, that probably [it] rent his vitals, a literal fulfillment of that in Psalms 22:14, "I am poured out like water … my heart is melted like wax; [it is melted in the midst of my bowels]." The Jews still mock. The devil probably tormented. Luke 22:53, "This is your hour."</w:t>
      </w:r>
      <w:r>
        <w:rPr>
          <w:rStyle w:val="FootnoteReference"/>
        </w:rPr>
        <w:footnoteReference w:id="1315"/>
      </w:r>
      <w:r>
        <w:t xml:space="preserve"> Under these sufferings Christ, after having cried out once, and again,</w:t>
      </w:r>
      <w:r>
        <w:rPr>
          <w:rStyle w:val="FootnoteReference"/>
        </w:rPr>
        <w:footnoteReference w:id="1316"/>
      </w:r>
      <w:r>
        <w:t xml:space="preserve"> at [his] last hour said, "It is finished," John 19:30, "bowed the head and gave up the ghost."</w:t>
      </w:r>
    </w:p>
    <w:p>
      <w:pPr>
        <w:pStyle w:val="BodyText"/>
      </w:pPr>
      <w:r>
        <w:t xml:space="preserve">And thus was finished the greatest and most wonderful thing. Now the angels beheld the most wonderful sight that ever [was]; the main thing that had been pointed at by the ceremonial law, all typical dispensations, all sacrifices, from the beginning of the world.</w:t>
      </w:r>
    </w:p>
    <w:p>
      <w:pPr>
        <w:pStyle w:val="BodyText"/>
      </w:pPr>
      <w:r>
        <w:t xml:space="preserve">And Christ being thus brought under the power of death continued under [it] till the morning of the next day but one. And then was finished that great work, the purchase of our redemption, that such great preparation had been made for from the beginning of the world. Then was finished all that was required in order to satisfy the threatenings of the law, all in order to satisfy divine justice, the utmost that vindictive justice demanded, [the] whole debt paid. Then finished the whole of the purchase of eternal life. And now there is no more need of anything more [to] be done towards a purchase of salvation for sinners, nor has ever anything been done since, nor ever will anything more be done, for ever and ever.</w:t>
      </w:r>
    </w:p>
    <w:p>
      <w:pPr>
        <w:pStyle w:val="SourcePage"/>
      </w:pPr>
      <w:r>
        <w:t xml:space="preserve">[p. 332]</w:t>
      </w:r>
    </w:p>
    <w:p>
      <w:pPr>
        <w:pStyle w:val="Heading2"/>
      </w:pPr>
      <w:bookmarkStart w:name="heading_sermon_seventeen" w:id="63"/>
      <w:r>
        <w:t xml:space="preserve">SERMON SEVENTEEN</w:t>
      </w:r>
      <w:bookmarkEnd w:id="63"/>
    </w:p>
    <w:p>
      <w:pPr>
        <w:pStyle w:val="BodyText"/>
      </w:pPr>
      <w:r>
        <w:rPr>
          <w:rStyle w:val="FootnoteReference"/>
        </w:rPr>
        <w:footnoteReference w:id="1317"/>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16" w:id="64"/>
      <w:r>
        <w:t xml:space="preserve">[DOCTRINE]</w:t>
      </w:r>
      <w:bookmarkEnd w:id="64"/>
    </w:p>
    <w:p>
      <w:pPr>
        <w:pStyle w:val="BlockQuote"/>
      </w:pPr>
      <w:r>
        <w:rPr>
          <w:i/>
          <w:iCs/>
        </w:rPr>
        <w:t xml:space="preserve">[The Work of Redemption is a work that God carries on from the fall of man to the end of the world.]</w:t>
      </w:r>
      <w:r>
        <w:rPr>
          <w:rStyle w:val="FootnoteReference"/>
        </w:rPr>
        <w:footnoteReference w:id="1318"/>
      </w:r>
    </w:p>
    <w:p>
      <w:pPr>
        <w:pStyle w:val="BodyText"/>
      </w:pPr>
      <w:r>
        <w:t xml:space="preserve">THE subject that we have been upon from the text being God's carrying on ‹the Work of Redemption from the fall of man to the end of the world›, we have now shown how this work was carried on through the two former of the three main periods into which this whole space of time was divided, and have brought our discourse down to the end of the time of Christ's humiliation. The proposition that we last insisted on was this, viz. that during the time of Christ's humiliation, from his incarnation to his resurrection, the purchase of redemption was accomplished. I have particularly considered and explored the subject of this proposition, and have shown how the purchase of redemption was made and finished in this space of time.</w:t>
      </w:r>
      <w:r>
        <w:rPr>
          <w:rStyle w:val="FootnoteReference"/>
        </w:rPr>
        <w:footnoteReference w:id="1319"/>
      </w:r>
    </w:p>
    <w:p>
      <w:pPr>
        <w:pStyle w:val="BodyText"/>
      </w:pPr>
      <w:r>
        <w:t xml:space="preserve">[APPLICATION]</w:t>
      </w:r>
    </w:p>
    <w:p>
      <w:pPr>
        <w:pStyle w:val="BodyText"/>
      </w:pPr>
      <w:r>
        <w:rPr>
          <w:rStyle w:val="FootnoteReference"/>
        </w:rPr>
        <w:footnoteReference w:id="1320"/>
      </w:r>
      <w:r>
        <w:t xml:space="preserve">I now would make some application of this proposition as taken with the preceding, i.e. I would make improvement of these two</w:t>
      </w:r>
    </w:p>
    <w:p>
      <w:pPr>
        <w:pStyle w:val="SourcePage"/>
      </w:pPr>
      <w:r>
        <w:t xml:space="preserve">[p. 333]</w:t>
      </w:r>
    </w:p>
    <w:p>
      <w:pPr>
        <w:pStyle w:val="BodyText"/>
      </w:pPr>
      <w:r>
        <w:t xml:space="preserve">things considered conjunctly, viz. that Christ finished the purchase of redemption while in his state of humiliation here on earth, and that from the first fall of man to the coming of Christ God was preparing the way for his so doing. And this I would do,</w:t>
      </w:r>
    </w:p>
    <w:p>
      <w:pPr>
        <w:pStyle w:val="BodyText"/>
      </w:pPr>
      <w:r>
        <w:t xml:space="preserve">I.</w:t>
      </w:r>
      <w:r>
        <w:rPr>
          <w:rStyle w:val="FootnoteReference"/>
        </w:rPr>
        <w:footnoteReference w:id="1321"/>
      </w:r>
      <w:r>
        <w:t xml:space="preserve"> In a use of reproof of three things: 1. of unbelief, 2. self-righteousness, and 3. a careless neglect of the salvation of Christ.</w:t>
      </w:r>
    </w:p>
    <w:p>
      <w:pPr>
        <w:pStyle w:val="BodyText"/>
      </w:pPr>
      <w:r>
        <w:rPr>
          <w:i/>
          <w:iCs/>
        </w:rPr>
        <w:t xml:space="preserve">First</w:t>
      </w:r>
      <w:r>
        <w:t xml:space="preserve">.</w:t>
      </w:r>
      <w:r>
        <w:rPr>
          <w:rStyle w:val="FootnoteReference"/>
        </w:rPr>
        <w:footnoteReference w:id="1322"/>
      </w:r>
      <w:r>
        <w:t xml:space="preserve"> If it be as we have heard, how greatly do these things reprove those that don't believe in but reject the Lord Jesus Chirist, i.e. all those that don't heartily receive him. Persons may receive him in profession, and carry well outwardly towards him, and may wish that they had some of those benefits that Christ has purchased, and yet their hearts not receive Christ. They may [be] hearty in nothing that they do towards Christ; they may have no high esteem of Christ, nor</w:t>
      </w:r>
      <w:r>
        <w:rPr>
          <w:rStyle w:val="FootnoteReference"/>
        </w:rPr>
        <w:footnoteReference w:id="1323"/>
      </w:r>
      <w:r>
        <w:t xml:space="preserve"> any sincere honor or respect to Christ. They may be those that never yet opened the door of their heart to Christ, but have kept him shut out all their days, ever since they first heard of Christ, and his salvation has been offered to them. Though their hearts have been opened to others, their doors have been flung wide open to 'em, and they have had free admittance at all times, and have been embraced and made much of, and the best room of their hearts have been given 'em, and the throne of their hearts has been allowed 'em; yet Christ has always been shut out, and they have been deaf to all his knocks and calls. They never could find any inclination of heart to receive him, nor would they ever trust on him.</w:t>
      </w:r>
    </w:p>
    <w:p>
      <w:pPr>
        <w:pStyle w:val="BodyText"/>
      </w:pPr>
      <w:r>
        <w:t xml:space="preserve">Let me now call upon you with whom it is thus, to consider how great your sin in thus rejecting Jesus Christ appears to be, from those things that have been said. You slight that glorious person for whose coming God made such great preparation, in such a series of wonderful providences from the beginning of the world, and whom, after all things were</w:t>
      </w:r>
      <w:r>
        <w:rPr>
          <w:rStyle w:val="FootnoteReference"/>
        </w:rPr>
        <w:footnoteReference w:id="1324"/>
      </w:r>
      <w:r>
        <w:t xml:space="preserve"> ready, God sent into the world, bringing to pass a before unknown thing, viz. the union of the divine with the human nature in one person. You are guilty of slighting that great savior who after such preparation actually accomplished the purchase of redemption; and also after he had spent three or four and thirty years in poverty and labor and contempt in purchasing redemption, at last finished the purchase by closing his life under such extreme</w:t>
      </w:r>
    </w:p>
    <w:p>
      <w:pPr>
        <w:pStyle w:val="SourcePage"/>
      </w:pPr>
      <w:r>
        <w:t xml:space="preserve">[p. 334]</w:t>
      </w:r>
    </w:p>
    <w:p>
      <w:pPr>
        <w:pStyle w:val="BodyText"/>
      </w:pPr>
      <w:r>
        <w:t xml:space="preserve">sufferings as you have heard; and so by his death, and continuing for a time under the power of death, completed the whole. This is the person you reject and despise. You make light of all the glory of his person, and of all the glorious love of God the Father in sending him into the world, and all his wonderful love appearing in the whole of this affair.</w:t>
      </w:r>
    </w:p>
    <w:p>
      <w:pPr>
        <w:pStyle w:val="BodyText"/>
      </w:pPr>
      <w:r>
        <w:t xml:space="preserve">That precious stone that God hath laid in Zion for a foundation in such a manner and by such wonderful works as you have heard, is a stone set at nought by you.</w:t>
      </w:r>
      <w:r>
        <w:rPr>
          <w:rStyle w:val="FootnoteReference"/>
        </w:rPr>
        <w:footnoteReference w:id="1325"/>
      </w:r>
      <w:r>
        <w:t xml:space="preserve"> Sinners sometimes are ready to wonder why the sin of unbelief should be looked upon as such a great sin. But if you consider what you have heard, how can you wonder? If it be so that this person be so great a savior, and this work be so great a work, and such great things have been done in order to it: truly there is no cause to wonder that the sin of unbelief, or rejection of this savior, is spoken of in Scripture as such a dreadful sin, so provoking to God, and what brings greater guilt than the sins of the worst of the heathen that never heard of these things, nor have had this savior offered to them.</w:t>
      </w:r>
      <w:r>
        <w:rPr>
          <w:rStyle w:val="FootnoteReference"/>
        </w:rPr>
        <w:footnoteReference w:id="1326"/>
      </w:r>
    </w:p>
    <w:p>
      <w:pPr>
        <w:pStyle w:val="BodyText"/>
      </w:pPr>
      <w:r>
        <w:t xml:space="preserve">2.</w:t>
      </w:r>
      <w:r>
        <w:rPr>
          <w:rStyle w:val="FootnoteReference"/>
        </w:rPr>
        <w:footnoteReference w:id="1327"/>
      </w:r>
      <w:r>
        <w:t xml:space="preserve"> What has been said affords matter of reproof to those who, instead of believing in Christ, trust in themselves for salvation. 'Tis a common thing with men to take it upon themselves to purchase salvation for themselves, and so to do that great work that Christ came into the world to do. Are there none such here that trust in their own prayers, and their good conversations, and the pains they take in religion, and their reforming their lives,</w:t>
      </w:r>
      <w:r>
        <w:rPr>
          <w:rStyle w:val="FootnoteReference"/>
        </w:rPr>
        <w:footnoteReference w:id="1328"/>
      </w:r>
      <w:r>
        <w:t xml:space="preserve"> and denying themselves as they do, to recommend 'em to God, to make some atonement for their past sins, and to draw the heart of God to them?</w:t>
      </w:r>
    </w:p>
    <w:p>
      <w:pPr>
        <w:pStyle w:val="BodyText"/>
      </w:pPr>
      <w:r>
        <w:t xml:space="preserve">Consider three.</w:t>
      </w:r>
      <w:r>
        <w:rPr>
          <w:rStyle w:val="FootnoteReference"/>
        </w:rPr>
        <w:footnoteReference w:id="1329"/>
      </w:r>
      <w:r>
        <w:t xml:space="preserve"> things:</w:t>
      </w:r>
    </w:p>
    <w:p>
      <w:pPr>
        <w:pStyle w:val="BodyText"/>
      </w:pPr>
      <w:r>
        <w:t xml:space="preserve">1.</w:t>
      </w:r>
      <w:r>
        <w:rPr>
          <w:rStyle w:val="FootnoteReference"/>
        </w:rPr>
        <w:footnoteReference w:id="1330"/>
      </w:r>
      <w:r>
        <w:t xml:space="preserve"> You take upon you to do the work of the great savior of the world. How great a thing that is that you take upon you. You trust in your own doings to appease God for your sins, and to incline the heart of God to you. Though you are poor, worthless, vile, polluted worms of the dust, yet so arrogant are you that you take upon you</w:t>
      </w:r>
    </w:p>
    <w:p>
      <w:pPr>
        <w:pStyle w:val="SourcePage"/>
      </w:pPr>
      <w:r>
        <w:t xml:space="preserve">[p. 335]</w:t>
      </w:r>
    </w:p>
    <w:p>
      <w:pPr>
        <w:pStyle w:val="BodyText"/>
      </w:pPr>
      <w:r>
        <w:t xml:space="preserve">that very work; that very work that the only begotten Son of God did when upon earth, and that he became man to capacitate himself for, and in order to which God spent four thousand years in all the great dispensations of his providence in the government of the world through all that time, aiming chiefly at this: to make way for Christ's coming to do this work.</w:t>
      </w:r>
      <w:r>
        <w:rPr>
          <w:rStyle w:val="FootnoteReference"/>
        </w:rPr>
        <w:footnoteReference w:id="1331"/>
      </w:r>
      <w:r>
        <w:t xml:space="preserve"> This is the work that you take upon yourself, and foolishly think yourself sufficient as if you were big enough for it,</w:t>
      </w:r>
      <w:r>
        <w:rPr>
          <w:rStyle w:val="FootnoteReference"/>
        </w:rPr>
        <w:footnoteReference w:id="1332"/>
      </w:r>
      <w:r>
        <w:t xml:space="preserve"> and as though your prayers and other performances were excellent enough for this purpose. Consider how vain is the thought you entertain of yourself. How must such arrogance appear in the sight of Christ, whom it cost so much to make a purchase of salvation, when it was not [to] be obtained even by him, though so great and glorious a person, at a cheaper rate than his wading through a sea of blood and passing through the midst of the furnace of God's wrath.</w:t>
      </w:r>
      <w:r>
        <w:rPr>
          <w:rStyle w:val="FootnoteReference"/>
        </w:rPr>
        <w:footnoteReference w:id="1333"/>
      </w:r>
      <w:r>
        <w:t xml:space="preserve"> And how vain must your arrogance appear in the sight of God when he sees you imagining yourself righteous</w:t>
      </w:r>
      <w:r>
        <w:rPr>
          <w:rStyle w:val="FootnoteReference"/>
        </w:rPr>
        <w:footnoteReference w:id="1334"/>
      </w:r>
      <w:r>
        <w:t xml:space="preserve"> enough, and your worthless, polluted performances excellent enough, for the accomplishing that work of his own Son, to prepare the way for which he was employed in ordering all the great affairs of the world for so many ages.</w:t>
      </w:r>
    </w:p>
    <w:p>
      <w:pPr>
        <w:pStyle w:val="BodyText"/>
      </w:pPr>
      <w:r>
        <w:t xml:space="preserve">2.</w:t>
      </w:r>
      <w:r>
        <w:rPr>
          <w:rStyle w:val="FootnoteReference"/>
        </w:rPr>
        <w:footnoteReference w:id="1335"/>
      </w:r>
      <w:r>
        <w:t xml:space="preserve"> If there be ground for you to trust, as you [do], in your own righteousness, then all that Christ did to purchase salvation when on earth, and all that God did from the first fall of man to that time to prepare the way for it, is in vain. Your self-righteousness charges God with the greatest</w:t>
      </w:r>
      <w:r>
        <w:rPr>
          <w:rStyle w:val="FootnoteReference"/>
        </w:rPr>
        <w:footnoteReference w:id="1336"/>
      </w:r>
      <w:r>
        <w:t xml:space="preserve"> folly; as though he had done all things in vain, even so much in vain that he has done all this to bring about an accomplishment of that that you alone, a little worm with your poor polluted prayers, and the little pains you take in religion, mingled with all that hypocrisy and filthiness, was sufficient to accomplish for yourself without Christ's help. For if you can appease God's anger for your sins, [that] can or ought to be appeased, and you can commend yourself to God by these means, then you have no need of Christ, but he</w:t>
      </w:r>
    </w:p>
    <w:p>
      <w:pPr>
        <w:pStyle w:val="SourcePage"/>
      </w:pPr>
      <w:r>
        <w:t xml:space="preserve">[p. 336]</w:t>
      </w:r>
    </w:p>
    <w:p>
      <w:pPr>
        <w:pStyle w:val="BodyText"/>
      </w:pPr>
      <w:r>
        <w:t xml:space="preserve">"is dead in vain," Galatians 2:21, "If righteousness come by the law, [then Christ is dead in vain]."</w:t>
      </w:r>
    </w:p>
    <w:p>
      <w:pPr>
        <w:pStyle w:val="BodyText"/>
      </w:pPr>
      <w:r>
        <w:t xml:space="preserve">If you can do this by your prayers, Christ might have spared his pains; he might have spared his blood, he might have kept within the bosom of his Father without coming down into this evil world to be despised and reproached and persecuted to death. And God need not to have busied himself as he did for four thousand years together, causing so many changes in the state of the world all that while, in order to be bringing that about that you, as little as you are, can accomplish in</w:t>
      </w:r>
      <w:r>
        <w:rPr>
          <w:rStyle w:val="FootnoteReference"/>
        </w:rPr>
        <w:footnoteReference w:id="1337"/>
      </w:r>
      <w:r>
        <w:t xml:space="preserve"> a few days only, with the trouble of a few sighs, and groans, and prayers, and some other religious performances. Consider with yourself what greater folly could you have devised to have charged upon God than this, to do all those things before and after Christ came into the world so needlessly, when instead of all this he might only have called you forth and committed the business to you which you think you can do so easily.</w:t>
      </w:r>
    </w:p>
    <w:p>
      <w:pPr>
        <w:pStyle w:val="BodyText"/>
      </w:pPr>
      <w:r>
        <w:t xml:space="preserve">Alas, how blind are natural men, how sottish are the thoughts they have of things, and especially how vain are the thoughts they have of themselves; how ignorant are they of themselves, how ignorant of their own littleness and pollution, how do they exalt themselves up to heaven, what great things do they assume to themselves.</w:t>
      </w:r>
    </w:p>
    <w:p>
      <w:pPr>
        <w:pStyle w:val="BodyText"/>
      </w:pPr>
      <w:r>
        <w:t xml:space="preserve">3</w:t>
      </w:r>
      <w:r>
        <w:rPr>
          <w:rStyle w:val="FootnoteReference"/>
        </w:rPr>
        <w:footnoteReference w:id="1338"/>
      </w:r>
      <w:r>
        <w:t xml:space="preserve"> You that trust in your own righteousness arrogate to yourself the honor of the greatest thing that ever God himself did, not only as if you were sufficient [to] do divine works, and to accomplish</w:t>
      </w:r>
      <w:r>
        <w:rPr>
          <w:rStyle w:val="FootnoteReference"/>
        </w:rPr>
        <w:footnoteReference w:id="1339"/>
      </w:r>
      <w:r>
        <w:t xml:space="preserve"> some of the great works of God, but such is your pride and vanity that you are not content without taking upon you to do the very greatest work that ever God himself wrought, even the Work of Redemption. You see by what has been said how God has subordinated all his other works to this work: how [his] works of providence are God's greatest, and how that all God's works of providence, from the beginning of the generations of men, were in order to this, to make way [for it].</w:t>
      </w:r>
      <w:r>
        <w:rPr>
          <w:rStyle w:val="FootnoteReference"/>
        </w:rPr>
        <w:footnoteReference w:id="1340"/>
      </w:r>
    </w:p>
    <w:p>
      <w:pPr>
        <w:pStyle w:val="BodyText"/>
      </w:pPr>
      <w:r>
        <w:t xml:space="preserve">But this is what you take upon yourself. To take on yourself to work out redemption is a greater thing than if you took it upon you to create a world. Consider with yourself what a figure you, a poor</w:t>
      </w:r>
    </w:p>
    <w:p>
      <w:pPr>
        <w:pStyle w:val="SourcePage"/>
      </w:pPr>
      <w:r>
        <w:t xml:space="preserve">[p. 337]</w:t>
      </w:r>
    </w:p>
    <w:p>
      <w:pPr>
        <w:pStyle w:val="BodyText"/>
      </w:pPr>
      <w:r>
        <w:t xml:space="preserve">worm, would make if you should seriously go about to create such a world as God did, and should swell in your own conceit</w:t>
      </w:r>
      <w:r>
        <w:rPr>
          <w:rStyle w:val="FootnoteReference"/>
        </w:rPr>
        <w:footnoteReference w:id="1341"/>
      </w:r>
      <w:r>
        <w:t xml:space="preserve"> of yourself, and deck yourself with majesty, and should pretend to speak the word of power and call an universe out of nothing, intending to go on in order and say, "Let there be light.… [Let there be a firmament.… Let the waters … be gathered together.]"</w:t>
      </w:r>
      <w:r>
        <w:rPr>
          <w:rStyle w:val="FootnoteReference"/>
        </w:rPr>
        <w:footnoteReference w:id="1342"/>
      </w:r>
    </w:p>
    <w:p>
      <w:pPr>
        <w:pStyle w:val="BodyText"/>
      </w:pPr>
      <w:r>
        <w:t xml:space="preserve">But then consider that in attempting to work out redemption yourself, you attempt a greater thing than this, and are serious in it, and won't be beat off from it; but strive in it, and are full of the thought of yourself that you are sufficient for it, and always big with hopes of accomplishing of it. Yea, you take upon you [to] do the very greatest and most difficult part of this work, viz. to purchase redemption. Christ can accomplish other parts of this work without cost and without any trouble or difficulty, but this part cost him ‹his life›. But this is the part which self-righteous persons go about to accomplish for themselves. If all the angels in heaven had been sufficient for this work, would God have gone about to have done such things as he did in</w:t>
      </w:r>
      <w:r>
        <w:rPr>
          <w:rStyle w:val="FootnoteReference"/>
        </w:rPr>
        <w:footnoteReference w:id="1343"/>
      </w:r>
      <w:r>
        <w:t xml:space="preserve"> order to it before he sent his son into the world? And would he ever have sent his own Son, the creator and God of the angels, into the world to have done and suffered such things?</w:t>
      </w:r>
    </w:p>
    <w:p>
      <w:pPr>
        <w:pStyle w:val="BodyText"/>
      </w:pPr>
      <w:r>
        <w:t xml:space="preserve">What self-righteous persons take to themselves is that same work that Christ was engaged in when he was in his agony and bloody sweat and when he died on the cross, which was the greatest thing that ever the eyes of angels beheld. This as great as it is they imagine that they can do; the same that Christ accomplished by it. Their self-righteousness does, in effect, charge Christ's offering up himself in these sufferings as the greatest instance of folly that ever men or angels saw, instead of being the most glorious display of divine wisdom and grace that ever was seen. Yea, self-righteousness makes all that Christ did through the whole course of his life, and all that he said and suffered for through that whole time, and his incarnation itself, and not only so, but all that God had been doing in the great dispensations of his providence from the beginning of the world to that time, as all nothing but a scene of the most wild,</w:t>
      </w:r>
      <w:r>
        <w:rPr>
          <w:rStyle w:val="FootnoteReference"/>
        </w:rPr>
        <w:footnoteReference w:id="1344"/>
      </w:r>
      <w:r>
        <w:t xml:space="preserve"> and extreme, and transcendent folly.</w:t>
      </w:r>
    </w:p>
    <w:p>
      <w:pPr>
        <w:pStyle w:val="BodyText"/>
      </w:pPr>
      <w:r>
        <w:t xml:space="preserve">Is it any wonder then that a self-righteous spirit is so represented</w:t>
      </w:r>
    </w:p>
    <w:p>
      <w:pPr>
        <w:pStyle w:val="SourcePage"/>
      </w:pPr>
      <w:r>
        <w:t xml:space="preserve">[p. 338]</w:t>
      </w:r>
    </w:p>
    <w:p>
      <w:pPr>
        <w:pStyle w:val="BodyText"/>
      </w:pPr>
      <w:r>
        <w:t xml:space="preserve">in Scripture, and spoken of as that which is most fatal to the souls of men. And is it any wonder that God is represented in Scripture as being so provoked with the Pharisees, and others that trusted in themselves that they were righteous, and were proud of their goodness, and thought that their own performances were a valuable price of God's favor and love. Let persons hence be warned against a self righteous spirit. You that are seeking your salvation and taking pains in religion, if there are any such here present, take heed to yourselves that you don't trust in what you do: That you don't harbor any such thoughts that God now seeing how you are reformed, how you take pains in religion, and how you are sometimes affected, will be pacified towards you with respect to your sins; And on the account of it will not be so angry for your former sins</w:t>
      </w:r>
      <w:r>
        <w:rPr>
          <w:rStyle w:val="FootnoteReference"/>
        </w:rPr>
        <w:footnoteReference w:id="1345"/>
      </w:r>
      <w:r>
        <w:t xml:space="preserve"> and that you shall gain on him by such things, and draw his heart to show you mercy. Or at least that God ought to accept of what you do, so as to be inclined by it in some measure to forgive you and have mercy on you. If you entertain this thought, that God is obliged to it and don't do justly if he refuse to regard your prayers and pains, and so quarrel with God and complain of it for not doing it, this shows what your opinion is of your own righteousness, viz. that 'tis a valuable price of salvation and ought to be accepted of God as such. Such complaining of God and quarreling with him for not taking more notice of your religion, plainly shows that [you] are guilty of all that arrogance that has been spoken of, thinking yourself sufficient to offer the price of your own salvation.</w:t>
      </w:r>
    </w:p>
    <w:p>
      <w:pPr>
        <w:pStyle w:val="BodyText"/>
      </w:pPr>
      <w:r>
        <w:rPr>
          <w:i/>
          <w:iCs/>
        </w:rPr>
        <w:t xml:space="preserve">Thirdly</w:t>
      </w:r>
      <w:r>
        <w:t xml:space="preserve">.</w:t>
      </w:r>
      <w:r>
        <w:rPr>
          <w:rStyle w:val="FootnoteReference"/>
        </w:rPr>
        <w:footnoteReference w:id="1346"/>
      </w:r>
      <w:r>
        <w:t xml:space="preserve"> What has been said on this subject affords matter of reproof to those that carelessly neglect the salvation of Christ, such who live a senseless kind of life, neglecting</w:t>
      </w:r>
      <w:r>
        <w:rPr>
          <w:rStyle w:val="FootnoteReference"/>
        </w:rPr>
        <w:footnoteReference w:id="1347"/>
      </w:r>
      <w:r>
        <w:t xml:space="preserve"> their business of religion and their own precious souls for the present, not taking any course to get an interest in Christ, or what he has done and suffered, or any part in that glorious salvation he has purchased by that price; but rather have their minds taken up about the gains of the world or about the vanities and pleasures of youth. And make so light of what they hear from time to time of Christ's salvation that they for the present don't so much as seek after it. Let me here apply myself to you in some expostulatory interrogations.</w:t>
      </w:r>
    </w:p>
    <w:p>
      <w:pPr>
        <w:pStyle w:val="SourcePage"/>
      </w:pPr>
      <w:r>
        <w:t xml:space="preserve">[p. 339]</w:t>
      </w:r>
    </w:p>
    <w:p>
      <w:pPr>
        <w:pStyle w:val="BodyText"/>
      </w:pPr>
      <w:r>
        <w:t xml:space="preserve">1.</w:t>
      </w:r>
      <w:r>
        <w:rPr>
          <w:rStyle w:val="FootnoteReference"/>
        </w:rPr>
        <w:footnoteReference w:id="1348"/>
      </w:r>
      <w:r>
        <w:t xml:space="preserve"> Shall so many prophets, and kings, and righteous [men] have their minds so much taken up with the prospect of the purchase of salvation being wrought out in ages long after their death, and will you so neglect it when actually accomplished? You have heard what great account the church of God in all ages made of the future redemption of Christ; how joyfully they expected it, how they spoke of it, how they studied and searched</w:t>
      </w:r>
      <w:r>
        <w:rPr>
          <w:rStyle w:val="FootnoteReference"/>
        </w:rPr>
        <w:footnoteReference w:id="1349"/>
      </w:r>
      <w:r>
        <w:t xml:space="preserve"> into these things, how they sung joyful songs about, and had their hearts greatly engaged about it and yet never expected to see it done, did not expect that it would be accomplished till many ages after their death, 1 Peter 1:10–12 ["Of which salvation the prophets have enquired and searched diligently, … what manner of time the Spirit of Christ which was in them did signify, … the sufferings of Christ.… Which are now reported unto you"]. How much did Isaiah, and Daniel, and other prophets speak ‹concerning this redemption›. How was David's mind taken [up; he] declared all his salvation, 2 Samuel 23:5.</w:t>
      </w:r>
      <w:r>
        <w:rPr>
          <w:rStyle w:val="FootnoteReference"/>
        </w:rPr>
        <w:footnoteReference w:id="1350"/>
      </w:r>
      <w:r>
        <w:t xml:space="preserve"> How much did he employ his voice and harp,</w:t>
      </w:r>
      <w:r>
        <w:rPr>
          <w:rStyle w:val="FootnoteReference"/>
        </w:rPr>
        <w:footnoteReference w:id="1351"/>
      </w:r>
      <w:r>
        <w:t xml:space="preserve"> though they beheld it as yet accomplished, and it was to be so long a time. And before that, how did Abraham and other patriarchs rejoice; and even the saints before the flood, though so long future and so very faintly and obscurely revealed.</w:t>
      </w:r>
    </w:p>
    <w:p>
      <w:pPr>
        <w:pStyle w:val="BodyText"/>
      </w:pPr>
      <w:r>
        <w:t xml:space="preserve">Now these things are declared to you as</w:t>
      </w:r>
      <w:r>
        <w:rPr>
          <w:rStyle w:val="FootnoteReference"/>
        </w:rPr>
        <w:footnoteReference w:id="1352"/>
      </w:r>
      <w:r>
        <w:t xml:space="preserve"> actually fulfilled. The church now has seen all accomplished, all those great things they so joyfully prophesied of, and you are abundantly shown how those things were accomplished, Matthew 13:17, "Verily I say unto you, many prophets.…"</w:t>
      </w:r>
      <w:r>
        <w:rPr>
          <w:rStyle w:val="FootnoteReference"/>
        </w:rPr>
        <w:footnoteReference w:id="1353"/>
      </w:r>
      <w:r>
        <w:t xml:space="preserve"> And yet when these things are thus abundantly set before you as already accomplished, how do you slight them, how light do you make of them, how little are they taken notice of by you, how unconcerned about them, following other things and not so much as feeling any interest in them. Indeed, your sin is extremely aggravated in the sight of God. God has put you under very great advantages for your eternal salvation, far greater than those saints of old enjoyed, under a more glorious dispensation, [with] a more clear revelation of Christ and his salvation.</w:t>
      </w:r>
      <w:r>
        <w:rPr>
          <w:rStyle w:val="FootnoteReference"/>
        </w:rPr>
        <w:footnoteReference w:id="1354"/>
      </w:r>
    </w:p>
    <w:p>
      <w:pPr>
        <w:pStyle w:val="SourcePage"/>
      </w:pPr>
      <w:r>
        <w:t xml:space="preserve">[p. 340]</w:t>
      </w:r>
    </w:p>
    <w:p>
      <w:pPr>
        <w:pStyle w:val="BodyText"/>
      </w:pPr>
      <w:r>
        <w:t xml:space="preserve">2.</w:t>
      </w:r>
      <w:r>
        <w:rPr>
          <w:rStyle w:val="FootnoteReference"/>
        </w:rPr>
        <w:footnoteReference w:id="1355"/>
      </w:r>
      <w:r>
        <w:t xml:space="preserve"> Shall the angels be so engaged about this salvation of Christ ever since the fall of man, though they are not immediately concerned, and will you who need it and have it offered to you be so careless about it</w:t>
      </w:r>
      <w:r>
        <w:rPr>
          <w:rStyle w:val="FootnoteReference"/>
        </w:rPr>
        <w:footnoteReference w:id="1356"/>
      </w:r>
      <w:r>
        <w:t xml:space="preserve"> You have heard how the angels at first were subjected to Christ as mediator, and how they have all along been ministering spirits to him in this affair. They have in all the great dispensations you have heard of, from the beginning of the world, been active and as a flame of fire in this affair, being most diligently employed as ministering spirits to minister to Christ in this great affair of man's redemption. And when Christ came, how engaged were their minds. [They] came to Zacharias, and came to Mary, to Joseph.</w:t>
      </w:r>
      <w:r>
        <w:rPr>
          <w:rStyle w:val="FootnoteReference"/>
        </w:rPr>
        <w:footnoteReference w:id="1357"/>
      </w:r>
      <w:r>
        <w:t xml:space="preserve"> And how were their minds engaged in the time of the birth of Christ; whole multitude of heavenly hosts sang, and from time to time ministered to Christ when on earth: [at the] time of his temptation, [in his] agony, at his resurrection, [and at his] ascension. All things show that they were greatly engaged, and the Scripture informs us they pry into these things, 1 Peter 1:12, "Which things the angels [desire to look into]." And how are they represented in the Revelation</w:t>
      </w:r>
      <w:r>
        <w:rPr>
          <w:rStyle w:val="FootnoteReference"/>
        </w:rPr>
        <w:footnoteReference w:id="1358"/>
      </w:r>
      <w:r>
        <w:t xml:space="preserve"> as being employed in heaven in singing.</w:t>
      </w:r>
      <w:r>
        <w:rPr>
          <w:rStyle w:val="FootnoteReference"/>
        </w:rPr>
        <w:footnoteReference w:id="1359"/>
      </w:r>
      <w:r>
        <w:t xml:space="preserve"> Shall these take so much notice who don't need [it], have no immediate concern or interest in it, or offer of it; and shall you to whom it is offered—for [you] are in such extreme necessity—‹neglect and take no notice of it›?</w:t>
      </w:r>
    </w:p>
    <w:p>
      <w:pPr>
        <w:pStyle w:val="BodyText"/>
      </w:pPr>
      <w:r>
        <w:t xml:space="preserve">3.</w:t>
      </w:r>
      <w:r>
        <w:rPr>
          <w:rStyle w:val="FootnoteReference"/>
        </w:rPr>
        <w:footnoteReference w:id="1360"/>
      </w:r>
      <w:r>
        <w:t xml:space="preserve"> Was it worth the while for Christ to labor so hard, and do and suffer so much, to procure this salvation; and is [it] not worth the while for you to be at some labor in seeking of it? Was it a thing of so great importance that salvation should be procured for sinners, as that it was worthy to lie with such weight on the mind of Christ as to induce him to ‹suffer even death itself›? Though he stood in need of nothing, though he was like to gain nothing of addition to his eternal happiness, get nothing by those that he saves, did not need 'em; was it of such importance that sinners should be saved that he might properly be induced to ‹submit to such humiliation and suffering›.</w:t>
      </w:r>
    </w:p>
    <w:p>
      <w:pPr>
        <w:pStyle w:val="SourcePage"/>
      </w:pPr>
      <w:r>
        <w:t xml:space="preserve">[p. 341]</w:t>
      </w:r>
    </w:p>
    <w:p>
      <w:pPr>
        <w:pStyle w:val="BodyText"/>
      </w:pPr>
      <w:r>
        <w:t xml:space="preserve">And yet [is] it not worth the while for you</w:t>
      </w:r>
      <w:r>
        <w:rPr>
          <w:rStyle w:val="FootnoteReference"/>
        </w:rPr>
        <w:footnoteReference w:id="1361"/>
      </w:r>
      <w:r>
        <w:t xml:space="preserve"> who are one of those miserable sinners that need this salvation and must perish eternally without [it], to take earnest pains to obtain an interest in it after it is procured and all things are ready?</w:t>
      </w:r>
    </w:p>
    <w:p>
      <w:pPr>
        <w:pStyle w:val="BodyText"/>
      </w:pPr>
      <w:r>
        <w:t xml:space="preserve">4.</w:t>
      </w:r>
      <w:r>
        <w:rPr>
          <w:rStyle w:val="FootnoteReference"/>
        </w:rPr>
        <w:footnoteReference w:id="1362"/>
      </w:r>
      <w:r>
        <w:t xml:space="preserve"> Shall the great God be so concerned about this salvation as so often to overturn the world to make way for it, and when all is done is it not worth your seeking after? How has the Lord of heaven and earth been, as it were, engaged about this affair; what great, what wonderful things has he done from one age to another, removing kings and setting up kings, raising up a great number of prophets, separating a distinct nation from the rest of the world, overturning one nation and kingdom and another, and often overturning the state of the world, and so continue bringing one change and revolution after another for forty centuries, or hundreds of years in succession, to make way? And when he has done all, and at the close of these ages, the great savior comes: and</w:t>
      </w:r>
      <w:r>
        <w:rPr>
          <w:rStyle w:val="FootnoteReference"/>
        </w:rPr>
        <w:footnoteReference w:id="1363"/>
      </w:r>
      <w:r>
        <w:t xml:space="preserve"> becoming incarnate, and passing through a long series of reproaches and suffering, and then suffering all the waves and billows of God's wrath for men's sin as they enveloped</w:t>
      </w:r>
      <w:r>
        <w:rPr>
          <w:rStyle w:val="FootnoteReference"/>
        </w:rPr>
        <w:footnoteReference w:id="1364"/>
      </w:r>
      <w:r>
        <w:t xml:space="preserve"> and passed over his soul; after all, is it not worthy of your taking so much notice of or being so much concerned about, though you are one of those persons that need this salvation; but that it should be thrown by and made nothing of in comparison of worldly gain, or gay clothing, or youthful diversions, and other such trifling things?</w:t>
      </w:r>
    </w:p>
    <w:p>
      <w:pPr>
        <w:pStyle w:val="BodyText"/>
      </w:pPr>
      <w:r>
        <w:t xml:space="preserve">O that you that live negligent of this salvation would consider what you do; what you have had from this subject may show you what reason there is in that of the Apostle, Hebrews 2:3, "How shall we escape, if we neglect [so great salvation]." And in that Acts 13:41, "Behold, ye despisers, and wonder, and perish." God looks on such as you as great enemies of the cross of Christ, and adversaries and despisers of all the glory of this great work. And if God</w:t>
      </w:r>
      <w:r>
        <w:rPr>
          <w:rStyle w:val="FootnoteReference"/>
        </w:rPr>
        <w:footnoteReference w:id="1365"/>
      </w:r>
      <w:r>
        <w:t xml:space="preserve"> has made such account of the glory of salvation as to destroy many nations, and so often to overturn all nations, to prepare the way for the glory to his Son in this affair, how little account will he make of the lives and souls of ten thousand such opposers and despisers as you, that continue impenitent</w:t>
      </w:r>
    </w:p>
    <w:p>
      <w:pPr>
        <w:pStyle w:val="SourcePage"/>
      </w:pPr>
      <w:r>
        <w:t xml:space="preserve">[p. 342]</w:t>
      </w:r>
    </w:p>
    <w:p>
      <w:pPr>
        <w:pStyle w:val="BodyText"/>
      </w:pPr>
      <w:r>
        <w:t xml:space="preserve">in comparison of that glory. When he shall hereafter come and find that your welfare stands in the way of that glory, why surely you shall be dashed in pieces, as a potter's vessel, and trodden down as the mire of the streets.</w:t>
      </w:r>
      <w:r>
        <w:rPr>
          <w:rStyle w:val="FootnoteReference"/>
        </w:rPr>
        <w:footnoteReference w:id="1366"/>
      </w:r>
      <w:r>
        <w:t xml:space="preserve"> God may through wonderful patience bear with wicked, careless sinners for a while, but he will [not long] bear with such despisers of his dear Son and his great salvation, the glory of which he has had so much at heart, before he will utterly consume them without remedy or mercy.</w:t>
      </w:r>
    </w:p>
    <w:p>
      <w:pPr>
        <w:pStyle w:val="BodyText"/>
      </w:pPr>
      <w:r>
        <w:rPr>
          <w:rStyle w:val="FootnoteReference"/>
        </w:rPr>
        <w:footnoteReference w:id="1367"/>
      </w:r>
      <w:r>
        <w:t xml:space="preserve">I will conclude with a second use of encouragement to burdened souls very briefly to put their trust in Christ for salvation. To all such as are not careless and negligent, but do make</w:t>
      </w:r>
      <w:r>
        <w:rPr>
          <w:rStyle w:val="FootnoteReference"/>
        </w:rPr>
        <w:footnoteReference w:id="1368"/>
      </w:r>
      <w:r>
        <w:t xml:space="preserve"> seeking an interest in Christ their main business, being sensible in some measure of their necessity of an interest, being afraid of the wrath to come; to such, what has been said on this subject holds forth great matter of encouragement to come and venture their souls in the Lord Jesus Christ. Here consider two things in particular.</w:t>
      </w:r>
    </w:p>
    <w:p>
      <w:pPr>
        <w:pStyle w:val="BodyText"/>
      </w:pPr>
      <w:r>
        <w:t xml:space="preserve">1.</w:t>
      </w:r>
      <w:r>
        <w:rPr>
          <w:rStyle w:val="FootnoteReference"/>
        </w:rPr>
        <w:footnoteReference w:id="1369"/>
      </w:r>
      <w:r>
        <w:t xml:space="preserve"> The completeness of the purchase that has been made. As you have heard, this work of purchasing salvation was wholly finished during the time [of Christ's humiliation].</w:t>
      </w:r>
      <w:r>
        <w:rPr>
          <w:rStyle w:val="FootnoteReference"/>
        </w:rPr>
        <w:footnoteReference w:id="1370"/>
      </w:r>
      <w:r>
        <w:t xml:space="preserve"> So here is need of nothing more: the servants are now sent forth with the message which we have account of in Matthew 22:4 ["Behold, I have prepared my dinner: my oxen and my fatlings are killed, and all things are ready: come unto the marriage"]. Are your sins many and great, here is enough.</w:t>
      </w:r>
      <w:r>
        <w:rPr>
          <w:rStyle w:val="FootnoteReference"/>
        </w:rPr>
        <w:footnoteReference w:id="1371"/>
      </w:r>
      <w:r>
        <w:t xml:space="preserve"> There is no need of any righteousness of yours; come freely without money and without price; come naked; come as a poor condemned [sinner]; come cast yourself down at Jesus' feet, as one just condemned and most utterly helpless. Here is complete salvation.</w:t>
      </w:r>
    </w:p>
    <w:p>
      <w:pPr>
        <w:pStyle w:val="BodyText"/>
      </w:pPr>
      <w:r>
        <w:t xml:space="preserve">2.</w:t>
      </w:r>
      <w:r>
        <w:rPr>
          <w:rStyle w:val="FootnoteReference"/>
        </w:rPr>
        <w:footnoteReference w:id="1372"/>
      </w:r>
      <w:r>
        <w:t xml:space="preserve"> For Christ to reject one that thus comes to him would be to frustrate all those great things that you have heard of, that God had wrought from the fall of man, all that Christ did and suffered: Christ's incarnation, all the great things done in preparation, for all was for that end, that those might be saved that come to Jesus. Therefore you may be sure Christ will not be backward; he don't desire to</w:t>
      </w:r>
    </w:p>
    <w:p>
      <w:pPr>
        <w:pStyle w:val="SourcePage"/>
      </w:pPr>
      <w:r>
        <w:t xml:space="preserve">[p. 343]</w:t>
      </w:r>
    </w:p>
    <w:p>
      <w:pPr>
        <w:pStyle w:val="BodyText"/>
      </w:pPr>
      <w:r>
        <w:t xml:space="preserve">frustrate himself in his own work, it</w:t>
      </w:r>
      <w:r>
        <w:rPr>
          <w:rStyle w:val="FootnoteReference"/>
        </w:rPr>
        <w:footnoteReference w:id="1373"/>
      </w:r>
      <w:r>
        <w:t xml:space="preserve"> cost him too dear for that. God the Father won't refuse you, for he don't desire to frustrate himself in all that he did for so many hundreds and thousands of years. Come therefore, hearken to the sweet and earnest calls of Christ to your soul. Do as he invites, and as he commands you in Matthew 11:28–30, "Come unto me, all [ye that labour and are heavy laden, and I will give you rest]. Take my yoke [upon you, and learn of me, … and ye shall find rest unto your souls]. For my yoke is easy, [and my burden is light]."</w:t>
      </w:r>
      <w:r>
        <w:rPr>
          <w:rStyle w:val="FootnoteReference"/>
        </w:rPr>
        <w:footnoteReference w:id="1374"/>
      </w:r>
    </w:p>
    <w:p>
      <w:pPr>
        <w:pStyle w:val="SourcePage"/>
      </w:pPr>
      <w:r>
        <w:t xml:space="preserve">[p. 344]</w:t>
      </w:r>
    </w:p>
    <w:p>
      <w:pPr>
        <w:pStyle w:val="Heading2"/>
      </w:pPr>
      <w:bookmarkStart w:name="heading_no_7_sermon_eighteen" w:id="65"/>
      <w:r>
        <w:t xml:space="preserve">No. 7: SERMON EIGHTEEN</w:t>
      </w:r>
      <w:bookmarkEnd w:id="65"/>
    </w:p>
    <w:p>
      <w:pPr>
        <w:pStyle w:val="BodyText"/>
      </w:pPr>
      <w:r>
        <w:rPr>
          <w:rStyle w:val="FootnoteReference"/>
        </w:rPr>
        <w:footnoteReference w:id="1375"/>
      </w:r>
    </w:p>
    <w:p>
      <w:pPr>
        <w:pStyle w:val="BodyText"/>
      </w:pPr>
      <w:r>
        <w:rPr>
          <w:rStyle w:val="FootnoteReference"/>
        </w:rPr>
        <w:footnoteReference w:id="1376"/>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form generation to generation.]</w:t>
      </w:r>
    </w:p>
    <w:p>
      <w:pPr>
        <w:pStyle w:val="BodyText"/>
      </w:pPr>
      <w:r>
        <w:t xml:space="preserve">Isaiah 51:8</w:t>
      </w:r>
    </w:p>
    <w:p>
      <w:pPr>
        <w:pStyle w:val="Heading3"/>
      </w:pPr>
      <w:bookmarkStart w:name="heading_doctrine_17" w:id="66"/>
      <w:r>
        <w:t xml:space="preserve">DOCTRINE</w:t>
      </w:r>
      <w:bookmarkEnd w:id="66"/>
    </w:p>
    <w:p>
      <w:pPr>
        <w:pStyle w:val="BlockQuote"/>
      </w:pPr>
      <w:r>
        <w:rPr>
          <w:i/>
          <w:iCs/>
        </w:rPr>
        <w:t xml:space="preserve">[The Work of Redemption is a work that God carries on from the fall of man to the end of the world.]</w:t>
      </w:r>
    </w:p>
    <w:p>
      <w:pPr>
        <w:pStyle w:val="BodyText"/>
      </w:pPr>
      <w:r>
        <w:rPr>
          <w:rStyle w:val="FootnoteReference"/>
        </w:rPr>
        <w:footnoteReference w:id="1377"/>
      </w:r>
      <w:r>
        <w:t xml:space="preserve">WE are come now to the third and last period of this whole space of time beginning with Christ's resurrection, and reaching to the end of the world, and would now show how the Work of Redemption was also carried on through this period from this proposition, that the space of time from the end of Christ's humiliation to the end of the world is all taken up in bringing about the great effect or success of Christ's purchase.</w:t>
      </w:r>
    </w:p>
    <w:p>
      <w:pPr>
        <w:pStyle w:val="BodyText"/>
      </w:pPr>
      <w:r>
        <w:t xml:space="preserve">Not but that there were not great effects and glorious successes of Christ's purchase of redemption before, even from the beginning of the generations of men. But all that success of Christ's redemption that was before, was only preparatory and was by way of anticipation, as some few fruits are gathered before the harvest. There was no more success before Christ came than God saw needful to prepare the way for his coming.</w:t>
      </w:r>
      <w:r>
        <w:rPr>
          <w:rStyle w:val="FootnoteReference"/>
        </w:rPr>
        <w:footnoteReference w:id="1378"/>
      </w:r>
      <w:r>
        <w:t xml:space="preserve"> The proper time of the success or effect of Christ's purchase of redemption is after the purchase has been made; as the proper time for the world to enjoy the light of the sun is the day time after the sun is risen, though it may be that some small</w:t>
      </w:r>
    </w:p>
    <w:p>
      <w:pPr>
        <w:pStyle w:val="SourcePage"/>
      </w:pPr>
      <w:r>
        <w:t xml:space="preserve">[p. 345]</w:t>
      </w:r>
    </w:p>
    <w:p>
      <w:pPr>
        <w:pStyle w:val="BodyText"/>
      </w:pPr>
      <w:r>
        <w:t xml:space="preserve">matter of it [is] reflected from the moon and planets before.</w:t>
      </w:r>
      <w:r>
        <w:rPr>
          <w:rStyle w:val="FootnoteReference"/>
        </w:rPr>
        <w:footnoteReference w:id="1379"/>
      </w:r>
      <w:r>
        <w:t xml:space="preserve"> And even the success of Christ's redemption while he himself was on earth was very small in comparison of what it was after the conclusion of the period of his humiliation. But Christ's having finished that greatest and most difficult of all works, the work of the purchase of redemption, now is come the time for obtaining the end of it and obtaining the glorious effect of it. This is the next work he goes about. Having gone through the whole course of his sufferings and humiliation, there is an end to all things of that nature; he is never to suffer</w:t>
      </w:r>
      <w:r>
        <w:rPr>
          <w:rStyle w:val="FootnoteReference"/>
        </w:rPr>
        <w:footnoteReference w:id="1380"/>
      </w:r>
      <w:r>
        <w:t xml:space="preserve"> any more, but now is the time for him to obtain the joy that was set before him.</w:t>
      </w:r>
      <w:r>
        <w:rPr>
          <w:rStyle w:val="FootnoteReference"/>
        </w:rPr>
        <w:footnoteReference w:id="1381"/>
      </w:r>
      <w:r>
        <w:t xml:space="preserve"> Having made his soul an offering for sin, now is the time for him to see his seed and to have a portion divided to him with the great and to divide the spoil with the strong.</w:t>
      </w:r>
      <w:r>
        <w:rPr>
          <w:rStyle w:val="FootnoteReference"/>
        </w:rPr>
        <w:footnoteReference w:id="1382"/>
      </w:r>
    </w:p>
    <w:p>
      <w:pPr>
        <w:pStyle w:val="BodyText"/>
      </w:pPr>
      <w:r>
        <w:t xml:space="preserve">This is pointed out by the Scripture. One design of Christ in what he had done in his humiliation was to lay a foundation for the overthrow of Satan's kingdom; and now is come the time to effect it, as Christ a little before his crucifixion said, John 12:31, "Now is the judgment of this world: now shall the prince of this world be cast out." Another design was to gather together in one all things in Christ; now is come the time for this also, John 12:32, "And I, if I be lifted up … will draw all men unto me," which is agreeable to Jacob's prophecy of Christ that when "Shiloh come; to him should the gathering of the people be," Genesis 49:10.</w:t>
      </w:r>
      <w:r>
        <w:rPr>
          <w:rStyle w:val="FootnoteReference"/>
        </w:rPr>
        <w:footnoteReference w:id="1383"/>
      </w:r>
      <w:r>
        <w:t xml:space="preserve"> Another design is the salvation of the elect; now when his sufferings are finished and his humiliation is perfected, is come the time for that also, Hebrews 5:8–9, "Though he were a Son, yet learned he obedience by the things that he suffered; And being made perfect, he became</w:t>
      </w:r>
      <w:r>
        <w:rPr>
          <w:rStyle w:val="FootnoteReference"/>
        </w:rPr>
        <w:footnoteReference w:id="1384"/>
      </w:r>
      <w:r>
        <w:t xml:space="preserve"> the author of eternal salvation to all them that obey him." Another design was to accomplish by these things great glory to the persons of the Trinity; now also is come the time for that, John 17:1, "Father, the hour is come; glorify thy Son, that thy Son also [may glorify thee]." Another design is the glory of the saints; now is [come the time for that also,</w:t>
      </w:r>
    </w:p>
    <w:p>
      <w:pPr>
        <w:pStyle w:val="SourcePage"/>
      </w:pPr>
      <w:r>
        <w:t xml:space="preserve">[p. 346]</w:t>
      </w:r>
    </w:p>
    <w:p>
      <w:pPr>
        <w:pStyle w:val="BodyText"/>
      </w:pPr>
      <w:r>
        <w:t xml:space="preserve">John 17:2],</w:t>
      </w:r>
      <w:r>
        <w:rPr>
          <w:rStyle w:val="FootnoteReference"/>
        </w:rPr>
        <w:footnoteReference w:id="1385"/>
      </w:r>
      <w:r>
        <w:t xml:space="preserve"> "As thou hast given him power over all flesh, that he should give eternal life to as many as thou hast given him." And all the dispensations of God's providence henceforward, even to the final consummation of all things, is to give Christ his reward, and fulfill his end in what he did and suffered upon earth, and to fulfill the joy that was set before him.</w:t>
      </w:r>
      <w:r>
        <w:rPr>
          <w:rStyle w:val="FootnoteReference"/>
        </w:rPr>
        <w:footnoteReference w:id="1386"/>
      </w:r>
    </w:p>
    <w:p>
      <w:pPr>
        <w:pStyle w:val="BodyText"/>
      </w:pPr>
      <w:r>
        <w:rPr>
          <w:rStyle w:val="FootnoteReference"/>
        </w:rPr>
        <w:footnoteReference w:id="1387"/>
      </w:r>
      <w:r>
        <w:t xml:space="preserve">Here before I enter on the consideration of any particular things accomplished in this period, I would briefly observe some things in general concerning this period, and particularly how the times of this period are represented in Scripture.</w:t>
      </w:r>
    </w:p>
    <w:p>
      <w:pPr>
        <w:pStyle w:val="BodyText"/>
      </w:pPr>
      <w:r>
        <w:t xml:space="preserve">1.</w:t>
      </w:r>
      <w:r>
        <w:rPr>
          <w:rStyle w:val="FootnoteReference"/>
        </w:rPr>
        <w:footnoteReference w:id="1388"/>
      </w:r>
      <w:r>
        <w:t xml:space="preserve"> The times of this period for the most part are those which in the Old Testament are called the latter days. We often in the prophets of the Old Testament read of such and such things that should come to pass</w:t>
      </w:r>
      <w:r>
        <w:rPr>
          <w:rStyle w:val="FootnoteReference"/>
        </w:rPr>
        <w:footnoteReference w:id="1389"/>
      </w:r>
      <w:r>
        <w:t xml:space="preserve"> "in the latter days" and sometimes "in the last days."</w:t>
      </w:r>
      <w:r>
        <w:rPr>
          <w:rStyle w:val="FootnoteReference"/>
        </w:rPr>
        <w:footnoteReference w:id="1390"/>
      </w:r>
      <w:r>
        <w:t xml:space="preserve"> Now these expressions in the prophets are most commonly to be understood of the times of this period that we are now upon.</w:t>
      </w:r>
      <w:r>
        <w:rPr>
          <w:rStyle w:val="FootnoteReference"/>
        </w:rPr>
        <w:footnoteReference w:id="1391"/>
      </w:r>
      <w:r>
        <w:t xml:space="preserve"> They are called the latter days and the last days because this is the last period of the series of God's providences on earth, the last period of that great work of providence, the Work of Redemption, which is as it were, the sum of all God's works of providence, the time wherein the church is under the last dispensation of the covenant of grace that ever it will be under on earth.</w:t>
      </w:r>
    </w:p>
    <w:p>
      <w:pPr>
        <w:pStyle w:val="BodyText"/>
      </w:pPr>
      <w:r>
        <w:t xml:space="preserve">2.</w:t>
      </w:r>
      <w:r>
        <w:rPr>
          <w:rStyle w:val="FootnoteReference"/>
        </w:rPr>
        <w:footnoteReference w:id="1392"/>
      </w:r>
      <w:r>
        <w:t xml:space="preserve"> The whole time of this period is sometimes in Scripture called, the end of the world, as 1 Corinthians 10:11, "Now all these things happened unto them for ensamples: and they are written for our admonition, upon whom the ends of the world are come." And the Apostle in the Hebrews 9:26 in this expression of "the end of the world" means the whole of the gospel day, from the birth of Christ to the finishing of the day of judgment, "But now once in the end of the world hath he appeared to put away sin by the sacrifice of himself."</w:t>
      </w:r>
      <w:r>
        <w:rPr>
          <w:rStyle w:val="FootnoteReference"/>
        </w:rPr>
        <w:footnoteReference w:id="1393"/>
      </w:r>
      <w:r>
        <w:t xml:space="preserve"> This space of time may well be called the end</w:t>
      </w:r>
    </w:p>
    <w:p>
      <w:pPr>
        <w:pStyle w:val="SourcePage"/>
      </w:pPr>
      <w:r>
        <w:t xml:space="preserve">[p. 347]</w:t>
      </w:r>
    </w:p>
    <w:p>
      <w:pPr>
        <w:pStyle w:val="BodyText"/>
      </w:pPr>
      <w:r>
        <w:t xml:space="preserve">of the world, for this whole time is taken up in bringing things to their great end and issue, to that great issue that God had been preparing the way for in all the great dispensations of providence form the first fall of man to this time. Before things were in a kind of preparatory state, but now they are in a finishing state. 'Tis the winding up of things that is all this while accomplishing. An end is now brought to the former carnal worldly state of things, which by degrees vanishes, and a spiritual state begins to be established, and so to be established more and more. First an end is brought to the former state of the church, which may be called its worldly state, the state wherein it was subject to carnal ordinances and the rudiments of the world. And then an end is brought to the Jewish state in the destruction of their city and country. And then after that an end is brought to the old heathen empire in Constantine's time, which is another and further degree of the winding up and finishing of the world. And the next step is finishing</w:t>
      </w:r>
      <w:r>
        <w:rPr>
          <w:rStyle w:val="FootnoteReference"/>
        </w:rPr>
        <w:footnoteReference w:id="1394"/>
      </w:r>
      <w:r>
        <w:t xml:space="preserve"> Satan's visible kingdom in the world, upon the fall of Antichrist and the calling of the Jews. And last will come the destruction of the outward frame of the world itself, at the conclusion of the day of judgment.</w:t>
      </w:r>
    </w:p>
    <w:p>
      <w:pPr>
        <w:pStyle w:val="BodyText"/>
      </w:pPr>
      <w:r>
        <w:t xml:space="preserve">But the world is all this while, as it were, a-finishing, though it comes [to] an end by several steps and degrees. Heaven and earth began to shake in order to a dissolution, according to the prophecy of Haggai before Christ came, that so only those things that cannot be shaken may remain, i.e. that those things that are to come to an end may come to end, and that only those things may remain that are to remain to all eternity.</w:t>
      </w:r>
      <w:r>
        <w:rPr>
          <w:rStyle w:val="FootnoteReference"/>
        </w:rPr>
        <w:footnoteReference w:id="1395"/>
      </w:r>
      <w:r>
        <w:t xml:space="preserve"> So in the first place the carnal ordinances of the Jewish worship came to an end, to make way for the establishment of that spiritual worship, the worship of the heart that is to endure to all eternity; John 4:21, "Jesus saith unto her, Woman, believe me, the hour cometh, when [ye shall neither in this mountain, nor yet at Jerusalem, worship the Father]"; John 4:23, "But the hour cometh, [and now is, when the true worshippers shall worship the Father in spirit and in truth: for the Father seeketh such to worship him]"—which is one instance of the temporary world's coming to an end and the eternal world's beginning. And then after that the outward temple and the outward city Jerusalem came to an end, to give place to the setting up of the spiritual</w:t>
      </w:r>
      <w:r>
        <w:rPr>
          <w:rStyle w:val="FootnoteReference"/>
        </w:rPr>
        <w:footnoteReference w:id="1396"/>
      </w:r>
      <w:r>
        <w:t xml:space="preserve"> temple and the spiritual city</w:t>
      </w:r>
    </w:p>
    <w:p>
      <w:pPr>
        <w:pStyle w:val="SourcePage"/>
      </w:pPr>
      <w:r>
        <w:t xml:space="preserve">[p. 348]</w:t>
      </w:r>
    </w:p>
    <w:p>
      <w:pPr>
        <w:pStyle w:val="BodyText"/>
      </w:pPr>
      <w:r>
        <w:t xml:space="preserve">which are to last to eternity—which is another instance of removing those things that are ready to vanish away, that those that cannot be shaken may remain. And then after that the old heathen Roman empire comes to an end to make way for the empire of Christ which shall last to all eternity—which [is] another step of bringing the temporal world to an end, the beginning of the world to come, which is an eternal world. And then after that, upon the fall of Antichrist, end is put to Satan's visible kingdom on earth to establish Christ's kingdom which shall last to all eternity, as the prophet Daniel says, Daniel 7:27, "And the kingdom and dominion, and the greatness of the kingdom under the whole heaven, shall be given to the people of the saints of the most High, whose kingdom is an everlasting kingdom, and all dominions shall serve and obey him"—which is another instance. And then lastly the very frame of this corruptible world shall come to an end, to make way for the church to dwell in another dwelling place that shall last to all eternity—which is the last instance.</w:t>
      </w:r>
    </w:p>
    <w:p>
      <w:pPr>
        <w:pStyle w:val="BodyText"/>
      </w:pPr>
      <w:r>
        <w:rPr>
          <w:rStyle w:val="FootnoteReference"/>
        </w:rPr>
        <w:footnoteReference w:id="1397"/>
      </w:r>
      <w:r>
        <w:t xml:space="preserve">The world's thus, as it were, coming to end by various steps and degrees is perhaps the reason why the Apostle says that the "ends of the world" are come on us; not the end but the ends, of the plural number, as though the world has several endings one after another. The gospel dispensation is the last state of things in the world, and this state is a finishing state; it is all spent in finishing things off that had before been preparing, or abolishing temporal things that had before stood. It is all spent, as it were, in summing things up and bringing them to their issue and their proper fulfillment. Now all the old types are fulfilled, and all the prophecies of all the prophets from the beginning of the world shall have been fulfilled in this period.</w:t>
      </w:r>
    </w:p>
    <w:p>
      <w:pPr>
        <w:pStyle w:val="BodyText"/>
      </w:pPr>
      <w:r>
        <w:t xml:space="preserve">3.</w:t>
      </w:r>
      <w:r>
        <w:rPr>
          <w:rStyle w:val="FootnoteReference"/>
        </w:rPr>
        <w:footnoteReference w:id="1398"/>
      </w:r>
      <w:r>
        <w:t xml:space="preserve"> That state of things that is attained in the events of this period is called "a new heaven and a new earth."</w:t>
      </w:r>
    </w:p>
    <w:p>
      <w:pPr>
        <w:pStyle w:val="BlockQuote"/>
      </w:pPr>
      <w:r>
        <w:t xml:space="preserve">Isaiah 65:17–18 ["For, behold, I create new heavens and a new earth: and the former shall not be remembered, nor come into mind. But be ye glad and rejoice for ever in that which I create: for, behold, I create Jerusalem a rejoicing, and her people a joy"], Isaiah 66:22 ["For as the new heavens and the new earth, which I will make, shall remain before me, saith the Lord, so shall your seed and your name remain"],</w:t>
      </w:r>
    </w:p>
    <w:p>
      <w:pPr>
        <w:pStyle w:val="SourcePage"/>
      </w:pPr>
      <w:r>
        <w:t xml:space="preserve">[p. 349]</w:t>
      </w:r>
    </w:p>
    <w:p>
      <w:pPr>
        <w:pStyle w:val="BodyText"/>
      </w:pPr>
      <w:r>
        <w:t xml:space="preserve">Isaiah 51:16 ["And I have put my words in thy mouth, and I have covered thee in the shadow of mine hand, that I may plant the heavens, and lay the foundations of the earth."].</w:t>
      </w:r>
    </w:p>
    <w:p>
      <w:pPr>
        <w:pStyle w:val="BodyText"/>
      </w:pPr>
      <w:r>
        <w:rPr>
          <w:rStyle w:val="FootnoteReference"/>
        </w:rPr>
        <w:footnoteReference w:id="1399"/>
      </w:r>
      <w:r>
        <w:t xml:space="preserve">As the former state of things or the old world by one step after another is through this period coming to an end, so the new state of things or the new world which is a spiritual world is beginning and setting up. The old heaven and earth that are corruptible are shaking, that the new heaven and new earth which cannot be shaken may be established and remain.</w:t>
      </w:r>
    </w:p>
    <w:p>
      <w:pPr>
        <w:pStyle w:val="BodyText"/>
      </w:pPr>
      <w:r>
        <w:t xml:space="preserve">In consequence of each of these finishings of the old state of things there is a new day and beginning of a new and eternal state of things. So was that which accompanied the destruction of Jerusalem, which was an establishing the spiritual Jerusalem instead of the literal. So was that, [the destruction of the old heathen empire and all the other endings of the old state of things,]</w:t>
      </w:r>
      <w:r>
        <w:rPr>
          <w:rStyle w:val="FootnoteReference"/>
        </w:rPr>
        <w:footnoteReference w:id="1400"/>
      </w:r>
      <w:r>
        <w:t xml:space="preserve"> till at length the very outward form of the old world itself shall come to end, and the church shall dwell in a world new to it, or to a great part of it, even heaven, which will be a new habitation. And then shall be the utmost accomplished that is meant by the new heaven and the new earth, Revelation 21:1.</w:t>
      </w:r>
      <w:r>
        <w:rPr>
          <w:rStyle w:val="FootnoteReference"/>
        </w:rPr>
        <w:footnoteReference w:id="1401"/>
      </w:r>
      <w:r>
        <w:t xml:space="preserve"> The end of God's creating this world was to provide a kingdom for his Son in it; for he is appointed the heir of the world, and that he might have the possession of it and kingdom in it to all eternity. So that so far forth of the kingdom of Christ is set up in the world, so far is the world brought to its end, and the eternal state of things set up. So far are all the great revolutions and changes of the ages of the world brought to their everlasting issue, and all things come to their ultimate period. So far are the waters of the long channel of divine providence, that has so many branches and so many windings and turnings, emptied out and disgorged into their proper ocean that they have been seeking from the beginning and head of their course, and so are come to their rest. So far as Christ's kingdom is established, so far are things wound up and settled in their everlasting state, and a period put to the course of things in this changeable world. So far is the first heavens and the first earth come to an end and the new</w:t>
      </w:r>
    </w:p>
    <w:p>
      <w:pPr>
        <w:pStyle w:val="SourcePage"/>
      </w:pPr>
      <w:r>
        <w:t xml:space="preserve">[p. 350]</w:t>
      </w:r>
    </w:p>
    <w:p>
      <w:pPr>
        <w:pStyle w:val="BodyText"/>
      </w:pPr>
      <w:r>
        <w:t xml:space="preserve">heavens and new earth, the everlasting heavens and earth, established in their room.</w:t>
      </w:r>
    </w:p>
    <w:p>
      <w:pPr>
        <w:pStyle w:val="BodyText"/>
      </w:pPr>
      <w:r>
        <w:t xml:space="preserve">This leads me to observe,</w:t>
      </w:r>
      <w:r>
        <w:rPr>
          <w:rStyle w:val="FootnoteReference"/>
        </w:rPr>
        <w:footnoteReference w:id="1402"/>
      </w:r>
      <w:r>
        <w:t xml:space="preserve"> 4.</w:t>
      </w:r>
      <w:r>
        <w:rPr>
          <w:rStyle w:val="FootnoteReference"/>
        </w:rPr>
        <w:footnoteReference w:id="1403"/>
      </w:r>
      <w:r>
        <w:t xml:space="preserve"> That that state of things that is attained by the events of this period is what is so often called the kingdom of heaven and kingdom of God. We very often read in the New Testament of "the kingdom of heaven." John the Baptist preached that "the kingdom of heaven was at hand," and so did Christ and his disciples after him,</w:t>
      </w:r>
      <w:r>
        <w:rPr>
          <w:rStyle w:val="FootnoteReference"/>
        </w:rPr>
        <w:footnoteReference w:id="1404"/>
      </w:r>
      <w:r>
        <w:t xml:space="preserve"> referring to something that the Jews in those days expected and very much talked of that they called by that name.</w:t>
      </w:r>
      <w:r>
        <w:rPr>
          <w:rStyle w:val="FootnoteReference"/>
        </w:rPr>
        <w:footnoteReference w:id="1405"/>
      </w:r>
      <w:r>
        <w:t xml:space="preserve"> They seem to have taken their expectation and the name chiefly from that prophecy of Daniel in his interpretation of Nebuchadnezzar's dream, Daniel 2:44, "And in the days of these kings shall the Lord</w:t>
      </w:r>
      <w:r>
        <w:rPr>
          <w:rStyle w:val="FootnoteReference"/>
        </w:rPr>
        <w:footnoteReference w:id="1406"/>
      </w:r>
      <w:r>
        <w:t xml:space="preserve"> God of heaven set up a kingdom," together with that in Daniel 7:13–14, ["one like the Son of man came with the clouds of heaven.… And there was given him dominion, and glory, and a kingdom … and his kingdom … shall not be destroyed"].</w:t>
      </w:r>
    </w:p>
    <w:p>
      <w:pPr>
        <w:pStyle w:val="BodyText"/>
      </w:pPr>
      <w:r>
        <w:t xml:space="preserve">Now this kingdom of heaven is that evangelical state of things in his church and in the world wherein consists the success of Christ's redemption in this period. There had been other great kingdoms set up before that were earthly kingdoms, as the Babylonian, ‹the Persian, the Grecian, and the Roman monarchies›. But Christ came to set up the last kingdom, which is not an earthly kingdom but an heavenly, and</w:t>
      </w:r>
      <w:r>
        <w:rPr>
          <w:rStyle w:val="FootnoteReference"/>
        </w:rPr>
        <w:footnoteReference w:id="1407"/>
      </w:r>
      <w:r>
        <w:t xml:space="preserve"> so is the kingdom of heaven, John 18:36, "My kingdom is not of this world." This is that kingdom that Christ speaks of, Luke 22:29, "My Father hath appointed to me a kingdom."</w:t>
      </w:r>
      <w:r>
        <w:rPr>
          <w:rStyle w:val="FootnoteReference"/>
        </w:rPr>
        <w:footnoteReference w:id="1408"/>
      </w:r>
      <w:r>
        <w:t xml:space="preserve"> This kingdom began soon after Christ's resurrection, and was accomplished in various steps from that time to the end of the world. Sometimes by "the kingdom of heaven" is meant that spiritual state of the church that began soon after;</w:t>
      </w:r>
      <w:r>
        <w:rPr>
          <w:rStyle w:val="FootnoteReference"/>
        </w:rPr>
        <w:footnoteReference w:id="1409"/>
      </w:r>
      <w:r>
        <w:t xml:space="preserve"> sometimes that glorious, blessed state at the day of judgment, 1 Corinthians 15:50; the Apostle there speaking of the resurrection says, "This I say, that flesh and blood shall not inherit the kingdom of God."</w:t>
      </w:r>
      <w:r>
        <w:rPr>
          <w:rStyle w:val="FootnoteReference"/>
        </w:rPr>
        <w:footnoteReference w:id="1410"/>
      </w:r>
    </w:p>
    <w:p>
      <w:pPr>
        <w:pStyle w:val="SourcePage"/>
      </w:pPr>
      <w:r>
        <w:t xml:space="preserve">[p. 351]</w:t>
      </w:r>
    </w:p>
    <w:p>
      <w:pPr>
        <w:pStyle w:val="BodyText"/>
      </w:pPr>
      <w:r>
        <w:t xml:space="preserve">Under this head I would observe several things particularly for the clearer understanding of what the Scripture says concerning this period.</w:t>
      </w:r>
    </w:p>
    <w:p>
      <w:pPr>
        <w:pStyle w:val="BodyText"/>
      </w:pPr>
      <w:r>
        <w:rPr>
          <w:rStyle w:val="FootnoteReference"/>
        </w:rPr>
        <w:footnoteReference w:id="1411"/>
      </w:r>
      <w:r>
        <w:t xml:space="preserve">1.</w:t>
      </w:r>
      <w:r>
        <w:rPr>
          <w:rStyle w:val="FootnoteReference"/>
        </w:rPr>
        <w:footnoteReference w:id="1412"/>
      </w:r>
      <w:r>
        <w:t xml:space="preserve"> The setting up the kingdom of Christ is chiefly accomplished by four successive great events, each of which is in Scripture called "Christ's coming in his kingdom." The whole success of Christ's redemption in this is comprehended in one word, viz. his setting up his kingdom. This is chiefly done by four great, successive dispensations of providence, and every one of them is represented in Scripture as Christ's coming.</w:t>
      </w:r>
    </w:p>
    <w:p>
      <w:pPr>
        <w:pStyle w:val="BodyText"/>
      </w:pPr>
      <w:r>
        <w:t xml:space="preserve">The first is Christ's appearing in those wonderful dispensations of providence in the apostles' days in setting up the kingdom of Christ and destroying the enemies of his kingdom, which ended in the destruction of Jerusalem. This is called, "Christ coming in his kingdom" in the Matthew 16:28: "Verily I say unto you, There be some standing here, that shall not taste of [death] till they see the Son of man coming in his kingdom." And so it is represented in the Matthew 24.</w:t>
      </w:r>
      <w:r>
        <w:rPr>
          <w:rStyle w:val="FootnoteReference"/>
        </w:rPr>
        <w:footnoteReference w:id="1413"/>
      </w:r>
    </w:p>
    <w:p>
      <w:pPr>
        <w:pStyle w:val="BodyText"/>
      </w:pPr>
      <w:r>
        <w:t xml:space="preserve">The second is that which was accomplished in Constantine's time in the destruction of the heathen Roman empire. This is represented as Christ's coming, and is compared to his coming to judgment in the Revelation 6 at the latter end.</w:t>
      </w:r>
      <w:r>
        <w:rPr>
          <w:rStyle w:val="FootnoteReference"/>
        </w:rPr>
        <w:footnoteReference w:id="1414"/>
      </w:r>
      <w:r>
        <w:t xml:space="preserve"> The third is that which is to be accomplished at the destruction of Antichrist. This</w:t>
      </w:r>
      <w:r>
        <w:rPr>
          <w:rStyle w:val="FootnoteReference"/>
        </w:rPr>
        <w:footnoteReference w:id="1415"/>
      </w:r>
      <w:r>
        <w:t xml:space="preserve"> also is represented as Christ's coming in his kingdom in the Daniel 7 and other places, as I may possibly show hereafter when I come to speak of it.</w:t>
      </w:r>
      <w:r>
        <w:rPr>
          <w:rStyle w:val="FootnoteReference"/>
        </w:rPr>
        <w:footnoteReference w:id="1416"/>
      </w:r>
      <w:r>
        <w:t xml:space="preserve"> The fourth and last is his coming to the last judgment, which is the event principally signified in Scripture by Christ's coming in his kingdom.</w:t>
      </w:r>
      <w:r>
        <w:rPr>
          <w:rStyle w:val="FootnoteReference"/>
        </w:rPr>
        <w:footnoteReference w:id="1417"/>
      </w:r>
    </w:p>
    <w:p>
      <w:pPr>
        <w:pStyle w:val="BodyText"/>
      </w:pPr>
      <w:r>
        <w:t xml:space="preserve">2.</w:t>
      </w:r>
      <w:r>
        <w:rPr>
          <w:rStyle w:val="FootnoteReference"/>
        </w:rPr>
        <w:footnoteReference w:id="1418"/>
      </w:r>
      <w:r>
        <w:t xml:space="preserve"> I would observe that each of the three former of these is a lively image and type of the fourth and last, viz. Christ coming to the final judgment, as the principal dispensations of providence before Christ's final coming were types of kingdoms first coming like it, as Christ's last coming to judgment is accompanied with a resurrection of the</w:t>
      </w:r>
    </w:p>
    <w:p>
      <w:pPr>
        <w:pStyle w:val="SourcePage"/>
      </w:pPr>
      <w:r>
        <w:t xml:space="preserve">[p. 352]</w:t>
      </w:r>
    </w:p>
    <w:p>
      <w:pPr>
        <w:pStyle w:val="BodyText"/>
      </w:pPr>
      <w:r>
        <w:t xml:space="preserve">dead, and so is each of the three foregoing with a spiritual resurrection.</w:t>
      </w:r>
      <w:r>
        <w:rPr>
          <w:rStyle w:val="FootnoteReference"/>
        </w:rPr>
        <w:footnoteReference w:id="1419"/>
      </w:r>
      <w:r>
        <w:t xml:space="preserve"> That coming of Christ that ended in the destruction of Jerusalem was preceded with a glorious spiritual resurrection of souls in the calling of the Gentiles and bringing home such multitudes of souls to Christ by the preaching of the gospel. So Christ's coming in Constantine's time was accompanied with a glorious spiritual resurrection of the bigger part of the known world in a restoration of it to a visible church state from a state of heathenism. So Christ coming at the destruction of Antichrist</w:t>
      </w:r>
      <w:r>
        <w:rPr>
          <w:rStyle w:val="FootnoteReference"/>
        </w:rPr>
        <w:footnoteReference w:id="1420"/>
      </w:r>
      <w:r>
        <w:t xml:space="preserve"> [will be attended with a spiritual resurrection]</w:t>
      </w:r>
      <w:r>
        <w:rPr>
          <w:rStyle w:val="FootnoteReference"/>
        </w:rPr>
        <w:footnoteReference w:id="1421"/>
      </w:r>
      <w:r>
        <w:t xml:space="preserve"> of the church after it had been long, as it were, dead in the times of Antichrist. This is called the first resurrection in the Revelation 20.</w:t>
      </w:r>
      <w:r>
        <w:rPr>
          <w:rStyle w:val="FootnoteReference"/>
        </w:rPr>
        <w:footnoteReference w:id="1422"/>
      </w:r>
      <w:r>
        <w:t xml:space="preserve"> And as Christ in the last judgment will gloriously manifest himself coming in the glory of his Father, so [in]</w:t>
      </w:r>
      <w:r>
        <w:rPr>
          <w:rStyle w:val="FootnoteReference"/>
        </w:rPr>
        <w:footnoteReference w:id="1423"/>
      </w:r>
      <w:r>
        <w:t xml:space="preserve"> each of the three foregoing events Christ gloriously manifests [himself], each one with a gathering together of the elect from the [four winds]</w:t>
      </w:r>
      <w:r>
        <w:rPr>
          <w:rStyle w:val="FootnoteReference"/>
        </w:rPr>
        <w:footnoteReference w:id="1424"/>
      </w:r>
      <w:r>
        <w:t xml:space="preserve"> by God's angels with a great sound of a trumpet, Matthew 24:31. As there precedes the last a time of great degeneracy and wickedness,</w:t>
      </w:r>
      <w:r>
        <w:rPr>
          <w:rStyle w:val="FootnoteReference"/>
        </w:rPr>
        <w:footnoteReference w:id="1425"/>
      </w:r>
      <w:r>
        <w:t xml:space="preserve"> so [with the others]. Before each of them a time of great opposition to the church: Before the first by the Jews in their persecutions that we read of in the Acts; before the second, viz. that in Constantine's time, by the heathen; before the third by Antichrist; and before the last, viz. by Gog and Magog.</w:t>
      </w:r>
      <w:r>
        <w:rPr>
          <w:rStyle w:val="FootnoteReference"/>
        </w:rPr>
        <w:footnoteReference w:id="1426"/>
      </w:r>
    </w:p>
    <w:p>
      <w:pPr>
        <w:pStyle w:val="BodyText"/>
      </w:pPr>
      <w:r>
        <w:t xml:space="preserve">By each of them God delivers his church.</w:t>
      </w:r>
      <w:r>
        <w:rPr>
          <w:rStyle w:val="FootnoteReference"/>
        </w:rPr>
        <w:footnoteReference w:id="1427"/>
      </w:r>
      <w:r>
        <w:t xml:space="preserve"> Each of them is accompanied with a glorious advancement of the state of the church. The first, which ended in the destruction of Jerusalem, was attended with bringing the church into the glorious state of the gospel, a glorious state of the church very much prophesied of of old, whereby the church was advanced into far more glorious circumstances than it was in before under the Jewish dispensation. The second, which was</w:t>
      </w:r>
    </w:p>
    <w:p>
      <w:pPr>
        <w:pStyle w:val="SourcePage"/>
      </w:pPr>
      <w:r>
        <w:t xml:space="preserve">[p. 353]</w:t>
      </w:r>
    </w:p>
    <w:p>
      <w:pPr>
        <w:pStyle w:val="BodyText"/>
      </w:pPr>
      <w:r>
        <w:t xml:space="preserve">in Constantine's time, was accompanied with an advancement of the church into a state of liberty from persecution, and the countenance of civil authority, and triumph over their heathen persecutors. The third, which is [at the downfall of Antichrist, will be accompanied with]</w:t>
      </w:r>
      <w:r>
        <w:rPr>
          <w:rStyle w:val="FootnoteReference"/>
        </w:rPr>
        <w:footnoteReference w:id="1428"/>
      </w:r>
      <w:r>
        <w:t xml:space="preserve"> the glory of truth and liberty, peace, and joy that have so often [been] told of. The last [will be attended with] advancement to consummate glory in both soul and body in heaven.</w:t>
      </w:r>
      <w:r>
        <w:rPr>
          <w:rStyle w:val="FootnoteReference"/>
        </w:rPr>
        <w:footnoteReference w:id="1429"/>
      </w:r>
      <w:r>
        <w:t xml:space="preserve"> Each of them [is] accompanied with a terrible destruction of the wicked and the church's enemies: first, of the persecuting Jews</w:t>
      </w:r>
      <w:r>
        <w:rPr>
          <w:rStyle w:val="FootnoteReference"/>
        </w:rPr>
        <w:footnoteReference w:id="1430"/>
      </w:r>
      <w:r>
        <w:t xml:space="preserve"> in that amazing destruction [of the temple]; second, dreadful judgments on heathen persecutors of which more [could be told];</w:t>
      </w:r>
      <w:r>
        <w:rPr>
          <w:rStyle w:val="FootnoteReference"/>
        </w:rPr>
        <w:footnoteReference w:id="1431"/>
      </w:r>
      <w:r>
        <w:t xml:space="preserve"> third, Antichrist;</w:t>
      </w:r>
      <w:r>
        <w:rPr>
          <w:rStyle w:val="FootnoteReference"/>
        </w:rPr>
        <w:footnoteReference w:id="1432"/>
      </w:r>
      <w:r>
        <w:t xml:space="preserve"> fourth, on all the ungodly.</w:t>
      </w:r>
      <w:r>
        <w:rPr>
          <w:rStyle w:val="FootnoteReference"/>
        </w:rPr>
        <w:footnoteReference w:id="1433"/>
      </w:r>
      <w:r>
        <w:t xml:space="preserve"> There is [in each] an ending of the old heaven and earth and a beginning of a new; accompanying each an end to a temporal state and a beginning an eternal state.</w:t>
      </w:r>
      <w:r>
        <w:rPr>
          <w:rStyle w:val="FootnoteReference"/>
        </w:rPr>
        <w:footnoteReference w:id="1434"/>
      </w:r>
    </w:p>
    <w:p>
      <w:pPr>
        <w:pStyle w:val="BodyText"/>
      </w:pPr>
      <w:r>
        <w:t xml:space="preserve">3.</w:t>
      </w:r>
      <w:r>
        <w:rPr>
          <w:rStyle w:val="FootnoteReference"/>
        </w:rPr>
        <w:footnoteReference w:id="1435"/>
      </w:r>
      <w:r>
        <w:t xml:space="preserve"> I would observe that each of those four great dispensations that are represented as Christ's coming in his kingdom</w:t>
      </w:r>
      <w:r>
        <w:rPr>
          <w:rStyle w:val="FootnoteReference"/>
        </w:rPr>
        <w:footnoteReference w:id="1436"/>
      </w:r>
      <w:r>
        <w:t xml:space="preserve"> are but so many steps and degrees of the accomplishment of one event. They aren't the setting up of so many distinct kingdoms of Christ; they are all of them only several degrees of accomplishment of that one event prophesied of in Daniel 7:13–14:</w:t>
      </w:r>
    </w:p>
    <w:p>
      <w:pPr>
        <w:pStyle w:val="BlockQuote"/>
      </w:pPr>
      <w:r>
        <w:t xml:space="preserve">And I saw in the night [visions], and, behold, one like unto the Son of man came with the clouds of heaven, and came to the Ancient of days, and they brought him near before him. And</w:t>
      </w:r>
    </w:p>
    <w:p>
      <w:pPr>
        <w:pStyle w:val="SourcePage"/>
      </w:pPr>
      <w:r>
        <w:t xml:space="preserve">[p. 354]</w:t>
      </w:r>
    </w:p>
    <w:p>
      <w:pPr>
        <w:pStyle w:val="BodyText"/>
      </w:pPr>
      <w:r>
        <w:t xml:space="preserve">there was given [him] dominion, and glory, and a kingdom that all people, nations, and languages, should serve him: his dominion is an everlasting dominion, and his kingdom that which shall</w:t>
      </w:r>
      <w:r>
        <w:rPr>
          <w:rStyle w:val="FootnoteReference"/>
        </w:rPr>
        <w:footnoteReference w:id="1437"/>
      </w:r>
      <w:r>
        <w:t xml:space="preserve"> not be destroyed.</w:t>
      </w:r>
      <w:r>
        <w:rPr>
          <w:rStyle w:val="FootnoteReference"/>
        </w:rPr>
        <w:footnoteReference w:id="1438"/>
      </w:r>
    </w:p>
    <w:p>
      <w:pPr>
        <w:pStyle w:val="BodyText"/>
      </w:pPr>
      <w:r>
        <w:t xml:space="preserve">This is what the Jews expected and called, "the coming of the kingdom of heaven,"</w:t>
      </w:r>
      <w:r>
        <w:rPr>
          <w:rStyle w:val="FootnoteReference"/>
        </w:rPr>
        <w:footnoteReference w:id="1439"/>
      </w:r>
      <w:r>
        <w:t xml:space="preserve"> and which John the Baptist and Christ had respect to when they said, "the kingdom of heaven is at hand."</w:t>
      </w:r>
      <w:r>
        <w:rPr>
          <w:rStyle w:val="FootnoteReference"/>
        </w:rPr>
        <w:footnoteReference w:id="1440"/>
      </w:r>
      <w:r>
        <w:t xml:space="preserve"> This great event is gradually accomplished, or is accomplished by several steps, those four great events that have been mentioned.</w:t>
      </w:r>
    </w:p>
    <w:p>
      <w:pPr>
        <w:pStyle w:val="BodyText"/>
      </w:pPr>
      <w:r>
        <w:t xml:space="preserve">When Christ came with the preaching of the apostles to set up his kingdom in the world, which dispensation ended in the destruction of Jerusalem, then it was accomplished in a glorious degree. When the heathen empire was destroyed in Constantine's time, it was fulfilled in a further degree. When Antichrist [shall be destroyed, it will be accomplished in a yet higher degree].</w:t>
      </w:r>
      <w:r>
        <w:rPr>
          <w:rStyle w:val="FootnoteReference"/>
        </w:rPr>
        <w:footnoteReference w:id="1441"/>
      </w:r>
      <w:r>
        <w:t xml:space="preserve"> When the end of the world is come, then [will it be accomplished] in its most perfect degree of all; then it shall be fully and completely accomplished. And because these four great events are but images one of another and the three former</w:t>
      </w:r>
      <w:r>
        <w:rPr>
          <w:rStyle w:val="FootnoteReference"/>
        </w:rPr>
        <w:footnoteReference w:id="1442"/>
      </w:r>
      <w:r>
        <w:t xml:space="preserve"> but types of the last, and since they are all but only the several steps of the accomplishment of the same thing, hence we find 'em all from time to time prophesied of under one; as they are in the prophecies of Daniel, and as they are in the Matthew 24, where some things seem more applicable to one of them and others to another.</w:t>
      </w:r>
      <w:r>
        <w:rPr>
          <w:rStyle w:val="FootnoteReference"/>
        </w:rPr>
        <w:footnoteReference w:id="1443"/>
      </w:r>
    </w:p>
    <w:p>
      <w:pPr>
        <w:pStyle w:val="BodyText"/>
      </w:pPr>
      <w:r>
        <w:t xml:space="preserve">4.</w:t>
      </w:r>
      <w:r>
        <w:rPr>
          <w:rStyle w:val="FootnoteReference"/>
        </w:rPr>
        <w:footnoteReference w:id="1444"/>
      </w:r>
      <w:r>
        <w:t xml:space="preserve"> I would observe that as there are several stages of the accomplishment of the kingdom of Christ, so in each one of them the event is accomplished in a further degree than in the foregoing. That in Constantine's time [was] much greater than ‹that which ended in the destruction of Jerusalem›. So that the kingdom of Christ is gradually prevailing and increasing by these several great stages of its fulfillment from the time of Christ's resurrection to the end of the world.</w:t>
      </w:r>
    </w:p>
    <w:p>
      <w:pPr>
        <w:pStyle w:val="SourcePage"/>
      </w:pPr>
      <w:r>
        <w:t xml:space="preserve">[p. 355]</w:t>
      </w:r>
    </w:p>
    <w:p>
      <w:pPr>
        <w:pStyle w:val="BodyText"/>
      </w:pPr>
      <w:r>
        <w:t xml:space="preserve">5.</w:t>
      </w:r>
      <w:r>
        <w:rPr>
          <w:rStyle w:val="FootnoteReference"/>
        </w:rPr>
        <w:footnoteReference w:id="1445"/>
      </w:r>
      <w:r>
        <w:t xml:space="preserve"> And lastly it may be observed that the great providences of God between these</w:t>
      </w:r>
      <w:r>
        <w:rPr>
          <w:rStyle w:val="FootnoteReference"/>
        </w:rPr>
        <w:footnoteReference w:id="1446"/>
      </w:r>
      <w:r>
        <w:t xml:space="preserve"> four great events are to make way for the kingdom and glory of Christ in the event following. Those dispensations of providence that were towards the church of God and the world before the destruction of the heathen empire in Constantine's time, seem all to be to make way for the glory of Christ and the happiness of his church in that event. And so the great providences of God that after that till the destruction of Antichrist and the beginning of he glorious times of the church that follow, seem all to be to prepare the way for the greater glory of Christ and his church in that event. And the providences of God that shall be after that to the end of the world, seem to be for the greater manifestation of Christ's glory at the end of the world and in the consummation of all things.</w:t>
      </w:r>
    </w:p>
    <w:p>
      <w:pPr>
        <w:pStyle w:val="BodyText"/>
      </w:pPr>
      <w:r>
        <w:t xml:space="preserve">Thus I thought it needful to observe these things in general concerning this last period of the series of God's providences before</w:t>
      </w:r>
      <w:r>
        <w:rPr>
          <w:rStyle w:val="FootnoteReference"/>
        </w:rPr>
        <w:footnoteReference w:id="1447"/>
      </w:r>
      <w:r>
        <w:t xml:space="preserve"> I take notice of the particular providences by which the Work of Redemption is carried on through this period in their order. And before I do that, I must also briefly answer to an inquiry, viz. why the setting up of Christ's kingdom after his humiliation should be so gradual, by so many steps that are so long in accomplishment, when God could easily have finished it at once.</w:t>
      </w:r>
      <w:r>
        <w:rPr>
          <w:rStyle w:val="FootnoteReference"/>
        </w:rPr>
        <w:footnoteReference w:id="1448"/>
      </w:r>
      <w:r>
        <w:t xml:space="preserve"> Though it would be presumption in us to pretend to declare all God's ends in this, yet doubtless much of the wisdom of God may be seen in it by us, and particularly in these two things.</w:t>
      </w:r>
    </w:p>
    <w:p>
      <w:pPr>
        <w:pStyle w:val="BodyText"/>
      </w:pPr>
      <w:r>
        <w:t xml:space="preserve">1.</w:t>
      </w:r>
      <w:r>
        <w:rPr>
          <w:rStyle w:val="FootnoteReference"/>
        </w:rPr>
        <w:footnoteReference w:id="1449"/>
      </w:r>
      <w:r>
        <w:t xml:space="preserve"> In this way the glory of God's wisdom in the manner of doing this is more visible to the creature's observation. If it were done at once, in an instant or in a very short time, there would not be opportunity for the creature to perceive and observe all the particular steps of divine wisdom, as when the work is gradually accomplished and one effect of his wisdom is held forth to observation after another. 'Tis wisely determined of God</w:t>
      </w:r>
      <w:r>
        <w:rPr>
          <w:rStyle w:val="FootnoteReference"/>
        </w:rPr>
        <w:footnoteReference w:id="1450"/>
      </w:r>
      <w:r>
        <w:t xml:space="preserve"> to accomplish his great design by a wonderful and long series of events, that the glory of his wisdom may he displayed in the whole series and that the glory of his perfections</w:t>
      </w:r>
    </w:p>
    <w:p>
      <w:pPr>
        <w:pStyle w:val="SourcePage"/>
      </w:pPr>
      <w:r>
        <w:t xml:space="preserve">[p. 356]</w:t>
      </w:r>
    </w:p>
    <w:p>
      <w:pPr>
        <w:pStyle w:val="BodyText"/>
      </w:pPr>
      <w:r>
        <w:t xml:space="preserve">may be seen as appearing, as it were, by parts and in particular successive manifestations. For if all that glory that appears in all these events should be manifested at once, it would be too much for us and more than we at once could take notice of; it would dazzle our eyes and be too much for our sight.</w:t>
      </w:r>
    </w:p>
    <w:p>
      <w:pPr>
        <w:pStyle w:val="BodyText"/>
      </w:pPr>
      <w:r>
        <w:t xml:space="preserve">2.</w:t>
      </w:r>
      <w:r>
        <w:rPr>
          <w:rStyle w:val="FootnoteReference"/>
        </w:rPr>
        <w:footnoteReference w:id="1451"/>
      </w:r>
      <w:r>
        <w:t xml:space="preserve"> Satan is the more gloriously triumphed over. God could easily by an act of almighty power at once have crushed Satan. But by giving him time to use his utmost subtilty to hinder the success of what Christ had done and suffered, he is not defeated merely by surprise but has large opportunity to ply his</w:t>
      </w:r>
      <w:r>
        <w:rPr>
          <w:rStyle w:val="FootnoteReference"/>
        </w:rPr>
        <w:footnoteReference w:id="1452"/>
      </w:r>
      <w:r>
        <w:t xml:space="preserve"> utmost power and subtilty again and again, to strengthen his own interest all that he can by the work of many ages. Thus God destroys and confounds him, and sets up Christ's kingdom time after time, in spite of all his subtile machination and great works, and by every step to advance it still higher and higher, till at length it is fully set up and Satan perfectly and eternally vanquished in the end of all things.</w:t>
      </w:r>
    </w:p>
    <w:p>
      <w:pPr>
        <w:pStyle w:val="SourcePage"/>
      </w:pPr>
      <w:r>
        <w:t xml:space="preserve">[p. 357]</w:t>
      </w:r>
    </w:p>
    <w:p>
      <w:pPr>
        <w:pStyle w:val="Heading2"/>
      </w:pPr>
      <w:bookmarkStart w:name="heading_sermon_nineteen" w:id="67"/>
      <w:r>
        <w:t xml:space="preserve">SERMON NINETEEN</w:t>
      </w:r>
      <w:bookmarkEnd w:id="67"/>
    </w:p>
    <w:p>
      <w:pPr>
        <w:pStyle w:val="BodyText"/>
      </w:pPr>
      <w:r>
        <w:rPr>
          <w:rStyle w:val="FootnoteReference"/>
        </w:rPr>
        <w:footnoteReference w:id="1453"/>
      </w:r>
    </w:p>
    <w:p>
      <w:pPr>
        <w:pStyle w:val="BodyText"/>
      </w:pPr>
      <w:r>
        <w:rPr>
          <w:rStyle w:val="FootnoteReference"/>
        </w:rPr>
        <w:footnoteReference w:id="1454"/>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18" w:id="68"/>
      <w:r>
        <w:t xml:space="preserve">[DOCTRINE]</w:t>
      </w:r>
      <w:bookmarkEnd w:id="68"/>
    </w:p>
    <w:p>
      <w:pPr>
        <w:pStyle w:val="BlockQuote"/>
      </w:pPr>
      <w:r>
        <w:rPr>
          <w:i/>
          <w:iCs/>
        </w:rPr>
        <w:t xml:space="preserve">[The Work of Redemption is a work that God carries on from the fall of man to the end of the world.]</w:t>
      </w:r>
    </w:p>
    <w:p>
      <w:pPr>
        <w:pStyle w:val="BodyText"/>
      </w:pPr>
      <w:r>
        <w:t xml:space="preserve">IN presentation of this subject, viz. the carrying on ‹the Work of Redemption from the fall of man to the end of the world›, we entered in the forenoon on the third and last great period, and on the last proposition, viz. that the space of time from the end of Christ's humiliation to the end of the world was all taken up in accomplishing the success of Christ's purchase.</w:t>
      </w:r>
    </w:p>
    <w:p>
      <w:pPr>
        <w:pStyle w:val="BodyText"/>
      </w:pPr>
      <w:r>
        <w:t xml:space="preserve">In the forenoon I observed five things in general concerning this period.</w:t>
      </w:r>
    </w:p>
    <w:p>
      <w:pPr>
        <w:pStyle w:val="BodyText"/>
      </w:pPr>
      <w:r>
        <w:rPr>
          <w:rStyle w:val="FootnoteReference"/>
        </w:rPr>
        <w:footnoteReference w:id="1455"/>
      </w:r>
      <w:r>
        <w:t xml:space="preserve">I now proceed to take notice of the particular events of it in their order, and 1. I would take notice of those things whereby Christ was put into an immediate capacity for accomplishing the end of his purchase, and 2. show how he obtained and accomplished that success.</w:t>
      </w:r>
    </w:p>
    <w:p>
      <w:pPr>
        <w:pStyle w:val="BodyText"/>
      </w:pPr>
      <w:r>
        <w:t xml:space="preserve">First,</w:t>
      </w:r>
      <w:r>
        <w:rPr>
          <w:rStyle w:val="FootnoteReference"/>
        </w:rPr>
        <w:footnoteReference w:id="1456"/>
      </w:r>
      <w:r>
        <w:t xml:space="preserve"> I would take notice of those things by which [Christ] was put into a capacity for accomplishing the end of his purchase. And they are two things, viz. his resurrection and ascension. As we observed before, the incarnation of Christ was necessary in order to Christ's being in a next capacity for the purchase of redemption; so the resurrection</w:t>
      </w:r>
    </w:p>
    <w:p>
      <w:pPr>
        <w:pStyle w:val="SourcePage"/>
      </w:pPr>
      <w:r>
        <w:t xml:space="preserve">[p. 358]</w:t>
      </w:r>
    </w:p>
    <w:p>
      <w:pPr>
        <w:pStyle w:val="BodyText"/>
      </w:pPr>
      <w:r>
        <w:t xml:space="preserve">and ascension of Christ were requisite in order to his accomplishing the success of his purchase.</w:t>
      </w:r>
    </w:p>
    <w:p>
      <w:pPr>
        <w:pStyle w:val="BodyText"/>
      </w:pPr>
      <w:r>
        <w:rPr>
          <w:rStyle w:val="FootnoteReference"/>
        </w:rPr>
        <w:footnoteReference w:id="1457"/>
      </w:r>
      <w:r>
        <w:t xml:space="preserve">1.</w:t>
      </w:r>
      <w:r>
        <w:rPr>
          <w:rStyle w:val="FootnoteReference"/>
        </w:rPr>
        <w:footnoteReference w:id="1458"/>
      </w:r>
      <w:r>
        <w:t xml:space="preserve"> His resurrection. It was necessary in order to Christ's obtaining the end and effect of his purchase of redemption that he should rise from the dead; for God the Father had committed the whole affair of redemption, not only the purchasing of it but the bestowment of the blessings purchased, that he should not only purchase it as priest but actually bring it about as king, and that he should do this as God-man.</w:t>
      </w:r>
      <w:r>
        <w:rPr>
          <w:rStyle w:val="FootnoteReference"/>
        </w:rPr>
        <w:footnoteReference w:id="1459"/>
      </w:r>
      <w:r>
        <w:t xml:space="preserve"> For God the Father would have nothing to do with fallen man in a way of mercy but by a mediator. But in order to Christ's carrying on the Work of Redemption and accomplishing the success of his own purchase as God-man, it was necessary that he should be alive, and so that he should rise from the dead. Therefore Christ, after he had finished this purchase by death and by continuing for a time under the power of death, rises from the dead to fulfill the end of his purchase and himself to bring about that which he died for.</w:t>
      </w:r>
      <w:r>
        <w:rPr>
          <w:rStyle w:val="FootnoteReference"/>
        </w:rPr>
        <w:footnoteReference w:id="1460"/>
      </w:r>
      <w:r>
        <w:t xml:space="preserve"> For this matter God the Father had committed unto him, that he might as Lord of all manage all to his own purposes, Romans 14:9, "For to this end</w:t>
      </w:r>
      <w:r>
        <w:rPr>
          <w:rStyle w:val="FootnoteReference"/>
        </w:rPr>
        <w:footnoteReference w:id="1461"/>
      </w:r>
      <w:r>
        <w:t xml:space="preserve"> Christ both died, and rose, and revived, that he might be Lord both of the dead and of the living."</w:t>
      </w:r>
    </w:p>
    <w:p>
      <w:pPr>
        <w:pStyle w:val="BodyText"/>
      </w:pPr>
      <w:r>
        <w:t xml:space="preserve">Indeed, Christ's resurrection and so his ascension was part of the success of what Christ did and suffered in his humiliation. For though Christ did not properly purchase redemption for himself, yet he purchased eternal life and glory for himself by what he did and suffered, and this eternal life and glory was given him as a reward of what he did and suffered, Philippians 2:8–9, "He humbled himself, [and became obedient unto death, even the death of the cross]. Wherefore God also hath highly [exalted him]."</w:t>
      </w:r>
      <w:r>
        <w:rPr>
          <w:rStyle w:val="FootnoteReference"/>
        </w:rPr>
        <w:footnoteReference w:id="1462"/>
      </w:r>
    </w:p>
    <w:p>
      <w:pPr>
        <w:pStyle w:val="BodyText"/>
      </w:pPr>
      <w:r>
        <w:t xml:space="preserve">And it may be looked upon as part of the success of Christ's purchase if it be considered that Christ did not rise as a private person but as the head of all the elect church; so that they did, as it were, all rise in him. Christ was justified in his resurrection, i.e. God acquitted and discharged him hereby as having done and suffered</w:t>
      </w:r>
    </w:p>
    <w:p>
      <w:pPr>
        <w:pStyle w:val="SourcePage"/>
      </w:pPr>
      <w:r>
        <w:t xml:space="preserve">[p. 359]</w:t>
      </w:r>
    </w:p>
    <w:p>
      <w:pPr>
        <w:pStyle w:val="BodyText"/>
      </w:pPr>
      <w:r>
        <w:t xml:space="preserve">enough for the sins of all the elect, Romans 4:25. And he put him in possession of eternal life as the head of the church, as a sure earnest that they should all follow.</w:t>
      </w:r>
      <w:r>
        <w:rPr>
          <w:rStyle w:val="FootnoteReference"/>
        </w:rPr>
        <w:footnoteReference w:id="1463"/>
      </w:r>
      <w:r>
        <w:t xml:space="preserve"> For when Christ rose from the dead, that was the beginning of eternal life in him.</w:t>
      </w:r>
      <w:r>
        <w:rPr>
          <w:rStyle w:val="FootnoteReference"/>
        </w:rPr>
        <w:footnoteReference w:id="1464"/>
      </w:r>
      <w:r>
        <w:t xml:space="preserve"> His life before his death mortal life, a temporal</w:t>
      </w:r>
      <w:r>
        <w:rPr>
          <w:rStyle w:val="FootnoteReference"/>
        </w:rPr>
        <w:footnoteReference w:id="1465"/>
      </w:r>
      <w:r>
        <w:t xml:space="preserve"> life, but his life after his resurrection was an eternal and immortal life, Romans 6:9, "Knowing that Christ being raised from the dead dieth no more; death [hath no more, dominion over him]," Revelation 1:18, "I am he that liveth, [and was dead; and, behold I am alive for evermore, Amen]." But he was put in possession of this eternal life as the head of the body, and took possession of it not only to enjoy himself but to bestow [it] on all that believe in him; so that the whole church, as it were, rises in him. And now he that lately suffered so much, after this is to suffer no more forever, but to [have] eternal glory. God the Father neither expects nor desires any more suffering.</w:t>
      </w:r>
    </w:p>
    <w:p>
      <w:pPr>
        <w:pStyle w:val="BodyText"/>
      </w:pPr>
      <w:r>
        <w:t xml:space="preserve">This resurrection of Christ is the most joyful event that ever came to pass, because hereby Christ rested from the great and difficult work of purchasing [redemption] and received God's testimony that it was finished. The death of Christ was the greatest and most wonderful event that ever came to pass, but that has a great deal that is sorrowful. But by the resurrection of Christ that sorrow is turned into joy.</w:t>
      </w:r>
      <w:r>
        <w:rPr>
          <w:rStyle w:val="FootnoteReference"/>
        </w:rPr>
        <w:footnoteReference w:id="1466"/>
      </w:r>
      <w:r>
        <w:t xml:space="preserve"> The head of the whole</w:t>
      </w:r>
      <w:r>
        <w:rPr>
          <w:rStyle w:val="FootnoteReference"/>
        </w:rPr>
        <w:footnoteReference w:id="1467"/>
      </w:r>
      <w:r>
        <w:t xml:space="preserve"> church in that event enters on the possession of eternal life, and the whole church is, as it were, "begotten again to a lively hope," 1 Peter 1:3.</w:t>
      </w:r>
      <w:r>
        <w:rPr>
          <w:rStyle w:val="FootnoteReference"/>
        </w:rPr>
        <w:footnoteReference w:id="1468"/>
      </w:r>
      <w:r>
        <w:t xml:space="preserve"> Weeping had continued for a night, but now joy comes in the morning,</w:t>
      </w:r>
      <w:r>
        <w:rPr>
          <w:rStyle w:val="FootnoteReference"/>
        </w:rPr>
        <w:footnoteReference w:id="1469"/>
      </w:r>
      <w:r>
        <w:t xml:space="preserve"> the most joyful morning that ever [was]. This is the day of the reigning of the head of the church, and all the church reigns with him. This is spoken of as a day that was worthy to be commemorated with the greatest joy of all days, Psalms 118:24, "This is the day that God [hath made; we will rejoice and be glad in it]."</w:t>
      </w:r>
      <w:r>
        <w:rPr>
          <w:rStyle w:val="FootnoteReference"/>
        </w:rPr>
        <w:footnoteReference w:id="1470"/>
      </w:r>
      <w:r>
        <w:t xml:space="preserve"> And therefore, this above all other days is appointed for the day of the church's spiritual rejoicing to the end of</w:t>
      </w:r>
    </w:p>
    <w:p>
      <w:pPr>
        <w:pStyle w:val="SourcePage"/>
      </w:pPr>
      <w:r>
        <w:t xml:space="preserve">[p. 360]</w:t>
      </w:r>
    </w:p>
    <w:p>
      <w:pPr>
        <w:pStyle w:val="BodyText"/>
      </w:pPr>
      <w:r>
        <w:t xml:space="preserve">the world, to be weekly sanctified as their day of holy rest and joy, that the church therein may rest and rejoice with her head.</w:t>
      </w:r>
    </w:p>
    <w:p>
      <w:pPr>
        <w:pStyle w:val="BodyText"/>
      </w:pPr>
      <w:r>
        <w:t xml:space="preserve">And as the Genesis 3 is the most sorrowful chapter, so those chapters in the Evangelists that give an account of the resurrection of Christ may be looked upon as the most joyful chapters in all the Bible.</w:t>
      </w:r>
      <w:r>
        <w:rPr>
          <w:rStyle w:val="FootnoteReference"/>
        </w:rPr>
        <w:footnoteReference w:id="1471"/>
      </w:r>
      <w:r>
        <w:t xml:space="preserve"> For those chapters give an account of the finishing of the purchasing of redemption, and the beginning of the glory of the head of the church as the greatest seal and earnest of the eternal glory of all the rest. And it is further to be observed that the gospel day most properly begins with the resurrection of Christ. Till Christ rose from the dead the Old Testament dispensation remained; but now it ceases, all being fulfilled that was shadowed forth in the typical ordinances of that dispensation. So that here most properly is the end of the Old Testament night; and Christ rising from the grave with joy and glory as the joyful bridegroom of the church,</w:t>
      </w:r>
      <w:r>
        <w:rPr>
          <w:rStyle w:val="FootnoteReference"/>
        </w:rPr>
        <w:footnoteReference w:id="1472"/>
      </w:r>
      <w:r>
        <w:t xml:space="preserve"> as a glorious conqueror to subdue their enemies under their feet: or was like the sun rising, as it were, from being under the earth after a long night of darkness, and coming forth as a bridegroom prepared as a strong man to run his race,</w:t>
      </w:r>
      <w:r>
        <w:rPr>
          <w:rStyle w:val="FootnoteReference"/>
        </w:rPr>
        <w:footnoteReference w:id="1473"/>
      </w:r>
      <w:r>
        <w:t xml:space="preserve"> appearing in joyful light to</w:t>
      </w:r>
      <w:r>
        <w:rPr>
          <w:rStyle w:val="FootnoteReference"/>
        </w:rPr>
        <w:footnoteReference w:id="1474"/>
      </w:r>
      <w:r>
        <w:t xml:space="preserve"> enlighten the world. Now that joyful and excellent dispensation begins, that glorious dispensation that the prophets prophesied so much of; now the gospel sun is risen in glory, "and with healing in his wings," that those that fear God's name may "go forth and grow up [as calves of the stall]."</w:t>
      </w:r>
      <w:r>
        <w:rPr>
          <w:rStyle w:val="FootnoteReference"/>
        </w:rPr>
        <w:footnoteReference w:id="1475"/>
      </w:r>
    </w:p>
    <w:p>
      <w:pPr>
        <w:pStyle w:val="BodyText"/>
      </w:pPr>
      <w:r>
        <w:t xml:space="preserve">2.</w:t>
      </w:r>
      <w:r>
        <w:rPr>
          <w:rStyle w:val="FootnoteReference"/>
        </w:rPr>
        <w:footnoteReference w:id="1476"/>
      </w:r>
      <w:r>
        <w:t xml:space="preserve"> Christ's ascension into heaven. In this I would include his sitting at the right hand of God. For Christ's ascension and sitting at God's right hand can scarcely be looked upon as two distinct things; for Christ's ascension was nothing else but his ascending to God's right, it was his coming to sit down at his Father's right hand in glory.</w:t>
      </w:r>
      <w:r>
        <w:rPr>
          <w:rStyle w:val="FootnoteReference"/>
        </w:rPr>
        <w:footnoteReference w:id="1477"/>
      </w:r>
      <w:r>
        <w:t xml:space="preserve"> This was another thing whereby Christ was put into a capacity for the accomplishing the effect of his purchase, as one that comes to be a deliverer of a people, as their king in order to it, and that he may be</w:t>
      </w:r>
    </w:p>
    <w:p>
      <w:pPr>
        <w:pStyle w:val="SourcePage"/>
      </w:pPr>
      <w:r>
        <w:t xml:space="preserve">[p. 361]</w:t>
      </w:r>
    </w:p>
    <w:p>
      <w:pPr>
        <w:pStyle w:val="BodyText"/>
      </w:pPr>
      <w:r>
        <w:t xml:space="preserve">under the best</w:t>
      </w:r>
      <w:r>
        <w:rPr>
          <w:rStyle w:val="FootnoteReference"/>
        </w:rPr>
        <w:footnoteReference w:id="1478"/>
      </w:r>
      <w:r>
        <w:t xml:space="preserve"> capacity for it, is first installed in his throne. We are told that Christ was exalted to this end, that he might accomplish the success of his redemption, Acts 5:31, "Whom he hath exalted with his own right hand to give repentance unto Israel and remission [of sins]."</w:t>
      </w:r>
      <w:r>
        <w:rPr>
          <w:rStyle w:val="FootnoteReference"/>
        </w:rPr>
        <w:footnoteReference w:id="1479"/>
      </w:r>
    </w:p>
    <w:p>
      <w:pPr>
        <w:pStyle w:val="BodyText"/>
      </w:pPr>
      <w:r>
        <w:t xml:space="preserve">Christ's ascension into heaven was, as it were, his solemn enthronization whereby the Father did set him on the throne, and invest him with the glory of his kingdom that he had purchased for himself, and that he might thereby obtain the success of his redemption in conquering all his enemies, Psalms 110, at beginning, "Sit thou on my right hand, till I make thine enemies thy footstool."</w:t>
      </w:r>
      <w:r>
        <w:rPr>
          <w:rStyle w:val="FootnoteReference"/>
        </w:rPr>
        <w:footnoteReference w:id="1480"/>
      </w:r>
      <w:r>
        <w:t xml:space="preserve"> Christ entered into heaven in order to the obtaining the success of his purchase, as the high priest of old after he had offered sacrifice entered into the holy of holies with the blood of the sacrifice in order to obtain the success of the sacrifice that he had offered, Hebrews 9:12.</w:t>
      </w:r>
      <w:r>
        <w:rPr>
          <w:rStyle w:val="FootnoteReference"/>
        </w:rPr>
        <w:footnoteReference w:id="1481"/>
      </w:r>
      <w:r>
        <w:t xml:space="preserve"> He entered into heaven, there to make intercession for his people, and to plead the sacrifice that he had made in order to the success of it, Hebrews 7:25. And as he ascended into heaven, God the Father did in a visible manner set him on the throne as king of the universe. He then put the angels all under him, and he subjected heaven and earth under him, that he might govern them for the good of the people that he had died for, Ephesians 1:20–22 ["…which he wrought in Christ, when he raised him from the dead, and set him at his own right hand.… Far above all principality, and power, and might, and dominion.… And gave him to be the head over all things to the church"].</w:t>
      </w:r>
    </w:p>
    <w:p>
      <w:pPr>
        <w:pStyle w:val="BodyText"/>
      </w:pPr>
      <w:r>
        <w:t xml:space="preserve">And as Christ rose from the dead, so he also ascended into heaven as the head of the body and forerunner of all the church; so they, as it were, ascend with him as well as rise with him. So that we are both "raised up together, and made to sit together, in heavenly places in Christ," Ephesians 2:6.</w:t>
      </w:r>
      <w:r>
        <w:rPr>
          <w:rStyle w:val="FootnoteReference"/>
        </w:rPr>
        <w:footnoteReference w:id="1482"/>
      </w:r>
      <w:r>
        <w:t xml:space="preserve"> The day of Christ's ascension into heaven was doubtless a joyful, glorious day in heaven. It was what [can hardly be imagined]; and as heaven received Christ, God-man, to its kingdom, so doubtless it received a great</w:t>
      </w:r>
      <w:r>
        <w:rPr>
          <w:rStyle w:val="FootnoteReference"/>
        </w:rPr>
        <w:footnoteReference w:id="1483"/>
      </w:r>
      <w:r>
        <w:t xml:space="preserve"> accession of glory and happiness far beyond what it had before. So that the times in both parts of the</w:t>
      </w:r>
    </w:p>
    <w:p>
      <w:pPr>
        <w:pStyle w:val="SourcePage"/>
      </w:pPr>
      <w:r>
        <w:t xml:space="preserve">[p. 362]</w:t>
      </w:r>
    </w:p>
    <w:p>
      <w:pPr>
        <w:pStyle w:val="BodyText"/>
      </w:pPr>
      <w:r>
        <w:t xml:space="preserve">church, both that part which is in heaven and also that which is on earth, is become more glorious since Christ's humiliation than before.</w:t>
      </w:r>
    </w:p>
    <w:p>
      <w:pPr>
        <w:pStyle w:val="BodyText"/>
      </w:pPr>
      <w:r>
        <w:t xml:space="preserve">So much for those things whereby Christ was put into the best capacity for obtaining the success [of redemption]. I now proceed,</w:t>
      </w:r>
    </w:p>
    <w:p>
      <w:pPr>
        <w:pStyle w:val="BodyText"/>
      </w:pPr>
      <w:r>
        <w:t xml:space="preserve">II.</w:t>
      </w:r>
      <w:r>
        <w:rPr>
          <w:rStyle w:val="FootnoteReference"/>
        </w:rPr>
        <w:footnoteReference w:id="1484"/>
      </w:r>
      <w:r>
        <w:t xml:space="preserve"> to show how he accomplished that success. And here I would observe that this success</w:t>
      </w:r>
      <w:r>
        <w:rPr>
          <w:rStyle w:val="FootnoteReference"/>
        </w:rPr>
        <w:footnoteReference w:id="1485"/>
      </w:r>
      <w:r>
        <w:t xml:space="preserve"> consists in two things, viz. either in grace or glory. That success that consists in the former of these is to be seen in those works of God that are wrought during those ages of the church wherein the church is continued under the outward means of grace. That success that consists in the latter, viz. glory, has its chief accomplishment as the</w:t>
      </w:r>
      <w:r>
        <w:rPr>
          <w:rStyle w:val="FootnoteReference"/>
        </w:rPr>
        <w:footnoteReference w:id="1486"/>
      </w:r>
      <w:r>
        <w:t xml:space="preserve"> day of judgment. I would,</w:t>
      </w:r>
    </w:p>
    <w:p>
      <w:pPr>
        <w:pStyle w:val="BodyText"/>
      </w:pPr>
      <w:r>
        <w:t xml:space="preserve">first,</w:t>
      </w:r>
      <w:r>
        <w:rPr>
          <w:rStyle w:val="FootnoteReference"/>
        </w:rPr>
        <w:footnoteReference w:id="1487"/>
      </w:r>
      <w:r>
        <w:t xml:space="preserve"> consider the former kind of success, consisting in God's grace here, which mainly appears in the works of God during the time that the Christian church continues under means of grace, which is from Christ's resurrection to his appearing in the clouds of heaven to judgment, which includes the three former of those great events of providence before mentioned that are called in Scripture, Christ's coming in his kingdom.</w:t>
      </w:r>
      <w:r>
        <w:rPr>
          <w:rStyle w:val="FootnoteReference"/>
        </w:rPr>
        <w:footnoteReference w:id="1488"/>
      </w:r>
      <w:r>
        <w:t xml:space="preserve"> In speaking of this success I would first, 1. mention those things by which the means of this success were established, and 2. consider the success itself.</w:t>
      </w:r>
    </w:p>
    <w:p>
      <w:pPr>
        <w:pStyle w:val="BodyText"/>
      </w:pPr>
      <w:r>
        <w:t xml:space="preserve">1.</w:t>
      </w:r>
      <w:r>
        <w:rPr>
          <w:rStyle w:val="FootnoteReference"/>
        </w:rPr>
        <w:footnoteReference w:id="1489"/>
      </w:r>
      <w:r>
        <w:t xml:space="preserve"> I would consider those dispensations of providence by which the means of this success were established after Christ's resurrection. And here that,</w:t>
      </w:r>
    </w:p>
    <w:p>
      <w:pPr>
        <w:pStyle w:val="BodyText"/>
      </w:pPr>
      <w:r>
        <w:rPr>
          <w:rStyle w:val="FootnoteReference"/>
        </w:rPr>
        <w:footnoteReference w:id="1490"/>
      </w:r>
      <w:r>
        <w:t xml:space="preserve">1.</w:t>
      </w:r>
      <w:r>
        <w:rPr>
          <w:rStyle w:val="FootnoteReference"/>
        </w:rPr>
        <w:footnoteReference w:id="1491"/>
      </w:r>
      <w:r>
        <w:t xml:space="preserve"> The abolishing of the Jewish dispensation. This indeed was gradually done, but it began from the time of Christ's resurrection in which the abolition of it is founded. This was the first thing done towards bringing the former state of the world to an end. This is to be looked upon as a great means of the success of Christ's redemption, for the Jewish dispensation was not</w:t>
      </w:r>
      <w:r>
        <w:rPr>
          <w:rStyle w:val="FootnoteReference"/>
        </w:rPr>
        <w:footnoteReference w:id="1492"/>
      </w:r>
      <w:r>
        <w:t xml:space="preserve"> fitted for more than one nation; it was not fitted for the practice of the world in general or</w:t>
      </w:r>
    </w:p>
    <w:p>
      <w:pPr>
        <w:pStyle w:val="SourcePage"/>
      </w:pPr>
      <w:r>
        <w:t xml:space="preserve">[p. 363]</w:t>
      </w:r>
    </w:p>
    <w:p>
      <w:pPr>
        <w:pStyle w:val="BodyText"/>
      </w:pPr>
      <w:r>
        <w:t xml:space="preserve">for a church of God dwelling in all parts of the world, nor would it have been in any wise practicable by 'em. For when therefore God had a design of enlarging his church, as he did after ‹Christ's resurrection›, it was necessary that this dispensation should be abolished. If it had been continued it would have been a great block and hindrance to [the enlargement of the church].</w:t>
      </w:r>
      <w:r>
        <w:rPr>
          <w:rStyle w:val="FootnoteReference"/>
        </w:rPr>
        <w:footnoteReference w:id="1493"/>
      </w:r>
      <w:r>
        <w:t xml:space="preserve"> And then their ceremonial law by reason of its burdensomeness and great peculiarity of some of its rites was, as it were, a wall of partition—a ground of enmity between the Jews and Gentiles that kept the Gentiles from complying with the true religion. This wall therefore was broken down to make way for the more</w:t>
      </w:r>
      <w:r>
        <w:rPr>
          <w:rStyle w:val="FootnoteReference"/>
        </w:rPr>
        <w:footnoteReference w:id="1494"/>
      </w:r>
      <w:r>
        <w:t xml:space="preserve"> extensive success of the gospel, as Ephesians 2:14–15.</w:t>
      </w:r>
    </w:p>
    <w:p>
      <w:pPr>
        <w:pStyle w:val="BodyText"/>
      </w:pPr>
      <w:r>
        <w:rPr>
          <w:rStyle w:val="FootnoteReference"/>
        </w:rPr>
        <w:footnoteReference w:id="1495"/>
      </w:r>
      <w:r>
        <w:t xml:space="preserve">2.</w:t>
      </w:r>
      <w:r>
        <w:rPr>
          <w:rStyle w:val="FootnoteReference"/>
        </w:rPr>
        <w:footnoteReference w:id="1496"/>
      </w:r>
      <w:r>
        <w:t xml:space="preserve"> [The second] thing in order [of] time seems to be the appointment of the Christian sabbath, for even though this was gradually established in the Christian church, yet</w:t>
      </w:r>
      <w:r>
        <w:rPr>
          <w:rStyle w:val="FootnoteReference"/>
        </w:rPr>
        <w:footnoteReference w:id="1497"/>
      </w:r>
      <w:r>
        <w:t xml:space="preserve"> those things by which the revelation of God's mind and will was made began on the day of Christ's resurrection, by his appearing then to his disciples,</w:t>
      </w:r>
      <w:r>
        <w:rPr>
          <w:rStyle w:val="FootnoteReference"/>
        </w:rPr>
        <w:footnoteReference w:id="1498"/>
      </w:r>
      <w:r>
        <w:t xml:space="preserve"> and was afterwards confirmed by his appearing from time to time on that day rather than any other day,</w:t>
      </w:r>
      <w:r>
        <w:rPr>
          <w:rStyle w:val="FootnoteReference"/>
        </w:rPr>
        <w:footnoteReference w:id="1499"/>
      </w:r>
      <w:r>
        <w:t xml:space="preserve"> and his sending down the Holy Spirit so remarkably on that day,</w:t>
      </w:r>
      <w:r>
        <w:rPr>
          <w:rStyle w:val="FootnoteReference"/>
        </w:rPr>
        <w:footnoteReference w:id="1500"/>
      </w:r>
      <w:r>
        <w:t xml:space="preserve"> and afterwards in directing that the public assemblies and public worship of Christians should be on that day.</w:t>
      </w:r>
      <w:r>
        <w:rPr>
          <w:rStyle w:val="FootnoteReference"/>
        </w:rPr>
        <w:footnoteReference w:id="1501"/>
      </w:r>
      <w:r>
        <w:t xml:space="preserve"> And so the day of the week on which Christ rose from the dead, that joyful day, is appointed to be the day of the church's holy rejoicing to the end of the world, and the day of their stated public worship. And this is a very great and principal means of the success that the gospel has had in the world.</w:t>
      </w:r>
    </w:p>
    <w:p>
      <w:pPr>
        <w:pStyle w:val="BodyText"/>
      </w:pPr>
      <w:r>
        <w:t xml:space="preserve">3.</w:t>
      </w:r>
      <w:r>
        <w:rPr>
          <w:rStyle w:val="FootnoteReference"/>
        </w:rPr>
        <w:footnoteReference w:id="1502"/>
      </w:r>
      <w:r>
        <w:t xml:space="preserve"> The next thing was Christ's appointment of the gospel ministry, and commissioning and sending forth his apostles to teach and baptize all nations. These things were all done under one, as we have an account</w:t>
      </w:r>
      <w:r>
        <w:rPr>
          <w:rStyle w:val="FootnoteReference"/>
        </w:rPr>
        <w:footnoteReference w:id="1503"/>
      </w:r>
      <w:r>
        <w:t xml:space="preserve"> of in Matthew 28, two last verses ["Go ye therefore, and teach</w:t>
      </w:r>
    </w:p>
    <w:p>
      <w:pPr>
        <w:pStyle w:val="SourcePage"/>
      </w:pPr>
      <w:r>
        <w:t xml:space="preserve">[p. 364]</w:t>
      </w:r>
    </w:p>
    <w:p>
      <w:pPr>
        <w:pStyle w:val="BodyText"/>
      </w:pPr>
      <w:r>
        <w:t xml:space="preserve">all nations, baptizing them in the name of the Father, and of the Son, and of the Holy Ghost: Teaching them to observe all things whatsoever I have commanded you: and, lo, I am with you always, even unto the end of the world"].</w:t>
      </w:r>
    </w:p>
    <w:p>
      <w:pPr>
        <w:pStyle w:val="BodyText"/>
      </w:pPr>
      <w:r>
        <w:t xml:space="preserve">There were three things done by this one instruction and commission of Christ to his apostles, viz.</w:t>
      </w:r>
    </w:p>
    <w:p>
      <w:pPr>
        <w:pStyle w:val="BodyText"/>
      </w:pPr>
      <w:r>
        <w:t xml:space="preserve">1.</w:t>
      </w:r>
      <w:r>
        <w:rPr>
          <w:rStyle w:val="FootnoteReference"/>
        </w:rPr>
        <w:footnoteReference w:id="1504"/>
      </w:r>
      <w:r>
        <w:t xml:space="preserve"> The appointment of the office of the gospel ministry. For this commission that Christ gives to his apostles in the most essential parts of it belongs to all ministers, and the apostles by virtue of it were ministers or elders of the church. And they were so by virtue of this commission.</w:t>
      </w:r>
    </w:p>
    <w:p>
      <w:pPr>
        <w:pStyle w:val="BodyText"/>
      </w:pPr>
      <w:r>
        <w:t xml:space="preserve">2.</w:t>
      </w:r>
      <w:r>
        <w:rPr>
          <w:rStyle w:val="FootnoteReference"/>
        </w:rPr>
        <w:footnoteReference w:id="1505"/>
      </w:r>
      <w:r>
        <w:t xml:space="preserve"> Here is something peculiar in this commission to the apostles, viz. to go forth from one nation to another preaching the gospel in all the world. The apostles had something above what belonged to their ordinary character as ministers: they had extraordinary power of teaching and ruling that extended to all the churches, and not only all churches that then were but all that should be to the end of the world, by their ministry. And so the apostles were, as it were, in subordination to Christ, made foundations</w:t>
      </w:r>
      <w:r>
        <w:rPr>
          <w:rStyle w:val="FootnoteReference"/>
        </w:rPr>
        <w:footnoteReference w:id="1506"/>
      </w:r>
      <w:r>
        <w:t xml:space="preserve"> of the Christian church: Ephesians 2:20 ["… built upon the foundation of the apostles and prophets, Jesus Christ himself being the chief corner stone"]; Revelation 21:14 ["And the wall of the city had twelve foundations, and in them the names of the twelve apostles of the Lamb"].</w:t>
      </w:r>
    </w:p>
    <w:p>
      <w:pPr>
        <w:pStyle w:val="BodyText"/>
      </w:pPr>
      <w:r>
        <w:t xml:space="preserve">3.</w:t>
      </w:r>
      <w:r>
        <w:rPr>
          <w:rStyle w:val="FootnoteReference"/>
        </w:rPr>
        <w:footnoteReference w:id="1507"/>
      </w:r>
      <w:r>
        <w:t xml:space="preserve"> Here is an appointment of Christian baptism. This ordinance indeed had a beginning before; John the Baptist and Christ ‹both baptized›. But now, especially by this institution, is it established as an ordinance to be upheld in the Christian church to the end of the world. The ordinance of the Lord's supper had been established before.</w:t>
      </w:r>
    </w:p>
    <w:p>
      <w:pPr>
        <w:pStyle w:val="BodyText"/>
      </w:pPr>
      <w:r>
        <w:rPr>
          <w:rStyle w:val="FootnoteReference"/>
        </w:rPr>
        <w:footnoteReference w:id="1508"/>
      </w:r>
      <w:r>
        <w:t xml:space="preserve">4.</w:t>
      </w:r>
      <w:r>
        <w:rPr>
          <w:rStyle w:val="FootnoteReference"/>
        </w:rPr>
        <w:footnoteReference w:id="1509"/>
      </w:r>
      <w:r>
        <w:t xml:space="preserve"> The next thing to be observed is the enduing the apostles and others with extraordinary and miraculous gifts of the Holy Ghost, such as the gift of tongues, [of healing, of prophecy, etc.].</w:t>
      </w:r>
      <w:r>
        <w:rPr>
          <w:rStyle w:val="FootnoteReference"/>
        </w:rPr>
        <w:footnoteReference w:id="1510"/>
      </w:r>
      <w:r>
        <w:t xml:space="preserve"> The Spirit</w:t>
      </w:r>
    </w:p>
    <w:p>
      <w:pPr>
        <w:pStyle w:val="SourcePage"/>
      </w:pPr>
      <w:r>
        <w:t xml:space="preserve">[p. 365]</w:t>
      </w:r>
    </w:p>
    <w:p>
      <w:pPr>
        <w:pStyle w:val="BodyText"/>
      </w:pPr>
      <w:r>
        <w:t xml:space="preserve">of God was poured out in great abundance in this respect. So that not only ministers, but a very great part of the Christians through the world, were endued with them, both old and young, not only officers and more honorable persons but the meaner sort of people, as servants and handmaids, were commonly endued with them, agreeable to Joel's prophecy, Joel 2:28–29 ["… I will pour out my spirit on all flesh; and your sons and your daughters shall prophesy,…also upon the servants and upon the handmaids"]. Which prophecy the apostle Peter takes notice is accomplished in this dispensation, Acts 2:17 ["And it shall come to pass in the last days … I will pour out of my Spirit upon all flesh"].</w:t>
      </w:r>
    </w:p>
    <w:p>
      <w:pPr>
        <w:pStyle w:val="BodyText"/>
      </w:pPr>
      <w:r>
        <w:t xml:space="preserve">How wonderful a dispensation was [this].</w:t>
      </w:r>
      <w:r>
        <w:rPr>
          <w:rStyle w:val="FootnoteReference"/>
        </w:rPr>
        <w:footnoteReference w:id="1511"/>
      </w:r>
      <w:r>
        <w:t xml:space="preserve"> Under the Old Testament but few had such great honor put upon 'em by God. Moses wished [that all the Lord's people were prophets], Numbers 11:29.</w:t>
      </w:r>
      <w:r>
        <w:rPr>
          <w:rStyle w:val="FootnoteReference"/>
        </w:rPr>
        <w:footnoteReference w:id="1512"/>
      </w:r>
      <w:r>
        <w:t xml:space="preserve"> But Joshua thought it much that Eldad</w:t>
      </w:r>
      <w:r>
        <w:rPr>
          <w:rStyle w:val="FootnoteReference"/>
        </w:rPr>
        <w:footnoteReference w:id="1513"/>
      </w:r>
      <w:r>
        <w:t xml:space="preserve"> and Medad [prophesied].</w:t>
      </w:r>
      <w:r>
        <w:rPr>
          <w:rStyle w:val="FootnoteReference"/>
        </w:rPr>
        <w:footnoteReference w:id="1514"/>
      </w:r>
      <w:r>
        <w:t xml:space="preserve"> But now ‹we find the wish of Moses fulfilled›. And this continued in a very considerable degree to the end of the apostolic age, or the first hundred years after the birth of Christ, which is therefore called the age of miracles.</w:t>
      </w:r>
    </w:p>
    <w:p>
      <w:pPr>
        <w:pStyle w:val="BodyText"/>
      </w:pPr>
      <w:r>
        <w:t xml:space="preserve">This was a great means of the success of the gospel in that age of establishing the Christian church in all parts of the world, and not only in that age but in all ages to the end of the world. For Christianity being by this means established through so great a part of the known world by miracles, it was after that more easily continued by tradition. And then by means of these extraordinary gifts of the Holy Ghost, the apostles and others were enabled to write the New Testament to be an infallible rule of faith and works and manners to the church to the end of the world. And furthermore these miracles stand recorded in</w:t>
      </w:r>
      <w:r>
        <w:rPr>
          <w:rStyle w:val="FootnoteReference"/>
        </w:rPr>
        <w:footnoteReference w:id="1515"/>
      </w:r>
      <w:r>
        <w:t xml:space="preserve"> those writings as a standing proof and evidence of the truth of the Christian religion to all ages.</w:t>
      </w:r>
    </w:p>
    <w:p>
      <w:pPr>
        <w:pStyle w:val="BodyText"/>
      </w:pPr>
      <w:r>
        <w:t xml:space="preserve">5.</w:t>
      </w:r>
      <w:r>
        <w:rPr>
          <w:rStyle w:val="FootnoteReference"/>
        </w:rPr>
        <w:footnoteReference w:id="1516"/>
      </w:r>
      <w:r>
        <w:t xml:space="preserve"> The next thing I would observe is the revealing those glorious doctrines of the gospel fully and plainly, which had under the Old Testament been obscurely revealed. The doctrine of Christ's satisfaction</w:t>
      </w:r>
    </w:p>
    <w:p>
      <w:pPr>
        <w:pStyle w:val="SourcePage"/>
      </w:pPr>
      <w:r>
        <w:t xml:space="preserve">[p. 366]</w:t>
      </w:r>
    </w:p>
    <w:p>
      <w:pPr>
        <w:pStyle w:val="BodyText"/>
      </w:pPr>
      <w:r>
        <w:t xml:space="preserve">and righteousness, his ascension and glory, and the way of salvation was under the Old Testament in a great measure hid under the veil of types and shadows and more obscure revelations, as Moses put a veil over his face to hide the shining of it.</w:t>
      </w:r>
      <w:r>
        <w:rPr>
          <w:rStyle w:val="FootnoteReference"/>
        </w:rPr>
        <w:footnoteReference w:id="1517"/>
      </w:r>
      <w:r>
        <w:t xml:space="preserve"> But now the veil of the temple is rent from the top to the bottom</w:t>
      </w:r>
      <w:r>
        <w:rPr>
          <w:rStyle w:val="FootnoteReference"/>
        </w:rPr>
        <w:footnoteReference w:id="1518"/>
      </w:r>
      <w:r>
        <w:t xml:space="preserve"> and Christ, the antitype of Moses, shows the shining of his face without a veil, 2 Corinthians 3:12–13 ["… we use great plainness of speech: and not as Moses, which put a vail over his face"], 2 Corinthians 3:18 ["But we all, with open face beholding as in a glass the glory of the Lord"]. Now these glorious mysteries are plainly revealed which were in a great measure kept secret from the foundation of the world, Ephesians 3:3–5</w:t>
      </w:r>
      <w:r>
        <w:rPr>
          <w:rStyle w:val="FootnoteReference"/>
        </w:rPr>
        <w:footnoteReference w:id="1519"/>
      </w:r>
      <w:r>
        <w:t xml:space="preserve"> ["… He made known unto me the mystery … whereby … ye may understand my knowledge in the mystery of Christ which in other ages was not made known unto the sons of men"], Romans 16:25, "According to the revelation of the mystery, which was kept secret since [the world began, but now is made manifest],"</w:t>
      </w:r>
      <w:r>
        <w:rPr>
          <w:rStyle w:val="FootnoteReference"/>
        </w:rPr>
        <w:footnoteReference w:id="1520"/>
      </w:r>
      <w:r>
        <w:t xml:space="preserve"> and Colossians 1:26, "Even the mystery which hath been hid from ages and generations, but now is made manifest to his saints."</w:t>
      </w:r>
      <w:r>
        <w:rPr>
          <w:rStyle w:val="FootnoteReference"/>
        </w:rPr>
        <w:footnoteReference w:id="1521"/>
      </w:r>
    </w:p>
    <w:p>
      <w:pPr>
        <w:pStyle w:val="BodyText"/>
      </w:pPr>
      <w:r>
        <w:t xml:space="preserve">Thus the sun of righteousness after it is risen from under the earth begins to shine forth clearly, and not only by a dim reflection as it was before. Christ before his death revealed many things more clearly than ever they had been revealed in the Old Testament, but the great mysteries of Christ's redemption and reconciliation by his death, and justification by his righteousness, were not so plainly revealed before</w:t>
      </w:r>
      <w:r>
        <w:rPr>
          <w:rStyle w:val="FootnoteReference"/>
        </w:rPr>
        <w:footnoteReference w:id="1522"/>
      </w:r>
      <w:r>
        <w:t xml:space="preserve"> Christ's resurrection. Christ gave that reason for it, that he would not put new wine [into old bottles],</w:t>
      </w:r>
      <w:r>
        <w:rPr>
          <w:rStyle w:val="FootnoteReference"/>
        </w:rPr>
        <w:footnoteReference w:id="1523"/>
      </w:r>
      <w:r>
        <w:t xml:space="preserve"> and it was gradually done after Christ's resurrection. In all likelihood, Christ much more clearly instructed 'em personally after his resurrection and before his ascension, as we read that he continued with them, Luke 24:45 ["Then opened he their understanding, that they might understand the scriptures"],</w:t>
      </w:r>
    </w:p>
    <w:p>
      <w:pPr>
        <w:pStyle w:val="SourcePage"/>
      </w:pPr>
      <w:r>
        <w:t xml:space="preserve">[p. 367]</w:t>
      </w:r>
    </w:p>
    <w:p>
      <w:pPr>
        <w:pStyle w:val="BodyText"/>
      </w:pPr>
      <w:r>
        <w:t xml:space="preserve">Acts 1:3 ["… He shewed himself alive after his passion … being seen of them forty days, and speaking of the things pertaining to the kingdom of God"]. But the clear revelation ‹of these things› was principally after the pouring out of the Spirit the day of Pentecost, agreeable to Christ's promise, John 16:12–13 ["I have yet many things to say unto you, but ye cannot bear them now. Howbeit when he, the Spirit of truth, is come, he will guide you into all truth"]. This clear revelation of the mysteries of the gospel as they are delivered we have chiefly through the hands of the apostle Paul, by whose writings a child may come to know more of the doctrines of the gospel in many respects</w:t>
      </w:r>
      <w:r>
        <w:rPr>
          <w:rStyle w:val="FootnoteReference"/>
        </w:rPr>
        <w:footnoteReference w:id="1524"/>
      </w:r>
      <w:r>
        <w:t xml:space="preserve"> than the greatest prophets knew under the darkness of the Old Testament.</w:t>
      </w:r>
    </w:p>
    <w:p>
      <w:pPr>
        <w:pStyle w:val="BodyText"/>
      </w:pPr>
      <w:r>
        <w:t xml:space="preserve">Thus we see how the light of the gospel which began to dawn immediately after the fall, and gradually grew and increased through nil the ages of the Old Testament, as we observed as we went along, is now come to the light of perfect day, and the brightness of the sun shining forth in his unveiled glory.</w:t>
      </w:r>
    </w:p>
    <w:p>
      <w:pPr>
        <w:pStyle w:val="BodyText"/>
      </w:pPr>
      <w:r>
        <w:t xml:space="preserve">6.</w:t>
      </w:r>
      <w:r>
        <w:rPr>
          <w:rStyle w:val="FootnoteReference"/>
        </w:rPr>
        <w:footnoteReference w:id="1525"/>
      </w:r>
      <w:r>
        <w:t xml:space="preserve"> The next thing that I would observe is the appointment of the office of deacons in the Christian church, which we have an account of in the Acts 6, to take care for the outward supply of the members of Christ's church, and the exercise of that great Christian virtue of charity, with the greater advantage of which I have lately had occasion to speak to you particularly of.</w:t>
      </w:r>
      <w:r>
        <w:rPr>
          <w:rStyle w:val="FootnoteReference"/>
        </w:rPr>
        <w:footnoteReference w:id="1526"/>
      </w:r>
    </w:p>
    <w:p>
      <w:pPr>
        <w:pStyle w:val="BodyText"/>
      </w:pPr>
      <w:r>
        <w:t xml:space="preserve">7.</w:t>
      </w:r>
      <w:r>
        <w:rPr>
          <w:rStyle w:val="FootnoteReference"/>
        </w:rPr>
        <w:footnoteReference w:id="1527"/>
      </w:r>
      <w:r>
        <w:t xml:space="preserve"> The calling and qualifying and sending the apostle Paul. This was begun in his conversion, as he was going to Damascus,</w:t>
      </w:r>
      <w:r>
        <w:rPr>
          <w:rStyle w:val="FootnoteReference"/>
        </w:rPr>
        <w:footnoteReference w:id="1528"/>
      </w:r>
      <w:r>
        <w:t xml:space="preserve"> and was one of the greatest means of the success of Christ's redemption that followed.</w:t>
      </w:r>
      <w:r>
        <w:rPr>
          <w:rStyle w:val="FootnoteReference"/>
        </w:rPr>
        <w:footnoteReference w:id="1529"/>
      </w:r>
      <w:r>
        <w:t xml:space="preserve"> For this success was more by the labors, preachings, and writings of this apostle than all the other apostles put together, for as he says, 1 Corinthians 15:10, he "labored more abundantly than they all"; so his success was more abundant than of them all. As he was the apostle of the Gentiles, so it was mainly by his ministry that the Gentiles were called and the gospel spread through the world.</w:t>
      </w:r>
      <w:r>
        <w:rPr>
          <w:rStyle w:val="FootnoteReference"/>
        </w:rPr>
        <w:footnoteReference w:id="1530"/>
      </w:r>
      <w:r>
        <w:t xml:space="preserve"> And our</w:t>
      </w:r>
    </w:p>
    <w:p>
      <w:pPr>
        <w:pStyle w:val="SourcePage"/>
      </w:pPr>
      <w:r>
        <w:t xml:space="preserve">[p. 368]</w:t>
      </w:r>
    </w:p>
    <w:p>
      <w:pPr>
        <w:pStyle w:val="BodyText"/>
      </w:pPr>
      <w:r>
        <w:t xml:space="preserve">nation and the other nations of Europe have the gospel among them chiefly through his means; and he is more improved</w:t>
      </w:r>
      <w:r>
        <w:rPr>
          <w:rStyle w:val="FootnoteReference"/>
        </w:rPr>
        <w:footnoteReference w:id="1531"/>
      </w:r>
      <w:r>
        <w:t xml:space="preserve"> in revealing glorious doctrines of the gospel by his writings for the use of the church in all ages than all the other apostles put together.</w:t>
      </w:r>
    </w:p>
    <w:p>
      <w:pPr>
        <w:pStyle w:val="BodyText"/>
      </w:pPr>
      <w:r>
        <w:t xml:space="preserve">8.</w:t>
      </w:r>
      <w:r>
        <w:rPr>
          <w:rStyle w:val="FootnoteReference"/>
        </w:rPr>
        <w:footnoteReference w:id="1532"/>
      </w:r>
      <w:r>
        <w:t xml:space="preserve"> The next thing I would observe is the institution of ecclesiastical councils for the heresy controversies and ordering the</w:t>
      </w:r>
      <w:r>
        <w:rPr>
          <w:rStyle w:val="FootnoteReference"/>
        </w:rPr>
        <w:footnoteReference w:id="1533"/>
      </w:r>
      <w:r>
        <w:t xml:space="preserve"> affairs of the church of Christ, of which we have an account in the Acts 15.</w:t>
      </w:r>
      <w:r>
        <w:rPr>
          <w:rStyle w:val="FootnoteReference"/>
        </w:rPr>
        <w:footnoteReference w:id="1534"/>
      </w:r>
    </w:p>
    <w:p>
      <w:pPr>
        <w:pStyle w:val="BodyText"/>
      </w:pPr>
      <w:r>
        <w:t xml:space="preserve">9.</w:t>
      </w:r>
      <w:r>
        <w:rPr>
          <w:rStyle w:val="FootnoteReference"/>
        </w:rPr>
        <w:footnoteReference w:id="1535"/>
      </w:r>
      <w:r>
        <w:t xml:space="preserve"> The last thing I shall mention under this head is the committing the New Testament to writing. This was all written after Christ's resurrection, and all written either by the apostles or by evangelists that were companions of the apostles. All the New Testament was written by apostles themselves, excepting what was written by Mark and Luke, viz. the Gospels of Mark and Luke, and the book of the Acts of the Apostles. He that wrote the Gospel of Mark is supposed to be he whose mother was Mary, in whose house they were praying for Peter when Peter, brought out of prison by the angel, came and knocked at the door, of which we read, Acts 12:12, "And when he had considered the thing, he came to the house of Mary the mother of John, whose surname was Mark; where many were gathered together praying."</w:t>
      </w:r>
      <w:r>
        <w:rPr>
          <w:rStyle w:val="FootnoteReference"/>
        </w:rPr>
        <w:footnoteReference w:id="1536"/>
      </w:r>
      <w:r>
        <w:t xml:space="preserve"> He was companion to the apostles Barnabas and Saul, Acts 15:37, </w:t>
      </w:r>
      <w:r>
        <w:rPr>
          <w:rStyle w:val="FootnoteReference"/>
        </w:rPr>
        <w:footnoteReference w:id="1537"/>
      </w:r>
      <w:r>
        <w:t xml:space="preserve"> "And Barnabas determined to take with them John, whose surname was Mark." He was Barnabas's first cousin, or his sister's son, and seems sometimes to have been a companion of the apostle Paul, Colossians 4:10, "Aristarchus my fellow prisoner saluteth you, and Marcus, sister's son to Barnabas, touching whom ye received commandments: If he come unto you receive him." The apostles seem to have made great account of him, as appears by these places and also by Acts 12:25, "And Barnabas and Saul returned from Jerusalem, […] and took with [them] John, whose surname was Mark," and Acts 13:5, "And when they were at Salamis, they preached the word of God in the synagogues of the Jews: and they had also John to their minister," and 2 Timothy 4:11, "Only Luke is with me. Take</w:t>
      </w:r>
    </w:p>
    <w:p>
      <w:pPr>
        <w:pStyle w:val="SourcePage"/>
      </w:pPr>
      <w:r>
        <w:t xml:space="preserve">[p. 369]</w:t>
      </w:r>
    </w:p>
    <w:p>
      <w:pPr>
        <w:pStyle w:val="BodyText"/>
      </w:pPr>
      <w:r>
        <w:t xml:space="preserve">Mark, and bring him with thee: for he is profitable to me for the ministry."</w:t>
      </w:r>
    </w:p>
    <w:p>
      <w:pPr>
        <w:pStyle w:val="BodyText"/>
      </w:pPr>
      <w:r>
        <w:t xml:space="preserve">This Luke, who wrote the Gospel of Luke and</w:t>
      </w:r>
      <w:r>
        <w:rPr>
          <w:rStyle w:val="FootnoteReference"/>
        </w:rPr>
        <w:footnoteReference w:id="1538"/>
      </w:r>
      <w:r>
        <w:t xml:space="preserve"> the book of the Acts, was a great companion of the apostle Paul's. He is spoken of as being with him in the last-mentioned place, and speaks of himself as accompanying him in his travails,</w:t>
      </w:r>
      <w:r>
        <w:rPr>
          <w:rStyle w:val="FootnoteReference"/>
        </w:rPr>
        <w:footnoteReference w:id="1539"/>
      </w:r>
      <w:r>
        <w:t xml:space="preserve"> so in his history of the Acts; and therefore he speaks in the first person plural when speaking of Paul's journeys, saying, "We went to such and such a place," "We set sail," "We launched from such a place, and landed at such a place."</w:t>
      </w:r>
      <w:r>
        <w:rPr>
          <w:rStyle w:val="FootnoteReference"/>
        </w:rPr>
        <w:footnoteReference w:id="1540"/>
      </w:r>
      <w:r>
        <w:t xml:space="preserve"> He was greatly beloved by the apostle Paul; he is that beloved physician spoken of, Colossians 4:14. The Apostle ranks Mark and Luke among his fellow laborers in Philemon 24, "Marcus, Aristarchus, Demas, Lucas, my fellow labourers."</w:t>
      </w:r>
    </w:p>
    <w:p>
      <w:pPr>
        <w:pStyle w:val="BodyText"/>
      </w:pPr>
      <w:r>
        <w:t xml:space="preserve">The rest of the books were all written by apostles themselves. The books of the New Testament are either historical or doctrinal or prophetical. The historical books are</w:t>
      </w:r>
      <w:r>
        <w:rPr>
          <w:rStyle w:val="FootnoteReference"/>
        </w:rPr>
        <w:footnoteReference w:id="1541"/>
      </w:r>
      <w:r>
        <w:t xml:space="preserve"> the writings of the four Evangelists, giving us the history of Christ, and his purchase of redemption, and resurrection, and ascension; and the Acts of the Apostles, giving an account of the great things by which the Christian church was first established and propagated. The doctrinal books are the epistles. These most of them we have from the great apostle Paul. And we have one prophetical book which takes place after the end of the history of the whole Bible, and gives an account of the great events that were to come to pass, by which the Work of Redemption was to be carried on to the end of the world.</w:t>
      </w:r>
    </w:p>
    <w:p>
      <w:pPr>
        <w:pStyle w:val="BodyText"/>
      </w:pPr>
      <w:r>
        <w:t xml:space="preserve">All these books are supposed to have been written before the destruction of Jerusalem, excepting those that were written by the apostle John, who lived the longest of all the apostles, and wrote what he wrote after the destruction of</w:t>
      </w:r>
      <w:r>
        <w:rPr>
          <w:rStyle w:val="FootnoteReference"/>
        </w:rPr>
        <w:footnoteReference w:id="1542"/>
      </w:r>
      <w:r>
        <w:t xml:space="preserve"> Jerusalem, as is supposed. And to this beloved disciple it was that Christ revealed those wonderful things that were to come to pass in his church to the end of time, and he was the person that put the finishing hand to the canon of the Scriptures, and sealed the whole of it. So that now the canon of the Scriptures, that great and standing written rule, that was begun about</w:t>
      </w:r>
    </w:p>
    <w:p>
      <w:pPr>
        <w:pStyle w:val="SourcePage"/>
      </w:pPr>
      <w:r>
        <w:t xml:space="preserve">[p. 370]</w:t>
      </w:r>
    </w:p>
    <w:p>
      <w:pPr>
        <w:pStyle w:val="BodyText"/>
      </w:pPr>
      <w:r>
        <w:t xml:space="preserve">Moses' time, is completed and settled and a curse denounced against him that adds anything to it or diminishes anything from it.</w:t>
      </w:r>
      <w:r>
        <w:rPr>
          <w:rStyle w:val="FootnoteReference"/>
        </w:rPr>
        <w:footnoteReference w:id="1543"/>
      </w:r>
      <w:r>
        <w:t xml:space="preserve"> And so all things are established and completed that related to the appointed means of grace. All the stated means of grace were finished in the apostolic age, or before the death of the apostle John, and are to remain unaltered to the day of judgment.</w:t>
      </w:r>
    </w:p>
    <w:p>
      <w:pPr>
        <w:pStyle w:val="SourcePage"/>
      </w:pPr>
      <w:r>
        <w:t xml:space="preserve">[p. 371]</w:t>
      </w:r>
    </w:p>
    <w:p>
      <w:pPr>
        <w:pStyle w:val="Heading2"/>
      </w:pPr>
      <w:bookmarkStart w:name="heading_no_8_sermon_twenty" w:id="69"/>
      <w:r>
        <w:t xml:space="preserve">No. 8: SERMON TWENTY</w:t>
      </w:r>
      <w:bookmarkEnd w:id="69"/>
    </w:p>
    <w:p>
      <w:pPr>
        <w:pStyle w:val="BodyText"/>
      </w:pPr>
      <w:r>
        <w:rPr>
          <w:rStyle w:val="FootnoteReference"/>
        </w:rPr>
        <w:footnoteReference w:id="1544"/>
      </w:r>
    </w:p>
    <w:p>
      <w:pPr>
        <w:pStyle w:val="BodyText"/>
      </w:pPr>
      <w:r>
        <w:rPr>
          <w:rStyle w:val="FootnoteReference"/>
        </w:rPr>
        <w:footnoteReference w:id="1545"/>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19" w:id="70"/>
      <w:r>
        <w:t xml:space="preserve">[DOCTRINE]</w:t>
      </w:r>
      <w:bookmarkEnd w:id="70"/>
    </w:p>
    <w:p>
      <w:pPr>
        <w:pStyle w:val="BlockQuote"/>
      </w:pPr>
      <w:r>
        <w:rPr>
          <w:i/>
          <w:iCs/>
        </w:rPr>
        <w:t xml:space="preserve">[The Work of Redemption is a work that God carries on from the fall of man to the end of the world.]</w:t>
      </w:r>
    </w:p>
    <w:p>
      <w:pPr>
        <w:pStyle w:val="BodyText"/>
      </w:pPr>
      <w:r>
        <w:t xml:space="preserve">IN showing from these words how the Work of Redemption was ‹carried on from the fall of man to the end of the world›, after having gone through the two former periods of time into which this whole ‹space› was divided we entered on the last period, even that from the end of Christ's humiliation, and so on the last proposition, viz. that the space of time from ‹Christ's humiliation to the end of the world› was taken up in accomplishing the success and end of Christ's purchase. Under which proposition, after having observed some general things relating to this period, I 1. took notice of those things by which Christ was put into an immediate capacity for accomplishing [these things], viz. his resurrection and ascension, and 2. proposed to show how he obtained or accomplished that success. And here it was observed that this success is obtained either, [1.] in bestowing grace on his elect church, or 2. in bringing the church to glory; and that the success that consists in the former of these is to be seen in those works of God that are wrought during these ages that the church is continued under evil with means</w:t>
      </w:r>
      <w:r>
        <w:rPr>
          <w:rStyle w:val="FootnoteReference"/>
        </w:rPr>
        <w:footnoteReference w:id="1546"/>
      </w:r>
      <w:r>
        <w:t xml:space="preserve"> of grace, and that the latter that consists</w:t>
      </w:r>
    </w:p>
    <w:p>
      <w:pPr>
        <w:pStyle w:val="SourcePage"/>
      </w:pPr>
      <w:r>
        <w:t xml:space="preserve">[p. 372]</w:t>
      </w:r>
    </w:p>
    <w:p>
      <w:pPr>
        <w:pStyle w:val="BodyText"/>
      </w:pPr>
      <w:r>
        <w:t xml:space="preserve">in the glory of the church has its chief accomplishment at the day of judgment. And it was proposed to consider each of these differently. And first to consider that success that consists in grace, accomplished from the time ‹of Christ's ascension› to ‹the fall of Antichrist›. In speaking to this, I first took notice of those things by which the means of grace were given and established in the Christian church. And thus far we have gone. And,</w:t>
      </w:r>
    </w:p>
    <w:p>
      <w:pPr>
        <w:pStyle w:val="BodyText"/>
      </w:pPr>
      <w:r>
        <w:t xml:space="preserve">II.</w:t>
      </w:r>
      <w:r>
        <w:rPr>
          <w:rStyle w:val="FootnoteReference"/>
        </w:rPr>
        <w:footnoteReference w:id="1547"/>
      </w:r>
      <w:r>
        <w:t xml:space="preserve"> The other thing proposed relating to the success of Christ's redemption during the church's continuance under means of grace was to show how this success was carried on, which is what I would now proceed to do. And here it is worthy to be remembered that the Christian church during its continuance under means of grace is in two very different states, viz.</w:t>
      </w:r>
      <w:r>
        <w:rPr>
          <w:rStyle w:val="FootnoteReference"/>
        </w:rPr>
        <w:footnoteReference w:id="1548"/>
      </w:r>
      <w:r>
        <w:t xml:space="preserve"> 1. in a suffering, afflicted, persecuted state, as for the most part it is from the resurrection of Christ till the fall of Antichrist,</w:t>
      </w:r>
      <w:r>
        <w:rPr>
          <w:rStyle w:val="FootnoteReference"/>
        </w:rPr>
        <w:footnoteReference w:id="1549"/>
      </w:r>
      <w:r>
        <w:t xml:space="preserve"> and 2. [in] a state of peace and prosperity, which is the state that the church for the most part is to be in after the fall of Antichrist. Here,</w:t>
      </w:r>
    </w:p>
    <w:p>
      <w:pPr>
        <w:pStyle w:val="BodyText"/>
      </w:pPr>
      <w:r>
        <w:t xml:space="preserve">First,</w:t>
      </w:r>
      <w:r>
        <w:rPr>
          <w:rStyle w:val="FootnoteReference"/>
        </w:rPr>
        <w:footnoteReference w:id="1550"/>
      </w:r>
      <w:r>
        <w:t xml:space="preserve"> I would show how the success of Christ's redemption is carried on during the continuance of the church's suffering state from the resurrection of Christ to the fall of Antichrist. This space of time for the most part is a state of the church's suffering, and is so represented in Scripture. Indeed, God is pleased out of love and pity to his elect to grant many intermissions of the church's suffering during this time whereby these days of tribulation are, as it were, shortened. But from Christ's resurrection till the fall of Antichrist is the appointed day of Zion's troubles. During that space of time for the most part, some part or other of the church is under persecution, and great part of the</w:t>
      </w:r>
      <w:r>
        <w:rPr>
          <w:rStyle w:val="FootnoteReference"/>
        </w:rPr>
        <w:footnoteReference w:id="1551"/>
      </w:r>
      <w:r>
        <w:t xml:space="preserve"> time the whole church, or at least the generality of God's people, have been persecuted.</w:t>
      </w:r>
    </w:p>
    <w:p>
      <w:pPr>
        <w:pStyle w:val="BodyText"/>
      </w:pPr>
      <w:r>
        <w:t xml:space="preserve">For the first three hundred years after Christ the church was, for the most part, in a state of great affliction; the object of reproach and persecution, first by the Jews and then by the heathen. After this,</w:t>
      </w:r>
    </w:p>
    <w:p>
      <w:pPr>
        <w:pStyle w:val="SourcePage"/>
      </w:pPr>
      <w:r>
        <w:t xml:space="preserve">[p. 373]</w:t>
      </w:r>
    </w:p>
    <w:p>
      <w:pPr>
        <w:pStyle w:val="BodyText"/>
      </w:pPr>
      <w:r>
        <w:t xml:space="preserve">from the beginning of Constantine's time, the church had rest and prosperity for a little while, which is represented in Revelation, [chapter] seven,</w:t>
      </w:r>
      <w:r>
        <w:rPr>
          <w:rStyle w:val="FootnoteReference"/>
        </w:rPr>
        <w:footnoteReference w:id="1552"/>
      </w:r>
      <w:r>
        <w:t xml:space="preserve"> at beginning, by angels holding the four winds for a little while. But presently, after the church again suffered persecution from the Arians and after that, Antichrist arose; and the church was driven away into the wilderness, and was kept down in obscurity and contempt and suffering for a long time under Antichrist before the reformation by Luther and others. And since the Reformation the church's persecutions have been beyond all that ever were before. And though some parts of God's church sometimes has had rest, yet to this day for</w:t>
      </w:r>
      <w:r>
        <w:rPr>
          <w:rStyle w:val="FootnoteReference"/>
        </w:rPr>
        <w:footnoteReference w:id="1553"/>
      </w:r>
      <w:r>
        <w:t xml:space="preserve"> the most part, the true church is very much kept under by its enemies, and some parts of it under grievous persecution. And so we may expect it will continue till the fall of Antichrist, and then will come the appointed day of the church's prosperity on earth, the set time in which God will favor Zion, the time when the saints shall not be kept under by wicked men as it has been hitherto, but wherein they shall be uppermost and "shall reign on earth," as 'tis said, Revelation 5:10, "And [the] kingdom … [shall be] given to the people of the saints,"</w:t>
      </w:r>
      <w:r>
        <w:rPr>
          <w:rStyle w:val="FootnoteReference"/>
        </w:rPr>
        <w:footnoteReference w:id="1554"/>
      </w:r>
      <w:r>
        <w:t xml:space="preserve"> Daniel 7:27.</w:t>
      </w:r>
    </w:p>
    <w:p>
      <w:pPr>
        <w:pStyle w:val="BodyText"/>
      </w:pPr>
      <w:r>
        <w:t xml:space="preserve">This suffering state of the church is in Scripture represented as a state of the church's travail, John 16:20–21 ["… ye shall weep and lament.… A woman when she is in travail hath sorrow, because her hour is come"]. And Revelation 12:1–2 ["And there appeared a great wonder in heaven; a woman clothed with the sun.… And she being with child cried, travailing in birth, and pained to be delivered"]. What the church is in travail striving to bring forth during this time, is that glory and prosperity to the church that shall be after the fall of Antichrist, and then shall she bring forth her child.</w:t>
      </w:r>
      <w:r>
        <w:rPr>
          <w:rStyle w:val="FootnoteReference"/>
        </w:rPr>
        <w:footnoteReference w:id="1555"/>
      </w:r>
      <w:r>
        <w:t xml:space="preserve"> This is a long time of the church's trouble and affliction, and is so spoken of in Scripture, though it be spoken as being but a little season in comparison of the eternal prosperity of the church. Hence the church under the long continuance of this affliction cries out, as in Revelation 6:10, "How long, O Lord, holy and true, [dost thou not judge and avenge our blood on them that dwell on the earth]." And we are told that, "white robes [were given unto every one of them; and it was said unto them, that they should rest yet for a little season, until their fellowservants also</w:t>
      </w:r>
    </w:p>
    <w:p>
      <w:pPr>
        <w:pStyle w:val="SourcePage"/>
      </w:pPr>
      <w:r>
        <w:t xml:space="preserve">[p. 374]</w:t>
      </w:r>
    </w:p>
    <w:p>
      <w:pPr>
        <w:pStyle w:val="BodyText"/>
      </w:pPr>
      <w:r>
        <w:t xml:space="preserve">and their brethren, that should be killed as they were, should be fulfilled]."</w:t>
      </w:r>
      <w:r>
        <w:rPr>
          <w:rStyle w:val="FootnoteReference"/>
        </w:rPr>
        <w:footnoteReference w:id="1556"/>
      </w:r>
      <w:r>
        <w:t xml:space="preserve"> So in the Daniel 12:6, "How long shall it be to the end of these wonders?"</w:t>
      </w:r>
    </w:p>
    <w:p>
      <w:pPr>
        <w:pStyle w:val="BodyText"/>
      </w:pPr>
      <w:r>
        <w:t xml:space="preserve">And 'tis to be observed that during this time of the church's suffering, the main instrument of her sufferings has been the Roman government; her afflictions have almost all along been from Rome. That is therefore in the New Testament called Babylon, because as of old the troubles of the city Jerusalem were mainly from that adverse city Babylon; so the troubles of the Christian church, the spiritual Jerusalem,</w:t>
      </w:r>
      <w:r>
        <w:rPr>
          <w:rStyle w:val="FootnoteReference"/>
        </w:rPr>
        <w:footnoteReference w:id="1557"/>
      </w:r>
      <w:r>
        <w:t xml:space="preserve"> during the long time of its tribulation, is mainly from Rome. And all</w:t>
      </w:r>
      <w:r>
        <w:rPr>
          <w:rStyle w:val="FootnoteReference"/>
        </w:rPr>
        <w:footnoteReference w:id="1558"/>
      </w:r>
      <w:r>
        <w:t xml:space="preserve"> before Constantine's time the troubles of the Christian church were from heathen Rome; since then its troubles have been mainly from Antichristian Rome. And as of old the captivity of the Jews ceased on the destruction of Babylon, so the time of the trouble of the Christian church will cease with the destruction of [the] church of Rome, that spiritual Babylon.</w:t>
      </w:r>
      <w:r>
        <w:rPr>
          <w:rStyle w:val="FootnoteReference"/>
        </w:rPr>
        <w:footnoteReference w:id="1559"/>
      </w:r>
    </w:p>
    <w:p>
      <w:pPr>
        <w:pStyle w:val="BodyText"/>
      </w:pPr>
      <w:r>
        <w:t xml:space="preserve">In showing how the success of Christ's redemption is carried on during this time of the church's tribulation I would, 1. show it was carried on till the destruction of Jerusalem, with which ended the first great dispensation of providence—that is called Christ's coming in his kingdom, and 2. how it was carried on from thence to the destruction of the heathen empire in Constantine's time, which is the second great ‹dispensation of providence, and› 3. how it is carried on from thence to the destruction of Antichrist, when there be wrought the third great dispensation—and with which the days of the church's persecution and travail ends.</w:t>
      </w:r>
    </w:p>
    <w:p>
      <w:pPr>
        <w:pStyle w:val="BodyText"/>
      </w:pPr>
      <w:r>
        <w:rPr>
          <w:rStyle w:val="FootnoteReference"/>
        </w:rPr>
        <w:footnoteReference w:id="1560"/>
      </w:r>
      <w:r>
        <w:t xml:space="preserve">I.</w:t>
      </w:r>
      <w:r>
        <w:rPr>
          <w:rStyle w:val="FootnoteReference"/>
        </w:rPr>
        <w:footnoteReference w:id="1561"/>
      </w:r>
      <w:r>
        <w:t xml:space="preserve"> I would show how the success of Christ's purchase of redemption was carried on from Christ's resurrection to the destruction of Jerusalem. In speaking of this I would, 1. take notice of the success itself, and 2. the opposition made against it by the enemies of it, and 3. the terrible judgments of God on those enemies.</w:t>
      </w:r>
    </w:p>
    <w:p>
      <w:pPr>
        <w:pStyle w:val="BodyText"/>
      </w:pPr>
      <w:r>
        <w:t xml:space="preserve">1.</w:t>
      </w:r>
      <w:r>
        <w:rPr>
          <w:rStyle w:val="FootnoteReference"/>
        </w:rPr>
        <w:footnoteReference w:id="1562"/>
      </w:r>
      <w:r>
        <w:t xml:space="preserve"> I would observe the success itself. Soon after Christ had finished the purchase of redemption and was gone into heaven, and</w:t>
      </w:r>
    </w:p>
    <w:p>
      <w:pPr>
        <w:pStyle w:val="SourcePage"/>
      </w:pPr>
      <w:r>
        <w:t xml:space="preserve">[p. 375]</w:t>
      </w:r>
    </w:p>
    <w:p>
      <w:pPr>
        <w:pStyle w:val="BodyText"/>
      </w:pPr>
      <w:r>
        <w:t xml:space="preserve">entered into the holy of holies with his own blood, there began a glorious success and result</w:t>
      </w:r>
      <w:r>
        <w:rPr>
          <w:rStyle w:val="FootnoteReference"/>
        </w:rPr>
        <w:footnoteReference w:id="1563"/>
      </w:r>
      <w:r>
        <w:t xml:space="preserve"> of what he had done and suffered. Having undermined the foundation of Satan's kingdom, his kingdom begins to fall apart. Swiftly did it hasten to ruin in the world, which might well be compared to Satan's "falling like lightning from heaven."</w:t>
      </w:r>
      <w:r>
        <w:rPr>
          <w:rStyle w:val="FootnoteReference"/>
        </w:rPr>
        <w:footnoteReference w:id="1564"/>
      </w:r>
    </w:p>
    <w:p>
      <w:pPr>
        <w:pStyle w:val="BodyText"/>
      </w:pPr>
      <w:r>
        <w:t xml:space="preserve">Satan before this had exalted his throne very high in the world, even to the very stars of heaven, reigning with great glory in his heathen Roman empire. But never had he before such a downfall as he had soon</w:t>
      </w:r>
      <w:r>
        <w:rPr>
          <w:rStyle w:val="FootnoteReference"/>
        </w:rPr>
        <w:footnoteReference w:id="1565"/>
      </w:r>
      <w:r>
        <w:t xml:space="preserve"> after Christ's ascension. He had, we may suppose, been very lately triumphing in a supposed victory, having brought about the death of Christ which he doubtless gloried in as the greatest feat that ever he did, and probably imagined he had totally defeated God's design by him. But he was quickly made sensible that he had only been ruining his own kingdom when he saw it tumbling so fast so soon after as a consequence of the death of Christ. For Christ by his death having purchased the Holy Spirit, and having ascended and received that Spirit, he poured it forth abundantly for the conversion of thousands and millions of souls. Never had Christ's kingdom been so set up in the world. There probably were more souls converted in the age of the apostles than had been before from the beginning of the world till that time. And thus God so soon begins gloriously to accomplish his promise to his Son, wherein he had promised that he should</w:t>
      </w:r>
      <w:r>
        <w:rPr>
          <w:rStyle w:val="FootnoteReference"/>
        </w:rPr>
        <w:footnoteReference w:id="1566"/>
      </w:r>
      <w:r>
        <w:t xml:space="preserve"> "see his seed," and that the "pleasure [of the Lord shall prosper in his hand]" if he would "make his soul [an offering for sins]." And,</w:t>
      </w:r>
    </w:p>
    <w:p>
      <w:pPr>
        <w:pStyle w:val="BodyText"/>
      </w:pPr>
      <w:r>
        <w:t xml:space="preserve">1.</w:t>
      </w:r>
      <w:r>
        <w:rPr>
          <w:rStyle w:val="FootnoteReference"/>
        </w:rPr>
        <w:footnoteReference w:id="1567"/>
      </w:r>
      <w:r>
        <w:t xml:space="preserve"> Here is to [be] observed the success the gospel had among the Jews, for God first began with them. God, being about to reject the main body of that people, first calls in his elect from among them before he forsook them to turn to the Gentiles. It was so in former great and dreadful judgments of God on that nation; the bulk of them were destroyed, and only a remnant saved and reformed. So it was in the rejection of the ten tribes; long before this rejection the bulk of the ten tribes were rejected when they left the true worship of God in Jeroboam's time, and afterwards more fully in Ahab's time,</w:t>
      </w:r>
    </w:p>
    <w:p>
      <w:pPr>
        <w:pStyle w:val="SourcePage"/>
      </w:pPr>
      <w:r>
        <w:t xml:space="preserve">[p. 376]</w:t>
      </w:r>
    </w:p>
    <w:p>
      <w:pPr>
        <w:pStyle w:val="BodyText"/>
      </w:pPr>
      <w:r>
        <w:t xml:space="preserve">but yet there was a number of them that God reserved. A number left their possessions in those tribes and went up [and settled in the tribes of Judah and Benjamin].</w:t>
      </w:r>
      <w:r>
        <w:rPr>
          <w:rStyle w:val="FootnoteReference"/>
        </w:rPr>
        <w:footnoteReference w:id="1568"/>
      </w:r>
      <w:r>
        <w:t xml:space="preserve"> And afterwards, there were seven thousand in Ahab's time [who had not bowed the knee to Baal].</w:t>
      </w:r>
      <w:r>
        <w:rPr>
          <w:rStyle w:val="FootnoteReference"/>
        </w:rPr>
        <w:footnoteReference w:id="1569"/>
      </w:r>
      <w:r>
        <w:t xml:space="preserve"> And so in the captivity into Babylon; but a remnant of them returned.</w:t>
      </w:r>
      <w:r>
        <w:rPr>
          <w:rStyle w:val="FootnoteReference"/>
        </w:rPr>
        <w:footnoteReference w:id="1570"/>
      </w:r>
      <w:r>
        <w:t xml:space="preserve"> So now again [the great part of the people were rejected; but some few were saved].</w:t>
      </w:r>
      <w:r>
        <w:rPr>
          <w:rStyle w:val="FootnoteReference"/>
        </w:rPr>
        <w:footnoteReference w:id="1571"/>
      </w:r>
      <w:r>
        <w:t xml:space="preserve"> And therefore the Holy Ghost</w:t>
      </w:r>
      <w:r>
        <w:rPr>
          <w:rStyle w:val="FootnoteReference"/>
        </w:rPr>
        <w:footnoteReference w:id="1572"/>
      </w:r>
      <w:r>
        <w:t xml:space="preserve"> compares this reservation of a number that were converted by the preaching of the apostles to those former remnants, Romans 9:27, "Esaias also crieth concerning Israel, Though the number of the children of Israel [be as the sand of the sea, a remnant shall be saved]."</w:t>
      </w:r>
      <w:r>
        <w:rPr>
          <w:rStyle w:val="FootnoteReference"/>
        </w:rPr>
        <w:footnoteReference w:id="1573"/>
      </w:r>
    </w:p>
    <w:p>
      <w:pPr>
        <w:pStyle w:val="BodyText"/>
      </w:pPr>
      <w:r>
        <w:t xml:space="preserve">The glorious success of the gospel among the Jews after Christ's ascension began by that pouring [out] of the Spirit, which began at Pentecost, that we read of [in Acts 2].</w:t>
      </w:r>
      <w:r>
        <w:rPr>
          <w:rStyle w:val="FootnoteReference"/>
        </w:rPr>
        <w:footnoteReference w:id="1574"/>
      </w:r>
      <w:r>
        <w:t xml:space="preserve"> So wonderful was this pouring out ‹of the Spirit›, and so remarkable and swift the effect of it, that we read of three thousand that were converted to the Christian faith in one day, Acts 2:41. And probably the bigger part of these were savingly converted. And after this, we read of God's adding to the church "daily such as should be saved," Acts 2:47; and soon after we read that the number of them was about five thousand.</w:t>
      </w:r>
      <w:r>
        <w:rPr>
          <w:rStyle w:val="FootnoteReference"/>
        </w:rPr>
        <w:footnoteReference w:id="1575"/>
      </w:r>
      <w:r>
        <w:t xml:space="preserve"> Thus were not only a multitude converted, but the church was then eminent in piety, as appears by Acts 2:46–47 ["And they, continuing daily with one accord in the temple, and breaking bread from house to house.… Praising God"].</w:t>
      </w:r>
      <w:r>
        <w:rPr>
          <w:rStyle w:val="FootnoteReference"/>
        </w:rPr>
        <w:footnoteReference w:id="1576"/>
      </w:r>
      <w:r>
        <w:t xml:space="preserve"> And Acts 4:32 ["And the multitude of them that believed were of one heart and of one soul … they had all things common"].</w:t>
      </w:r>
    </w:p>
    <w:p>
      <w:pPr>
        <w:pStyle w:val="BodyText"/>
      </w:pPr>
      <w:r>
        <w:t xml:space="preserve">Thus the Christian church was first of all of the nation of Israel, and therefore when the Gentiles were called they were but, as it were, added to Israel, to the seed of Abraham. They were added to the Christian church of Israel as the proselytes of old were to the Mosaic</w:t>
      </w:r>
    </w:p>
    <w:p>
      <w:pPr>
        <w:pStyle w:val="SourcePage"/>
      </w:pPr>
      <w:r>
        <w:t xml:space="preserve">[p. 377]</w:t>
      </w:r>
    </w:p>
    <w:p>
      <w:pPr>
        <w:pStyle w:val="BodyText"/>
      </w:pPr>
      <w:r>
        <w:t xml:space="preserve">church of Israel, and so were, as it were, only grafted on to the stock of Abraham and were not a distinct tree; for they are all still the seed of Abraham and Israel, as Ruth the Moabitess, and Uriah the Hittite, and other proselytes of old were the same people and received as the seed of Israel.</w:t>
      </w:r>
      <w:r>
        <w:rPr>
          <w:rStyle w:val="FootnoteReference"/>
        </w:rPr>
        <w:footnoteReference w:id="1577"/>
      </w:r>
    </w:p>
    <w:p>
      <w:pPr>
        <w:pStyle w:val="BodyText"/>
      </w:pPr>
      <w:r>
        <w:t xml:space="preserve">So the Christian church at first began at Jerusalem, and from thence was propagated to all nations, so that this church of Jerusalem was the church that was, as it were, the mother of all other churches in the world, agreeable to the prophecy, Isaiah 2:3–4, "The law shall go forth of Zion, and the word of the Lord [from Jerusalem]. And he shall judge among the nations and rebuke [many people]."</w:t>
      </w:r>
      <w:r>
        <w:rPr>
          <w:rStyle w:val="FootnoteReference"/>
        </w:rPr>
        <w:footnoteReference w:id="1578"/>
      </w:r>
      <w:r>
        <w:t xml:space="preserve"> So that the whole church of God is still God's Jerusalem: they are his spiritual</w:t>
      </w:r>
      <w:r>
        <w:rPr>
          <w:rStyle w:val="FootnoteReference"/>
        </w:rPr>
        <w:footnoteReference w:id="1579"/>
      </w:r>
      <w:r>
        <w:t xml:space="preserve"> Jerusalem and are, as it were, only added to the church that was begun in the literal Jerusalem. After this we read of many thousands of Jews that believed in Jerusalem, Acts 21:20 ["Thou seest, brother, how many thousands of Jews there are which believe"]. And so we read of multitudes of Jews that were converted in other cities of Judea, and not only so, but in other parts of the world. For wherever</w:t>
      </w:r>
      <w:r>
        <w:rPr>
          <w:rStyle w:val="FootnoteReference"/>
        </w:rPr>
        <w:footnoteReference w:id="1580"/>
      </w:r>
      <w:r>
        <w:t xml:space="preserve"> the apostles went, if there were any Jews there, their manner was first to go into the synagogues of the Jews and preach the gospel to them; and many in one place and another believed, as in Damascus and Antioch and many other places that we read of in the Acts.</w:t>
      </w:r>
      <w:r>
        <w:rPr>
          <w:rStyle w:val="FootnoteReference"/>
        </w:rPr>
        <w:footnoteReference w:id="1581"/>
      </w:r>
    </w:p>
    <w:p>
      <w:pPr>
        <w:pStyle w:val="BodyText"/>
      </w:pPr>
      <w:r>
        <w:t xml:space="preserve">In this pouring out of the Spirit, which began at the Pentecost following Christ's ascension, began that first great dispensation ‹which is called Christ's coming in his kingdom›. Christ's coming thus in a spiritual manner for the glorious setting up his kingdom in the world, is represented by Christ himself as his coming down from heaven whither he had ascended, John 14:18. There Christ, having been speaking of his ascension, says, "I will not leave you comfortless: I will come unto you,"</w:t>
      </w:r>
      <w:r>
        <w:rPr>
          <w:rStyle w:val="FootnoteReference"/>
        </w:rPr>
        <w:footnoteReference w:id="1582"/>
      </w:r>
      <w:r>
        <w:t xml:space="preserve"> speaking of his coming by the coming of the comforter, the spirit of truth. And John 14:28, "Ye have heard how I said unto you, I go away, and come again unto you." And thus the</w:t>
      </w:r>
    </w:p>
    <w:p>
      <w:pPr>
        <w:pStyle w:val="SourcePage"/>
      </w:pPr>
      <w:r>
        <w:t xml:space="preserve">[p. 378]</w:t>
      </w:r>
    </w:p>
    <w:p>
      <w:pPr>
        <w:pStyle w:val="BodyText"/>
      </w:pPr>
      <w:r>
        <w:t xml:space="preserve">apostles began to see the kingdom of God come with power, as he promised they should, Mark 9:1, "Verily I say [unto you, That there be some of them that stand here, which shall not taste of death, till they have seen the kingdom of God come with power]."</w:t>
      </w:r>
    </w:p>
    <w:p>
      <w:pPr>
        <w:pStyle w:val="BodyText"/>
      </w:pPr>
      <w:r>
        <w:t xml:space="preserve">2.</w:t>
      </w:r>
      <w:r>
        <w:rPr>
          <w:rStyle w:val="FootnoteReference"/>
        </w:rPr>
        <w:footnoteReference w:id="1583"/>
      </w:r>
      <w:r>
        <w:t xml:space="preserve"> What is nextly to be observed is the success of the gospel among the Samaritans. After the success of the gospel had been so gloriously begun among the proper Jews, the Spirit of God was, nextly, wonderfully poured out on the Samaritans, which were not Jews by nation but the posterity [of those settled in the land that was inhabited by the ten tribes].</w:t>
      </w:r>
      <w:r>
        <w:rPr>
          <w:rStyle w:val="FootnoteReference"/>
        </w:rPr>
        <w:footnoteReference w:id="1584"/>
      </w:r>
      <w:r>
        <w:t xml:space="preserve"> But yet they had received the five books of Moses, and practiced most of the rites of the law of Moses, and so were a sort of mongrel Jews. We don't find 'em reckoned as Gentiles in the New Testament, for the calling of the Gentiles is spoken of as a new thing after this, beginning with the conversion of Cornelius.</w:t>
      </w:r>
      <w:r>
        <w:rPr>
          <w:rStyle w:val="FootnoteReference"/>
        </w:rPr>
        <w:footnoteReference w:id="1585"/>
      </w:r>
      <w:r>
        <w:t xml:space="preserve"> But yet it was an instance of making these</w:t>
      </w:r>
      <w:r>
        <w:rPr>
          <w:rStyle w:val="FootnoteReference"/>
        </w:rPr>
        <w:footnoteReference w:id="1586"/>
      </w:r>
      <w:r>
        <w:t xml:space="preserve"> a people that were not a people, for they corrupted the religion that Moses commanded, and did not go up to Jerusalem to worship, but had another temple of their own on Mount Gerizim, which is the mountain that the woman of Samaria speaks of when she says, "Our fathers worshipped [in this mountain]."</w:t>
      </w:r>
      <w:r>
        <w:rPr>
          <w:rStyle w:val="FootnoteReference"/>
        </w:rPr>
        <w:footnoteReference w:id="1587"/>
      </w:r>
      <w:r>
        <w:t xml:space="preserve"> Christ there don't approve of their separation from the Jews, but tells the woman of Samaria that they worshipped they knew not what, and that salvation was of the Jews.</w:t>
      </w:r>
      <w:r>
        <w:rPr>
          <w:rStyle w:val="FootnoteReference"/>
        </w:rPr>
        <w:footnoteReference w:id="1588"/>
      </w:r>
    </w:p>
    <w:p>
      <w:pPr>
        <w:pStyle w:val="BodyText"/>
      </w:pPr>
      <w:r>
        <w:t xml:space="preserve">But now salvation is brought from the Jews to them by the preaching of Philip, excepting that before Christ had some success, with whose preaching there was a glorious pouring out of the Spirit of God in the city of Samaria, where we are told that, "The people believed Philip preaching the things concerning the kingdom of Christ, and were baptized, both men and women," and that "there was great joy in that city," Acts 8:8–12.</w:t>
      </w:r>
      <w:r>
        <w:rPr>
          <w:rStyle w:val="FootnoteReference"/>
        </w:rPr>
        <w:footnoteReference w:id="1589"/>
      </w:r>
      <w:r>
        <w:t xml:space="preserve"> Thus Christ had a glorious harvest in Samaria, which is what Christ seems to have had respect to in what he said to his disciples at Jacob's well three or four years before, on occasion</w:t>
      </w:r>
      <w:r>
        <w:rPr>
          <w:rStyle w:val="FootnoteReference"/>
        </w:rPr>
        <w:footnoteReference w:id="1590"/>
      </w:r>
      <w:r>
        <w:t xml:space="preserve"> of the people of Samaria's appearing at a distance in the fields, coming to the place where Christ was at the instigation</w:t>
      </w:r>
    </w:p>
    <w:p>
      <w:pPr>
        <w:pStyle w:val="SourcePage"/>
      </w:pPr>
      <w:r>
        <w:t xml:space="preserve">[p. 379]</w:t>
      </w:r>
    </w:p>
    <w:p>
      <w:pPr>
        <w:pStyle w:val="BodyText"/>
      </w:pPr>
      <w:r>
        <w:t xml:space="preserve">of the woman of Samaria. On that occasion he bids his disciples lift up their eyes to the fields, John 4:35–36 ["… for they are white already to harvest. And he that reapeth … gathereth fruit unto life eternal"]. The disposition that the people of Samaria showed towards Christ and his gospel, showed them that this people were ripe to the harvest. But now the harvest is come by Philip's preaching.</w:t>
      </w:r>
    </w:p>
    <w:p>
      <w:pPr>
        <w:pStyle w:val="BodyText"/>
      </w:pPr>
      <w:r>
        <w:t xml:space="preserve">There used to be a most bitter enmity ‹between the Jews and the Samaritans›; but now by their conversion, the Christian Jews and Samaritans are all happily united ‹in Christ›, for in Christ Jesus is neither Jew nor Samaritan, but Christ is all [one].</w:t>
      </w:r>
      <w:r>
        <w:rPr>
          <w:rStyle w:val="FootnoteReference"/>
        </w:rPr>
        <w:footnoteReference w:id="1591"/>
      </w:r>
      <w:r>
        <w:t xml:space="preserve"> This was a glorious instance of the wolf's dwelling with the lamb, and the leopard's lying down [with the kid].</w:t>
      </w:r>
      <w:r>
        <w:rPr>
          <w:rStyle w:val="FootnoteReference"/>
        </w:rPr>
        <w:footnoteReference w:id="1592"/>
      </w:r>
    </w:p>
    <w:p>
      <w:pPr>
        <w:pStyle w:val="BodyText"/>
      </w:pPr>
      <w:r>
        <w:t xml:space="preserve">3.</w:t>
      </w:r>
      <w:r>
        <w:rPr>
          <w:rStyle w:val="FootnoteReference"/>
        </w:rPr>
        <w:footnoteReference w:id="1593"/>
      </w:r>
      <w:r>
        <w:t xml:space="preserve"> The next thing to be observed is the success there was of the gospel in the calling of the Gentiles. This was a great and glorious dispensation of providence, much spoken of in the</w:t>
      </w:r>
      <w:r>
        <w:rPr>
          <w:rStyle w:val="FootnoteReference"/>
        </w:rPr>
        <w:footnoteReference w:id="1594"/>
      </w:r>
      <w:r>
        <w:t xml:space="preserve"> prophecies of the Old Testament, and spoken of by the apostles time after time as a most glorious event of Christ's redemption.</w:t>
      </w:r>
    </w:p>
    <w:p>
      <w:pPr>
        <w:pStyle w:val="BodyText"/>
      </w:pPr>
      <w:r>
        <w:t xml:space="preserve">This was begun in the conversion of Cornelius and his family greatly to the admiration of Peter, that was used as the instrument of it, and of those that were with him, and those that were informed of it, as you may see in the Acts 10–11. And the next instances of it that we have any account [of] were in the conversions of great numbers of Gentiles in Cyprus, and Cyrene, and Antioch, by the disciples that were scattered abroad by the persecution that arose about Stephen, as we have an account in Acts 11:19–21 ["Now they which were scattered abroad … travelled as far as … Antioch.… And … spake unto the Grecians … and a great number believed, and turned to the Lord"]. And presently upon this, the disciples began to be called Christians, first at Antioch, Acts 11:26.</w:t>
      </w:r>
    </w:p>
    <w:p>
      <w:pPr>
        <w:pStyle w:val="BodyText"/>
      </w:pPr>
      <w:r>
        <w:t xml:space="preserve">And after this, vast multitudes of Gentiles were converted in many different parts of the world, chiefly by the ministry of the apostle Paul, a glorious pouring out of the Spirit accompanying his preaching in one place and another. Multitudes flocked into the church of Christ in a great number of cities</w:t>
      </w:r>
      <w:r>
        <w:rPr>
          <w:rStyle w:val="FootnoteReference"/>
        </w:rPr>
        <w:footnoteReference w:id="1595"/>
      </w:r>
      <w:r>
        <w:t xml:space="preserve"> where the apostle came. So the number</w:t>
      </w:r>
    </w:p>
    <w:p>
      <w:pPr>
        <w:pStyle w:val="SourcePage"/>
      </w:pPr>
      <w:r>
        <w:t xml:space="preserve">[p. 380]</w:t>
      </w:r>
    </w:p>
    <w:p>
      <w:pPr>
        <w:pStyle w:val="BodyText"/>
      </w:pPr>
      <w:r>
        <w:t xml:space="preserve">of the members of the Christian church that were Gentiles soon far exceeded the number of its Jewish members; yea, so that in less than ten years' time after Paul was sent forth from Antioch to preach to the Gentiles, it was said of him and his companions by the Thessalonians, that they had turned the world upside down, Acts 17:6, "These men that have turned the world upside down are come hither also."</w:t>
      </w:r>
      <w:r>
        <w:rPr>
          <w:rStyle w:val="FootnoteReference"/>
        </w:rPr>
        <w:footnoteReference w:id="1596"/>
      </w:r>
      <w:r>
        <w:t xml:space="preserve"> But the most remarkable pouring out of the Spirit in a particular city that we have any account of in the New Testament, seems to be that in the city of Ephesus, which was a very great city. This we have an account of in the Acts 19. And there was also a very extraordinary ingathering of souls at Corinth, one of the greatest cities in all Greece, in Acts.</w:t>
      </w:r>
      <w:r>
        <w:rPr>
          <w:rStyle w:val="FootnoteReference"/>
        </w:rPr>
        <w:footnoteReference w:id="1597"/>
      </w:r>
      <w:r>
        <w:t xml:space="preserve"> And after this many were converted in Rome, the chief city of all the world; and the gospel was propagated into all parts of the Roman empire.</w:t>
      </w:r>
      <w:r>
        <w:rPr>
          <w:rStyle w:val="FootnoteReference"/>
        </w:rPr>
        <w:footnoteReference w:id="1598"/>
      </w:r>
    </w:p>
    <w:p>
      <w:pPr>
        <w:pStyle w:val="BodyText"/>
      </w:pPr>
      <w:r>
        <w:t xml:space="preserve">Thus the gospel sun that had lately risen on the Jews, now rose and began to enlighten the heathen world, after they had continued in</w:t>
      </w:r>
      <w:r>
        <w:rPr>
          <w:rStyle w:val="FootnoteReference"/>
        </w:rPr>
        <w:footnoteReference w:id="1599"/>
      </w:r>
      <w:r>
        <w:t xml:space="preserve"> gross heathenish darkness for so many ages. This was a great thing, and a new thing such as never had been seen before. All nations but the Jews, and a few that at one time and another had joined with them, had been rejected from about Moses' time. The Gentile world had been covered over with the thick darkness of gross idolatry; but now at the joyful glorious sound of the gospel they began in all parts to forsake their old idols, and abhor them, and cast them to the moles, and to the bats, and to learn to [worship] the true god, and trust in his Son, Jesus Christ.</w:t>
      </w:r>
      <w:r>
        <w:rPr>
          <w:rStyle w:val="FootnoteReference"/>
        </w:rPr>
        <w:footnoteReference w:id="1600"/>
      </w:r>
      <w:r>
        <w:t xml:space="preserve"> And God owned them for his people, they that had so long been far off were "made nigh by the blood of Christ."</w:t>
      </w:r>
      <w:r>
        <w:rPr>
          <w:rStyle w:val="FootnoteReference"/>
        </w:rPr>
        <w:footnoteReference w:id="1601"/>
      </w:r>
      <w:r>
        <w:t xml:space="preserve"> Men were changed from being heathenish and brutish to be the children of God, were called out of Satan's kingdom of darkness and brought into God's marvelous light.</w:t>
      </w:r>
      <w:r>
        <w:rPr>
          <w:rStyle w:val="FootnoteReference"/>
        </w:rPr>
        <w:footnoteReference w:id="1602"/>
      </w:r>
    </w:p>
    <w:p>
      <w:pPr>
        <w:pStyle w:val="BodyText"/>
      </w:pPr>
      <w:r>
        <w:t xml:space="preserve">And in almost all countries throughout the known world were assemblies of the people of [God], and joyful praises were sung to the true God, and Jesus Christ the glorious Redeemer. Now that great</w:t>
      </w:r>
      <w:r>
        <w:rPr>
          <w:rStyle w:val="FootnoteReference"/>
        </w:rPr>
        <w:footnoteReference w:id="1603"/>
      </w:r>
      <w:r>
        <w:t xml:space="preserve"> building that God began soon after the fall of man rises gloriously,</w:t>
      </w:r>
    </w:p>
    <w:p>
      <w:pPr>
        <w:pStyle w:val="SourcePage"/>
      </w:pPr>
      <w:r>
        <w:t xml:space="preserve">[p. 381]</w:t>
      </w:r>
    </w:p>
    <w:p>
      <w:pPr>
        <w:pStyle w:val="BodyText"/>
      </w:pPr>
      <w:r>
        <w:t xml:space="preserve">not in the same manner that it had done in former ages, but in quite a new manner. Now the prophecies of Daniel concerning the last kingdom that shall succeed the four heathenish monarchies, begins to be fulfilled; now the stone cut out of the mountain</w:t>
      </w:r>
      <w:r>
        <w:rPr>
          <w:rStyle w:val="FootnoteReference"/>
        </w:rPr>
        <w:footnoteReference w:id="1604"/>
      </w:r>
      <w:r>
        <w:t xml:space="preserve"> [without hands] began to smite the image [on its feet], and began to break in pieces, and to grow great, and make great advances towards filling the earth. And now God gathers together the elect from [the four winds of the earth]</w:t>
      </w:r>
      <w:r>
        <w:rPr>
          <w:rStyle w:val="FootnoteReference"/>
        </w:rPr>
        <w:footnoteReference w:id="1605"/>
      </w:r>
      <w:r>
        <w:t xml:space="preserve"> by the preaching of the apostles and other ministers, the angles of the Christian church sent forth with the great sound of the gospel trumpet before the destruction of Jerusalem, agreeable to what Christ foretold, Matthew 24:31.</w:t>
      </w:r>
    </w:p>
    <w:p>
      <w:pPr>
        <w:pStyle w:val="BodyText"/>
      </w:pPr>
      <w:r>
        <w:t xml:space="preserve">This was the success of Christ's purchase during this first period of the Christian church, which terminated in the destruction of Jerusalem.</w:t>
      </w:r>
    </w:p>
    <w:p>
      <w:pPr>
        <w:pStyle w:val="BodyText"/>
      </w:pPr>
      <w:r>
        <w:t xml:space="preserve">I proceed now, in the</w:t>
      </w:r>
      <w:r>
        <w:rPr>
          <w:rStyle w:val="FootnoteReference"/>
        </w:rPr>
        <w:footnoteReference w:id="1606"/>
      </w:r>
      <w:r>
        <w:t xml:space="preserve"> second</w:t>
      </w:r>
      <w:r>
        <w:rPr>
          <w:rStyle w:val="FootnoteReference"/>
        </w:rPr>
        <w:footnoteReference w:id="1607"/>
      </w:r>
      <w:r>
        <w:t xml:space="preserve"> place, to take notice of the opposition that was made to this success of Christ's purchase by the enemies of it. Satan who lately was so ready to triumph and insult, as though he had got the victory in killing Christ, now finding himself fallen into the pit that he had digged, and finding his kingdom falling so fast, and seeing Christ's kingdom make such amazing progress such as never had been before, we may conclude he was filled with the greatest confusion and astonishment, and hell seemed to be effectually alarmed by it to make the most violent opposition against it.</w:t>
      </w:r>
    </w:p>
    <w:p>
      <w:pPr>
        <w:pStyle w:val="BodyText"/>
      </w:pPr>
      <w:r>
        <w:t xml:space="preserve">And first the devil stirred up the Jews, that had before crucified Christ, to persecute the church; for 'tis observable that the persecution that the church suffered during this period was mostly amongst Jews.</w:t>
      </w:r>
      <w:r>
        <w:rPr>
          <w:rStyle w:val="FootnoteReference"/>
        </w:rPr>
        <w:footnoteReference w:id="1608"/>
      </w:r>
      <w:r>
        <w:t xml:space="preserve"> Thus we read in the Acts how in Jerusalem when the Holy Ghost was poured out at Pentecost, how the Jews mocked and said, "These men are full of new wine."</w:t>
      </w:r>
      <w:r>
        <w:rPr>
          <w:rStyle w:val="FootnoteReference"/>
        </w:rPr>
        <w:footnoteReference w:id="1609"/>
      </w:r>
      <w:r>
        <w:t xml:space="preserve"> And how the scribes and Pharisees and captain of the temple were alarmed and bestirred themselves to oppose and persecute</w:t>
      </w:r>
      <w:r>
        <w:rPr>
          <w:rStyle w:val="FootnoteReference"/>
        </w:rPr>
        <w:footnoteReference w:id="1610"/>
      </w:r>
      <w:r>
        <w:t xml:space="preserve"> the apostles, and first apprehended and threatened them, and afterwards imprisoned and beat them; and breathed out threatenings and slaughter against the disciples of the</w:t>
      </w:r>
    </w:p>
    <w:p>
      <w:pPr>
        <w:pStyle w:val="SourcePage"/>
      </w:pPr>
      <w:r>
        <w:t xml:space="preserve">[p. 382]</w:t>
      </w:r>
    </w:p>
    <w:p>
      <w:pPr>
        <w:pStyle w:val="BodyText"/>
      </w:pPr>
      <w:r>
        <w:t xml:space="preserve">Lord,</w:t>
      </w:r>
      <w:r>
        <w:rPr>
          <w:rStyle w:val="FootnoteReference"/>
        </w:rPr>
        <w:footnoteReference w:id="1611"/>
      </w:r>
      <w:r>
        <w:t xml:space="preserve"> they stoned Stephen in a tumultuous rage,</w:t>
      </w:r>
      <w:r>
        <w:rPr>
          <w:rStyle w:val="FootnoteReference"/>
        </w:rPr>
        <w:footnoteReference w:id="1612"/>
      </w:r>
      <w:r>
        <w:t xml:space="preserve"> and were not content to persecute those that they could find in Judea, but sent abroad to Damascus and other places to persecute all that they could find everywhere.</w:t>
      </w:r>
      <w:r>
        <w:rPr>
          <w:rStyle w:val="FootnoteReference"/>
        </w:rPr>
        <w:footnoteReference w:id="1613"/>
      </w:r>
      <w:r>
        <w:t xml:space="preserve"> Herod that was chief among them stretched forth his hands to vex the church, and killed James with the sword, and proceeded to take Peter also and cast him into prison.</w:t>
      </w:r>
      <w:r>
        <w:rPr>
          <w:rStyle w:val="FootnoteReference"/>
        </w:rPr>
        <w:footnoteReference w:id="1614"/>
      </w:r>
    </w:p>
    <w:p>
      <w:pPr>
        <w:pStyle w:val="BodyText"/>
      </w:pPr>
      <w:r>
        <w:t xml:space="preserve">And so in other countries we find that almost wherever the apostles came, the Jews opposed the gospel in a most malignant manner, contradicting and blaspheming. How many things did the blessed apostle Paul suffer at their hands in one place and another.</w:t>
      </w:r>
      <w:r>
        <w:rPr>
          <w:rStyle w:val="FootnoteReference"/>
        </w:rPr>
        <w:footnoteReference w:id="1615"/>
      </w:r>
      <w:r>
        <w:t xml:space="preserve"> How violent and bloodthirsty did they show themselves towards him when he came to bring alms to his nation;</w:t>
      </w:r>
      <w:r>
        <w:rPr>
          <w:rStyle w:val="FootnoteReference"/>
        </w:rPr>
        <w:footnoteReference w:id="1616"/>
      </w:r>
      <w:r>
        <w:t xml:space="preserve"> in this persecution and cruelty of theirs were fulfilled that [prophecy] of Christ, Matthew 23:34, "Behold, I send you prophets, and wise men, and scribes: [and some of them ye shall kill and crucify; and some of them shall ye scourge in your synagogues, and persecute them from city to city]."</w:t>
      </w:r>
      <w:r>
        <w:rPr>
          <w:rStyle w:val="FootnoteReference"/>
        </w:rPr>
        <w:footnoteReference w:id="1617"/>
      </w:r>
    </w:p>
    <w:p>
      <w:pPr>
        <w:pStyle w:val="BodyText"/>
      </w:pPr>
      <w:r>
        <w:rPr>
          <w:rStyle w:val="FootnoteReference"/>
        </w:rPr>
        <w:footnoteReference w:id="1618"/>
      </w:r>
      <w:r>
        <w:t xml:space="preserve">3.</w:t>
      </w:r>
      <w:r>
        <w:rPr>
          <w:rStyle w:val="FootnoteReference"/>
        </w:rPr>
        <w:footnoteReference w:id="1619"/>
      </w:r>
      <w:r>
        <w:t xml:space="preserve"> [I proceed] to take notice of those judgments that were executed on those enemies of Christ, the persecuting Jews.</w:t>
      </w:r>
    </w:p>
    <w:p>
      <w:pPr>
        <w:pStyle w:val="BodyText"/>
      </w:pPr>
      <w:r>
        <w:t xml:space="preserve">1.</w:t>
      </w:r>
      <w:r>
        <w:rPr>
          <w:rStyle w:val="FootnoteReference"/>
        </w:rPr>
        <w:footnoteReference w:id="1620"/>
      </w:r>
      <w:r>
        <w:t xml:space="preserve"> The bulk of the people were given up to judicial blindness of mind and hardness of heart.</w:t>
      </w:r>
      <w:r>
        <w:rPr>
          <w:rStyle w:val="FootnoteReference"/>
        </w:rPr>
        <w:footnoteReference w:id="1621"/>
      </w:r>
      <w:r>
        <w:t xml:space="preserve"> Christ denounced such a woe upon them in the days of his flesh as Matthew 13:14–15 ["By hearing ye shall hear, and shall not understand.… For this people's heart is waxed gross … lest … I should heal them"].</w:t>
      </w:r>
      <w:r>
        <w:rPr>
          <w:rStyle w:val="FootnoteReference"/>
        </w:rPr>
        <w:footnoteReference w:id="1622"/>
      </w:r>
      <w:r>
        <w:t xml:space="preserve"> And this curse was denounced on them by the apostle Paul, Acts 28:25–27 ["Well spake the Holy Ghost.… Saying, Go unto this people, and say … seeing ye shall see, and not perceive: lest they should see with their eyes … and should be converted"]. And under this curse, this judicial blindness and hardness, they remain to this very day, having been subject to it for about seventeen hundred years: being the most awful instance of such a judgment, and monuments of God's terrible vengeance on</w:t>
      </w:r>
    </w:p>
    <w:p>
      <w:pPr>
        <w:pStyle w:val="SourcePage"/>
      </w:pPr>
      <w:r>
        <w:t xml:space="preserve">[p. 383]</w:t>
      </w:r>
    </w:p>
    <w:p>
      <w:pPr>
        <w:pStyle w:val="BodyText"/>
      </w:pPr>
      <w:r>
        <w:t xml:space="preserve">[them] of any people that ever were. That they should continue from generation to generation so obstinately to reject Christ, so that 'tis so rare a thing that any one of them is converted to the Christian faith, though their own scriptures of the Old Testament, which they acknowledge</w:t>
      </w:r>
      <w:r>
        <w:rPr>
          <w:rStyle w:val="FootnoteReference"/>
        </w:rPr>
        <w:footnoteReference w:id="1623"/>
      </w:r>
      <w:r>
        <w:t xml:space="preserve"> is so full of plain testimonies against 'em, is a remarkable evidence of their being dreadfully left of God.</w:t>
      </w:r>
    </w:p>
    <w:p>
      <w:pPr>
        <w:pStyle w:val="BodyText"/>
      </w:pPr>
      <w:r>
        <w:t xml:space="preserve">2.</w:t>
      </w:r>
      <w:r>
        <w:rPr>
          <w:rStyle w:val="FootnoteReference"/>
        </w:rPr>
        <w:footnoteReference w:id="1624"/>
      </w:r>
      <w:r>
        <w:t xml:space="preserve"> They were rejected and cast off from being any longer God's visible people.</w:t>
      </w:r>
      <w:r>
        <w:rPr>
          <w:rStyle w:val="FootnoteReference"/>
        </w:rPr>
        <w:footnoteReference w:id="1625"/>
      </w:r>
      <w:r>
        <w:t xml:space="preserve"> They were broken off from the stock of Abraham, and since that have no more been reputed his seed than the Ishmaelites or Edomites that are as much his natural seed as they. The bigger part of the two tribes were now cast off, as the bulk of the ten tribes had been before, and another people taken in their room, agreeable to the predictions of their own prophets, as of Moses, Deuteronomy 32:21, "They have moved me to jealousy [with that which is not God; they have provoked me to anger with their vanities: and I will move them to jealousy with those which are not a people; I will provoke them to anger with a foolish nation]"; and of Is. [Isaiah 65:1, "I am sought of them that asked not for me; I am found of them that sought me not"].</w:t>
      </w:r>
      <w:r>
        <w:rPr>
          <w:rStyle w:val="FootnoteReference"/>
        </w:rPr>
        <w:footnoteReference w:id="1626"/>
      </w:r>
      <w:r>
        <w:t xml:space="preserve"> They were visibly rejected and cast off by God's directing the apostles to turn away from them and let them alone, as Acts 13:45–46 ["Then Paul and Barnabas waxed bold, and said, It was necessary that the word of God should first have been spoken to you: but seeing ye put it from you, and judge yourselves unworthy of everlasting life, lo, we turn to the Gentiles"]. And so, Acts 18:6 ["Your blood be upon your own heads.… I will go unto the Gentiles"], and Acts 28:28 ["… the salvation of God is sent unto the Gentiles"].</w:t>
      </w:r>
    </w:p>
    <w:p>
      <w:pPr>
        <w:pStyle w:val="BodyText"/>
      </w:pPr>
      <w:r>
        <w:t xml:space="preserve">Thus far we have had</w:t>
      </w:r>
      <w:r>
        <w:rPr>
          <w:rStyle w:val="FootnoteReference"/>
        </w:rPr>
        <w:footnoteReference w:id="1627"/>
      </w:r>
      <w:r>
        <w:t xml:space="preserve"> the Scripture history to guide us; henceforward we shall have the guidance only of two things, viz. of Scripture prophecy and God's providence as related in human histories. But I proceed.</w:t>
      </w:r>
    </w:p>
    <w:p>
      <w:pPr>
        <w:pStyle w:val="BodyText"/>
      </w:pPr>
      <w:r>
        <w:t xml:space="preserve">3.</w:t>
      </w:r>
      <w:r>
        <w:rPr>
          <w:rStyle w:val="FootnoteReference"/>
        </w:rPr>
        <w:footnoteReference w:id="1628"/>
      </w:r>
      <w:r>
        <w:t xml:space="preserve"> The third and last judgment on those enemies of the success of the gospel that I shall mention is the terrible destruction of their city and country by the Romans. They had great warnings and many means used with them before this destruction. First John the Baptist</w:t>
      </w:r>
    </w:p>
    <w:p>
      <w:pPr>
        <w:pStyle w:val="SourcePage"/>
      </w:pPr>
      <w:r>
        <w:t xml:space="preserve">[p. 384]</w:t>
      </w:r>
    </w:p>
    <w:p>
      <w:pPr>
        <w:pStyle w:val="BodyText"/>
      </w:pPr>
      <w:r>
        <w:t xml:space="preserve">warned 'em, and told 'em that the axe was laid ["unto the root of the trees: therefore every tree which bringeth not forth good fruit is hewn down and cast into the fire"].</w:t>
      </w:r>
      <w:r>
        <w:rPr>
          <w:rStyle w:val="FootnoteReference"/>
        </w:rPr>
        <w:footnoteReference w:id="1629"/>
      </w:r>
      <w:r>
        <w:t xml:space="preserve"> Then Christ warned them [explicitly],</w:t>
      </w:r>
      <w:r>
        <w:rPr>
          <w:rStyle w:val="FootnoteReference"/>
        </w:rPr>
        <w:footnoteReference w:id="1630"/>
      </w:r>
      <w:r>
        <w:t xml:space="preserve"> told them of their approaching destruction, and at the thoughts of it wept over them.</w:t>
      </w:r>
      <w:r>
        <w:rPr>
          <w:rStyle w:val="FootnoteReference"/>
        </w:rPr>
        <w:footnoteReference w:id="1631"/>
      </w:r>
      <w:r>
        <w:t xml:space="preserve"> And then the apostles after Christ's ascension abundantly warned them. But they proved obstinate, and went on in their opposition to Christ and his church, and their bitter persecuting practices.</w:t>
      </w:r>
    </w:p>
    <w:p>
      <w:pPr>
        <w:pStyle w:val="BodyText"/>
      </w:pPr>
      <w:r>
        <w:t xml:space="preserve">Their so malignantly persecuting the apostle Paul, that we have an</w:t>
      </w:r>
      <w:r>
        <w:rPr>
          <w:rStyle w:val="FootnoteReference"/>
        </w:rPr>
        <w:footnoteReference w:id="1632"/>
      </w:r>
      <w:r>
        <w:t xml:space="preserve"> account of towards the latter part of the Acts, is supposed to have been not before seven or eight years before their destruction. And after this God was pleased to give 'em one more very remarkable warning by the apostle Paul in his Epistle to the Hebrews, which was an epistle written to that nation of the Jews, as is supposed, about four years before their destruction: wherein the plainest and clearest arguments are set before them from their own law, and from their prophets that they professed such a regard for, to prove that Christ Jesus must be the Son of God, and that all their law pointed to him and typified him, and that their Jewish dispensation must needs have now ceased. For though the epistle was more immediately directed to the Christian Hebrews, yet the matter of the epistle plainly shows that the Apostle intended by it the use and conviction of the unbelieving Jews. And in this epistle he particularly writes of the approaching destruction, as Hebrews 10:25, "So much the more as ye see the day approaching," and in the Hebrews 10:27 he speaks of an</w:t>
      </w:r>
      <w:r>
        <w:rPr>
          <w:rStyle w:val="FootnoteReference"/>
        </w:rPr>
        <w:footnoteReference w:id="1633"/>
      </w:r>
      <w:r>
        <w:t xml:space="preserve"> approaching "judgment and fiery indignation, which should devour the adversaries."</w:t>
      </w:r>
    </w:p>
    <w:p>
      <w:pPr>
        <w:pStyle w:val="BodyText"/>
      </w:pPr>
      <w:r>
        <w:t xml:space="preserve">But the generality of them refusing to receive conviction, God soon destroyed them with such terrible circumstances as the destruction of no country or city since the foundation of the world can parallel, agreeable to what Christ foretold, Matthew 24:21 ["For then shall be great tribulation, such as was not from the beginning of the world to this time, no, nor ever shall be"].</w:t>
      </w:r>
      <w:r>
        <w:rPr>
          <w:rStyle w:val="FootnoteReference"/>
        </w:rPr>
        <w:footnoteReference w:id="1634"/>
      </w:r>
      <w:r>
        <w:t xml:space="preserve"> The first destruction of Jerusalem</w:t>
      </w:r>
    </w:p>
    <w:p>
      <w:pPr>
        <w:pStyle w:val="SourcePage"/>
      </w:pPr>
      <w:r>
        <w:t xml:space="preserve">[p. 385]</w:t>
      </w:r>
    </w:p>
    <w:p>
      <w:pPr>
        <w:pStyle w:val="BodyText"/>
      </w:pPr>
      <w:r>
        <w:t xml:space="preserve">by the Babylonians was very terrible, as it is in a most affecting manner described by the prophet Jeremiah in his Lamentations, but this was nothing to the dreadful misery and wrath which they suffered in this destruction: God, according as Christ foretold, bringing on them all the righteous blood [that had been shed from the foundation of the world].</w:t>
      </w:r>
      <w:r>
        <w:rPr>
          <w:rStyle w:val="FootnoteReference"/>
        </w:rPr>
        <w:footnoteReference w:id="1635"/>
      </w:r>
      <w:r>
        <w:t xml:space="preserve"> Thus the enemies of Christ are made his footstool after his ascension, agreeable to God's promise in the Psalms 110, at the beginning ["The Lord said unto my Lord, Sit thou at my right hand, until I make thine enemies thy footstool"],</w:t>
      </w:r>
      <w:r>
        <w:rPr>
          <w:rStyle w:val="FootnoteReference"/>
        </w:rPr>
        <w:footnoteReference w:id="1636"/>
      </w:r>
      <w:r>
        <w:t xml:space="preserve"> and Christ rules them with a rod of iron.</w:t>
      </w:r>
      <w:r>
        <w:rPr>
          <w:rStyle w:val="FootnoteReference"/>
        </w:rPr>
        <w:footnoteReference w:id="1637"/>
      </w:r>
      <w:r>
        <w:t xml:space="preserve"> They had been kicking against Christ, but they did but kick against the pricks,</w:t>
      </w:r>
      <w:r>
        <w:rPr>
          <w:rStyle w:val="FootnoteReference"/>
        </w:rPr>
        <w:footnoteReference w:id="1638"/>
      </w:r>
      <w:r>
        <w:t xml:space="preserve"> The briars and thorns set themselves [against him in battle: but he went through them, he burned them together].</w:t>
      </w:r>
      <w:r>
        <w:rPr>
          <w:rStyle w:val="FootnoteReference"/>
        </w:rPr>
        <w:footnoteReference w:id="1639"/>
      </w:r>
    </w:p>
    <w:p>
      <w:pPr>
        <w:pStyle w:val="BodyText"/>
      </w:pPr>
      <w:r>
        <w:t xml:space="preserve">This destruction of Jerusalem was in all respects agreeable to what Christ had foretold of in the Matthew 24.</w:t>
      </w:r>
      <w:r>
        <w:rPr>
          <w:rStyle w:val="FootnoteReference"/>
        </w:rPr>
        <w:footnoteReference w:id="1640"/>
      </w:r>
      <w:r>
        <w:t xml:space="preserve"> By the account which Josephus gives of it, that was there present and was one of the Jews that had a share in the calamity and wrote the history of that destruction. Many circumstances of this destruction greatly resembled the destruction of the wicked at the day of judgment by his account, accompanied with many fearful sights, a separation of the righteous from the wicked. Their city and temple were burnt and razed to the ground, and the city plowed, and so one stone was not ‹left upon another›, Matthew 24:2. The people ceased for the most part to be an independent government after the Babylonish captivity, the scepter departed on the death of Archelaus,</w:t>
      </w:r>
      <w:r>
        <w:rPr>
          <w:rStyle w:val="FootnoteReference"/>
        </w:rPr>
        <w:footnoteReference w:id="1641"/>
      </w:r>
      <w:r>
        <w:t xml:space="preserve"> ‹Judea was› made a Roman province, and then ‹they were› cast off</w:t>
      </w:r>
      <w:r>
        <w:rPr>
          <w:rStyle w:val="FootnoteReference"/>
        </w:rPr>
        <w:footnoteReference w:id="1642"/>
      </w:r>
      <w:r>
        <w:t xml:space="preserve"> from being a people. But now their very city and land is utterly destroyed and they carried away from it, and so have continued in their dispersions through the world for now above sixteen hundred years.</w:t>
      </w:r>
    </w:p>
    <w:p>
      <w:pPr>
        <w:pStyle w:val="BodyText"/>
      </w:pPr>
      <w:r>
        <w:t xml:space="preserve">Thus there was a final end to the Old Testament world; all was finished with a kind of a day of judgment in which God's people were</w:t>
      </w:r>
    </w:p>
    <w:p>
      <w:pPr>
        <w:pStyle w:val="SourcePage"/>
      </w:pPr>
      <w:r>
        <w:t xml:space="preserve">[p. 386]</w:t>
      </w:r>
    </w:p>
    <w:p>
      <w:pPr>
        <w:pStyle w:val="BodyText"/>
      </w:pPr>
      <w:r>
        <w:t xml:space="preserve">saved and his enemies terribly destroyed. Thus does he that was so lately mocked, [despised, and spit upon]</w:t>
      </w:r>
      <w:r>
        <w:rPr>
          <w:rStyle w:val="FootnoteReference"/>
        </w:rPr>
        <w:footnoteReference w:id="1643"/>
      </w:r>
      <w:r>
        <w:t xml:space="preserve"> by the Jews, and whose followers they so malignantly persecuted, appear gloriously exalted over his enemies.</w:t>
      </w:r>
    </w:p>
    <w:p>
      <w:pPr>
        <w:pStyle w:val="SourcePage"/>
      </w:pPr>
      <w:r>
        <w:t xml:space="preserve">[p. 387]</w:t>
      </w:r>
    </w:p>
    <w:p>
      <w:pPr>
        <w:pStyle w:val="Heading2"/>
      </w:pPr>
      <w:bookmarkStart w:name="heading_sermon_twenty_one" w:id="71"/>
      <w:r>
        <w:t xml:space="preserve">SERMON TWENTY-ONE</w:t>
      </w:r>
      <w:bookmarkEnd w:id="71"/>
    </w:p>
    <w:p>
      <w:pPr>
        <w:pStyle w:val="BodyText"/>
      </w:pPr>
      <w:r>
        <w:rPr>
          <w:rStyle w:val="FootnoteReference"/>
        </w:rPr>
        <w:footnoteReference w:id="1644"/>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0" w:id="72"/>
      <w:r>
        <w:t xml:space="preserve">DOCTRINE</w:t>
      </w:r>
      <w:bookmarkEnd w:id="72"/>
    </w:p>
    <w:p>
      <w:pPr>
        <w:pStyle w:val="BlockQuote"/>
      </w:pPr>
      <w:r>
        <w:rPr>
          <w:i/>
          <w:iCs/>
        </w:rPr>
        <w:t xml:space="preserve">[The Work of Redemption is a work that God carries on from the fall of man to the end of the world.]</w:t>
      </w:r>
    </w:p>
    <w:p>
      <w:pPr>
        <w:pStyle w:val="BodyText"/>
      </w:pPr>
      <w:r>
        <w:t xml:space="preserve">HAVING shown in the forenoon</w:t>
      </w:r>
      <w:r>
        <w:rPr>
          <w:rStyle w:val="FootnoteReference"/>
        </w:rPr>
        <w:footnoteReference w:id="1645"/>
      </w:r>
      <w:r>
        <w:t xml:space="preserve"> how the success of Christ's purchase was carried on till the destruction of Jerusalem, I come now,</w:t>
      </w:r>
    </w:p>
    <w:p>
      <w:pPr>
        <w:pStyle w:val="BodyText"/>
      </w:pPr>
      <w:r>
        <w:t xml:space="preserve">II.</w:t>
      </w:r>
      <w:r>
        <w:rPr>
          <w:rStyle w:val="FootnoteReference"/>
        </w:rPr>
        <w:footnoteReference w:id="1646"/>
      </w:r>
      <w:r>
        <w:t xml:space="preserve"> to show how it was carried on from that time till the destruction of the heathen empire in the time of Constantine the Great, which was the second great event that is in Scripture compared to Christ's coming to judgment. Jerusalem was destroyed about the year of our Lord 68, and so before this generation passed away that was contemporary with Christ,</w:t>
      </w:r>
      <w:r>
        <w:rPr>
          <w:rStyle w:val="FootnoteReference"/>
        </w:rPr>
        <w:footnoteReference w:id="1647"/>
      </w:r>
      <w:r>
        <w:t xml:space="preserve"> and it was about thirty-five years after Christ's death. The destruction of the heathen empire under Constantine was about 260 years after this.</w:t>
      </w:r>
    </w:p>
    <w:p>
      <w:pPr>
        <w:pStyle w:val="BodyText"/>
      </w:pPr>
      <w:r>
        <w:t xml:space="preserve">In showing how the success of the gospel was carried on through this time I would, 1. take notice of the opposition made against it by the Roman empire, 2. how the work of the gospel went on notwithstanding all that opposition, 3. the peculiar circumstances of tribulation and distress that the church was in just before their deliverance by Constantine, 4. the great revolution in Constantine's time.</w:t>
      </w:r>
    </w:p>
    <w:p>
      <w:pPr>
        <w:pStyle w:val="BodyText"/>
      </w:pPr>
      <w:r>
        <w:rPr>
          <w:rStyle w:val="FootnoteReference"/>
        </w:rPr>
        <w:footnoteReference w:id="1648"/>
      </w:r>
      <w:r>
        <w:t xml:space="preserve">First,</w:t>
      </w:r>
      <w:r>
        <w:rPr>
          <w:rStyle w:val="FootnoteReference"/>
        </w:rPr>
        <w:footnoteReference w:id="1649"/>
      </w:r>
      <w:r>
        <w:t xml:space="preserve"> I would briefly show what opposition was made against the</w:t>
      </w:r>
    </w:p>
    <w:p>
      <w:pPr>
        <w:pStyle w:val="SourcePage"/>
      </w:pPr>
      <w:r>
        <w:t xml:space="preserve">[p. 388]</w:t>
      </w:r>
    </w:p>
    <w:p>
      <w:pPr>
        <w:pStyle w:val="BodyText"/>
      </w:pPr>
      <w:r>
        <w:t xml:space="preserve">gospel and the kingdom of Christ by the Roman empire. The opposition that was made to the gospel by the heathen Roman empire was mainly after the destruction of Jerusalem, though their opposition began before. But the opposition that was before the destruction of Jerusalem was mainly by the Jews. But when Jerusalem was destroyed, the Jews were put out of a capacity of much troubling the church now; therefore the devil turns his hand elsewhere and improves other instruments. The opposition that was made in the Roman empire against the kingdom of Christ was chiefly of two kinds.</w:t>
      </w:r>
    </w:p>
    <w:p>
      <w:pPr>
        <w:pStyle w:val="BodyText"/>
      </w:pPr>
      <w:r>
        <w:t xml:space="preserve">1.</w:t>
      </w:r>
      <w:r>
        <w:rPr>
          <w:rStyle w:val="FootnoteReference"/>
        </w:rPr>
        <w:footnoteReference w:id="1650"/>
      </w:r>
      <w:r>
        <w:t xml:space="preserve"> They employed all their learning and philosophy and wit in opposing, as has been showed heretofore. Christ came into the world in an age wherein learning and philosophy were at their height in the Roman empire. This was employed to the utmost against the kingdom of Christ. The gospel that held forth a crucified savior was not at all agreeable to the notions of the philosophers;</w:t>
      </w:r>
      <w:r>
        <w:rPr>
          <w:rStyle w:val="FootnoteReference"/>
        </w:rPr>
        <w:footnoteReference w:id="1651"/>
      </w:r>
      <w:r>
        <w:t xml:space="preserve"> the Christian scheme of trusting in such a crucified redeemer appeared foolish and ridiculous to them. Greece was a country the most famous for learning of any in the Roman empire, but the Apostle observes that the doctrine of Christ crucified appeared foolishness to the Greeks, 1 Corinthians 1:23, and therefore the wise men and philosophers opposed the gospel with all the wit they had. We have a specimen of their manner of opposing in the story we have of their treatment of the apostle Paul at Athens, which was a city that had been for many ages the chief seat of philosophers of any in the whole world. We read there in the Acts 17:18</w:t>
      </w:r>
      <w:r>
        <w:rPr>
          <w:rStyle w:val="FootnoteReference"/>
        </w:rPr>
        <w:footnoteReference w:id="1652"/>
      </w:r>
      <w:r>
        <w:t xml:space="preserve"> that the philosophers of the Epicureans and Stoics encountered him, saying, "What will this babbler say? He seemeth to be a setter-forth of strange gods."</w:t>
      </w:r>
    </w:p>
    <w:p>
      <w:pPr>
        <w:pStyle w:val="BodyText"/>
      </w:pPr>
      <w:r>
        <w:t xml:space="preserve">So they were wont to deride and ridicule Christianity. And after the destruction of Jerusalem several of these philosophers</w:t>
      </w:r>
      <w:r>
        <w:rPr>
          <w:rStyle w:val="FootnoteReference"/>
        </w:rPr>
        <w:footnoteReference w:id="1653"/>
      </w:r>
      <w:r>
        <w:t xml:space="preserve"> published books against it, the two chief of which were Celsus and Porphyry. These wrote books against the Christian religion with a great deal of virulence and contempt, much after the manner that the deists of the present age do oppose and ridicule Christianity. Something of their writings yet remains. As great enemies and despisers as they were of the Christian religion, yet they never denied the facts recorded of Christ and his apostles in the New Testament, the miracles that they</w:t>
      </w:r>
    </w:p>
    <w:p>
      <w:pPr>
        <w:pStyle w:val="SourcePage"/>
      </w:pPr>
      <w:r>
        <w:t xml:space="preserve">[p. 389]</w:t>
      </w:r>
    </w:p>
    <w:p>
      <w:pPr>
        <w:pStyle w:val="BodyText"/>
      </w:pPr>
      <w:r>
        <w:t xml:space="preserve">wrought and the like, but allowed 'em. They lived too near the times wherein these miracles were wrought to deny 'em, for they were so publicly done, and so late, that none, neither Jews nor heathens, in those days appeared to deny 'em, but laid 'em to the power of magic.</w:t>
      </w:r>
    </w:p>
    <w:p>
      <w:pPr>
        <w:pStyle w:val="BodyText"/>
      </w:pPr>
      <w:r>
        <w:t xml:space="preserve">2.</w:t>
      </w:r>
      <w:r>
        <w:rPr>
          <w:rStyle w:val="FootnoteReference"/>
        </w:rPr>
        <w:footnoteReference w:id="1654"/>
      </w:r>
      <w:r>
        <w:t xml:space="preserve"> The authority of the Roman empire improved all their strength, time after time, to persecute entirely, if possible, to root out Christianity. This they did in</w:t>
      </w:r>
      <w:r>
        <w:rPr>
          <w:rStyle w:val="FootnoteReference"/>
        </w:rPr>
        <w:footnoteReference w:id="1655"/>
      </w:r>
      <w:r>
        <w:t xml:space="preserve"> ten successive general persecutions. We have heretofore observed that Christ came into the world when the strength of heathen dominion and authority was the greatest that ever it was under the Roman monarchy, the greatest and strongest human monarchy that ever was on earth. All the strength of this monarchy was employed for a long time to oppose and persecute the Christian church, and if possible to destroy it in ten successive attempts, which are called the ten heathen persecutions that were before Constantine.</w:t>
      </w:r>
    </w:p>
    <w:p>
      <w:pPr>
        <w:pStyle w:val="BodyText"/>
      </w:pPr>
      <w:r>
        <w:t xml:space="preserve">The first of these, which was the persecution under Nero, was a little before the destruction of Jerusalem in which the apostle Peter was crucified and the apostle Paul beheaded soon after he wrote his second epistle to Timothy. When he wrote that epistle he was a prisoner at Rome under Nero and was soon after he wrote it beheaded, agreeable to what he says in the 2 Timothy 4:6–7, "I am now ready to be offered, and the time of my departure is at hand. I fought a good fight, I have finished [my course, I have kept the faith]."</w:t>
      </w:r>
      <w:r>
        <w:rPr>
          <w:rStyle w:val="FootnoteReference"/>
        </w:rPr>
        <w:footnoteReference w:id="1656"/>
      </w:r>
      <w:r>
        <w:t xml:space="preserve"> And there were many thousands of other Christians slain in that persecution.</w:t>
      </w:r>
    </w:p>
    <w:p>
      <w:pPr>
        <w:pStyle w:val="BodyText"/>
      </w:pPr>
      <w:r>
        <w:t xml:space="preserve">The other nine persecutions were all after</w:t>
      </w:r>
      <w:r>
        <w:rPr>
          <w:rStyle w:val="FootnoteReference"/>
        </w:rPr>
        <w:footnoteReference w:id="1657"/>
      </w:r>
      <w:r>
        <w:t xml:space="preserve"> the destruction of Jerusalem. Some of these were very terrible indeed, and far exceeded the first persecution under Nero. One emperor after another set himself with the utmost rage to root out the Christian church from the earth, that there should not be so much as [the] name of Christian left in the world. And thousands and millions were they that were put to cruel deaths in these persecutions, for they spared neither sex nor age but killed 'em up as fast as they could.</w:t>
      </w:r>
      <w:r>
        <w:rPr>
          <w:rStyle w:val="FootnoteReference"/>
        </w:rPr>
        <w:footnoteReference w:id="1658"/>
      </w:r>
      <w:r>
        <w:t xml:space="preserve"> Under the second</w:t>
      </w:r>
    </w:p>
    <w:p>
      <w:pPr>
        <w:pStyle w:val="SourcePage"/>
      </w:pPr>
      <w:r>
        <w:t xml:space="preserve">[p. 390]</w:t>
      </w:r>
    </w:p>
    <w:p>
      <w:pPr>
        <w:pStyle w:val="BodyText"/>
      </w:pPr>
      <w:r>
        <w:t xml:space="preserve">general persecution, that which was next after the destruction of Jerusalem, the apostle John was banished in his old age to the isle of Patmos, where he had those visions that he has given an account of in the Revelation.</w:t>
      </w:r>
      <w:r>
        <w:rPr>
          <w:rStyle w:val="FootnoteReference"/>
        </w:rPr>
        <w:footnoteReference w:id="1659"/>
      </w:r>
      <w:r>
        <w:t xml:space="preserve"> Under that persecution it was reckoned that about forty thousand suffered martyrdom, which yet was nothing to what were put to death under some succeeding persecutions. Ten thousand suffered that one kind of</w:t>
      </w:r>
      <w:r>
        <w:rPr>
          <w:rStyle w:val="FootnoteReference"/>
        </w:rPr>
        <w:footnoteReference w:id="1660"/>
      </w:r>
      <w:r>
        <w:t xml:space="preserve"> cruel death, crucifixion, in the third persecution under the emperor Adrian. Under the fourth persecution, which began about the year of Christ 162, many suffered martyrdom in England, the land of our forefathers, where Christianity had been planted very early and, as is supposed, in the days of the apostles. And in the latter persecutions the Roman emperors, being vexed at the frustrations of their predecessors who were not able to extirpate Christianity or hinder its progress, were enraged to be the more violent in their attempts.</w:t>
      </w:r>
    </w:p>
    <w:p>
      <w:pPr>
        <w:pStyle w:val="BodyText"/>
      </w:pPr>
      <w:r>
        <w:t xml:space="preserve">Thus great parts of the first three hundred years after Christ was spent in violent and cruel persecutions of the church of God by the Roman power. Satan was very unwilling to let go his hold of so great a part of the world, and every way the chief part of it, as the countries contained in the Roman empire were that he had had the quiet possession</w:t>
      </w:r>
      <w:r>
        <w:rPr>
          <w:rStyle w:val="FootnoteReference"/>
        </w:rPr>
        <w:footnoteReference w:id="1661"/>
      </w:r>
      <w:r>
        <w:t xml:space="preserve"> of for so many ages. And therefore when he saw it going so fast out of his hands, he bestirred himself to his utmost; all hell was, as it were, raised against it to oppose it with its utmost power. Satan thus exerting himself by the power of the heathen Roman empire is called the great red dragon in Scripture, having seven heads and ten horns, fighting against the woman clothed with the sun, in the Revelation 12</w:t>
      </w:r>
      <w:r>
        <w:rPr>
          <w:rStyle w:val="FootnoteReference"/>
        </w:rPr>
        <w:footnoteReference w:id="1662"/>
      </w:r>
      <w:r>
        <w:t xml:space="preserve"> of Revelation. And the terrible conflict there was between the church of Christ and the powers of the heathen empire before Constantine's time is there in verse seven represented by the war between Michael and his angels, and the dragon and his angels, "And there was war in heaven: Michael and his angels fought."</w:t>
      </w:r>
    </w:p>
    <w:p>
      <w:pPr>
        <w:pStyle w:val="BodyText"/>
      </w:pPr>
      <w:r>
        <w:t xml:space="preserve">2.</w:t>
      </w:r>
      <w:r>
        <w:rPr>
          <w:rStyle w:val="FootnoteReference"/>
        </w:rPr>
        <w:footnoteReference w:id="1663"/>
      </w:r>
      <w:r>
        <w:t xml:space="preserve"> I would take notice what success the gospel had in the world before Constantine's time, notwithstanding all this opposition. Though the learning and power of the Roman empire were so great, and both</w:t>
      </w:r>
    </w:p>
    <w:p>
      <w:pPr>
        <w:pStyle w:val="SourcePage"/>
      </w:pPr>
      <w:r>
        <w:t xml:space="preserve">[p. 391]</w:t>
      </w:r>
    </w:p>
    <w:p>
      <w:pPr>
        <w:pStyle w:val="BodyText"/>
      </w:pPr>
      <w:r>
        <w:t xml:space="preserve">were employed</w:t>
      </w:r>
      <w:r>
        <w:rPr>
          <w:rStyle w:val="FootnoteReference"/>
        </w:rPr>
        <w:footnoteReference w:id="1664"/>
      </w:r>
      <w:r>
        <w:t xml:space="preserve"> to the utmost against Christianity to put a stop to it and to root it out for so long a time, and in so many repeated attempts, yet all was in vain; they could neither root it out nor put a stop to it. But still in spite of all that they could do, the kingdom of Christ wonderfully prevailed, and Satan's heathen kingdom moldered and consumed away before it, agreeable to the words of the text, "The moth shall eat them up like a garment and the worm [shall eat them like wool]."</w:t>
      </w:r>
      <w:r>
        <w:rPr>
          <w:rStyle w:val="FootnoteReference"/>
        </w:rPr>
        <w:footnoteReference w:id="1665"/>
      </w:r>
    </w:p>
    <w:p>
      <w:pPr>
        <w:pStyle w:val="BodyText"/>
      </w:pPr>
      <w:r>
        <w:t xml:space="preserve">And it was very observable that, for the most part, the more they persecuted the church, the more it increased; insomuch that it became a common saying, "the blood of the martyrs is the seed of the church."</w:t>
      </w:r>
      <w:r>
        <w:rPr>
          <w:rStyle w:val="FootnoteReference"/>
        </w:rPr>
        <w:footnoteReference w:id="1666"/>
      </w:r>
      <w:r>
        <w:t xml:space="preserve"> Herein the church of Christ proved to be like a palm tree, of which tree it is remarked, that the greater weight is laid upon it or hung on its branches, the more it grows and flourishes; on which account, probably, the church is compared to a palm tree in Canticles 7:7, "This thy stature [is like to a palm tree]." Justin Martyr, an eminent father in the Christian church who lived in the age next</w:t>
      </w:r>
      <w:r>
        <w:rPr>
          <w:rStyle w:val="FootnoteReference"/>
        </w:rPr>
        <w:footnoteReference w:id="1667"/>
      </w:r>
      <w:r>
        <w:t xml:space="preserve"> after the apostles, in some writings of his that are still extant, says that in his days there was no part of mankind, whether Greeks or barbarians, or by what name soever they were called, even the most rude and unpolished nations, where prayers and thanksgivings were not made to the great creator of the world through the name of the crucified Jesus.</w:t>
      </w:r>
      <w:r>
        <w:rPr>
          <w:rStyle w:val="FootnoteReference"/>
        </w:rPr>
        <w:footnoteReference w:id="1668"/>
      </w:r>
    </w:p>
    <w:p>
      <w:pPr>
        <w:pStyle w:val="BodyText"/>
      </w:pPr>
      <w:r>
        <w:t xml:space="preserve">Tertullian, another eminent father in the Christian church who lived in the beginning of the following age, in some of his writings that yet remain,</w:t>
      </w:r>
      <w:r>
        <w:rPr>
          <w:rStyle w:val="FootnoteReference"/>
        </w:rPr>
        <w:footnoteReference w:id="1669"/>
      </w:r>
      <w:r>
        <w:t xml:space="preserve"> sets forth how that in his day the Christian religion had extended itself to the utmost bounds of the then known world, among which he reckons Britain, the country of our forefathers; and</w:t>
      </w:r>
    </w:p>
    <w:p>
      <w:pPr>
        <w:pStyle w:val="SourcePage"/>
      </w:pPr>
      <w:r>
        <w:t xml:space="preserve">[p. 392]</w:t>
      </w:r>
    </w:p>
    <w:p>
      <w:pPr>
        <w:pStyle w:val="BodyText"/>
      </w:pPr>
      <w:r>
        <w:t xml:space="preserve">thence demonstrates that the kingdom of Christ was then more extensive than any of the four great monarchies. And moreover says that, though Christians be as strangers of no long standing, yet they had filled all places of the Roman dominion, their cities, islands,</w:t>
      </w:r>
      <w:r>
        <w:rPr>
          <w:rStyle w:val="FootnoteReference"/>
        </w:rPr>
        <w:footnoteReference w:id="1670"/>
      </w:r>
      <w:r>
        <w:t xml:space="preserve"> castles, corporations, councils, armies, tribes; the palace, senate and courts of judicature; only they had left to those heathen their temples. And that if they should all agree to retire out of the Roman empire, the world would be amazed at the solitude and desolation that would ensue upon it there would be so few left, and that the Christians were enough to be able easily to defend themselves if they were disposed to rise up in arms against the heathen magistrates.</w:t>
      </w:r>
      <w:r>
        <w:rPr>
          <w:rStyle w:val="FootnoteReference"/>
        </w:rPr>
        <w:footnoteReference w:id="1671"/>
      </w:r>
      <w:r>
        <w:t xml:space="preserve"> And Pliny, an heathen author that lived in those days, says multitudes of each sex, every age and quality were become Christians, this superstition, says he, having infected and overrun not the city only, but towns and countries, the temple and sacrifices being generally desolate and forsaken.</w:t>
      </w:r>
      <w:r>
        <w:rPr>
          <w:rStyle w:val="FootnoteReference"/>
        </w:rPr>
        <w:footnoteReference w:id="1672"/>
      </w:r>
    </w:p>
    <w:p>
      <w:pPr>
        <w:pStyle w:val="BodyText"/>
      </w:pPr>
      <w:r>
        <w:t xml:space="preserve">And it was remarked by both heathen and Christian writers in those days that the famous heathen oracles in their temples where princes and others for many past ages had been wont to inquire and to receive answers with an audible voice from their gods, which were indeed</w:t>
      </w:r>
      <w:r>
        <w:rPr>
          <w:rStyle w:val="FootnoteReference"/>
        </w:rPr>
        <w:footnoteReference w:id="1673"/>
      </w:r>
      <w:r>
        <w:t xml:space="preserve"> answers from the devil, I say, those oracles were now silenced and struck dumb, and gave no more answers. And particularly the oracle at Delphos, which was the most famous heathen oracle in the whole world, which both Greeks and Romans used to consult, began to cease to give any answers even from the birth of Christ. And the false deity that was then worshipped there, that used to give answers from his oracle in that temple, being once inquired of why he did not now give answers as he used to do, he made this reply as Pindar an heathen author that lived in those times, gives an account. There is an Hebrew boy, says he, who is king of the gods, that has commanded me to leave this house, and to be gone to hell, and therefore you are to expect no more answers.</w:t>
      </w:r>
      <w:r>
        <w:rPr>
          <w:rStyle w:val="FootnoteReference"/>
        </w:rPr>
        <w:footnoteReference w:id="1674"/>
      </w:r>
    </w:p>
    <w:p>
      <w:pPr>
        <w:pStyle w:val="BodyText"/>
      </w:pPr>
      <w:r>
        <w:t xml:space="preserve">And many of the heathen writers that lived about that time speak</w:t>
      </w:r>
    </w:p>
    <w:p>
      <w:pPr>
        <w:pStyle w:val="SourcePage"/>
      </w:pPr>
      <w:r>
        <w:t xml:space="preserve">[p. 393]</w:t>
      </w:r>
    </w:p>
    <w:p>
      <w:pPr>
        <w:pStyle w:val="BodyText"/>
      </w:pPr>
      <w:r>
        <w:t xml:space="preserve">much of the oracles being silenced as a thing they wondered at, not knowing what the cause should be. Plutarch, an heathen writer of these times, wrote a particular treatise about it that is still extant.</w:t>
      </w:r>
      <w:r>
        <w:rPr>
          <w:rStyle w:val="FootnoteReference"/>
        </w:rPr>
        <w:footnoteReference w:id="1675"/>
      </w:r>
      <w:r>
        <w:t xml:space="preserve"> And Porphyry, one of the heathen writers before mentioned that opposed the Christian religion in his writings, has these words, "'Tis no wonder if the city for so many years has been overrun with sickness, Esculapius and the rest of the gods having withdrawn their converse with men; for since Jesus began to be worshipped no man has received any public help or benefit by the gods."</w:t>
      </w:r>
      <w:r>
        <w:rPr>
          <w:rStyle w:val="FootnoteReference"/>
        </w:rPr>
        <w:footnoteReference w:id="1676"/>
      </w:r>
    </w:p>
    <w:p>
      <w:pPr>
        <w:pStyle w:val="BodyText"/>
      </w:pPr>
      <w:r>
        <w:t xml:space="preserve">Thus did the kingdom of Christ prevail against the kingdom of Satan. I now proceed,</w:t>
      </w:r>
    </w:p>
    <w:p>
      <w:pPr>
        <w:pStyle w:val="BodyText"/>
      </w:pPr>
      <w:r>
        <w:t xml:space="preserve">3.</w:t>
      </w:r>
      <w:r>
        <w:rPr>
          <w:rStyle w:val="FootnoteReference"/>
        </w:rPr>
        <w:footnoteReference w:id="1677"/>
      </w:r>
      <w:r>
        <w:t xml:space="preserve"> to take notice of the peculiar circumstances of tribulation and distress just before Constantine the Great came to the throne. This distress they suffered under the tenth heathen persecution which, as it was the last, so it was by far the heaviest and most severe. The church before this, after the ceasing of the ninth persecution, had enjoyed a time of godliness for about forty years together, but abusing their liberty, began to grow cold and lifeless in religion, and carnal, and contentions prevailed among 'em, by which they offended God to suffer this</w:t>
      </w:r>
      <w:r>
        <w:rPr>
          <w:rStyle w:val="FootnoteReference"/>
        </w:rPr>
        <w:footnoteReference w:id="1678"/>
      </w:r>
      <w:r>
        <w:t xml:space="preserve"> dreadful trial to come upon them. And Satan having lost ground so much, notwithstanding all his attempts, now seemed to bestir himself with more than ordinary rage.</w:t>
      </w:r>
    </w:p>
    <w:p>
      <w:pPr>
        <w:pStyle w:val="BodyText"/>
      </w:pPr>
      <w:r>
        <w:t xml:space="preserve">Those that were then in authority set themselves with utmost violence to root out Christianity by burning all Bibles and destroying all Christians; and therefore they did not stand to try or convict them in a formal process, but fell upon them wherever they could, sometimes setting fire to houses where multitudes of them were assembled and burning them all together, and at other times slaughtering multitudes together so that sometimes their persecutors were quite spent with the labor of killing and tormenting them. And in some populous places so many were slain together that the blood ran like torrents.</w:t>
      </w:r>
      <w:r>
        <w:rPr>
          <w:rStyle w:val="FootnoteReference"/>
        </w:rPr>
        <w:footnoteReference w:id="1679"/>
      </w:r>
      <w:r>
        <w:t xml:space="preserve"> 'Tis related that seventeen thousand martyrs were slain in one month's space, and that during the continuance of it in the province</w:t>
      </w:r>
    </w:p>
    <w:p>
      <w:pPr>
        <w:pStyle w:val="SourcePage"/>
      </w:pPr>
      <w:r>
        <w:t xml:space="preserve">[p. 394]</w:t>
      </w:r>
    </w:p>
    <w:p>
      <w:pPr>
        <w:pStyle w:val="BodyText"/>
      </w:pPr>
      <w:r>
        <w:t xml:space="preserve">of Egypt alone, no less [than] 144,000 Christians died by the violence of their persecutors, besides 700,000 that died through the fatigues of banishment or the public works to which they were condemned.</w:t>
      </w:r>
      <w:r>
        <w:rPr>
          <w:rStyle w:val="FootnoteReference"/>
        </w:rPr>
        <w:footnoteReference w:id="1680"/>
      </w:r>
      <w:r>
        <w:t xml:space="preserve"> And this persecution lasted for ten years together, and as it [was] exceeding all foregoing persecutions in the number of martyrs, so it [was] exceeding them in the variety and multitude of inventions of torture and cruelty.</w:t>
      </w:r>
      <w:r>
        <w:rPr>
          <w:rStyle w:val="FootnoteReference"/>
        </w:rPr>
        <w:footnoteReference w:id="1681"/>
      </w:r>
      <w:r>
        <w:t xml:space="preserve"> Some authors that lived at that time and saw them, say they are innumerable and exceed all account and expression.</w:t>
      </w:r>
      <w:r>
        <w:rPr>
          <w:rStyle w:val="FootnoteReference"/>
        </w:rPr>
        <w:footnoteReference w:id="1682"/>
      </w:r>
    </w:p>
    <w:p>
      <w:pPr>
        <w:pStyle w:val="BodyText"/>
      </w:pPr>
      <w:r>
        <w:t xml:space="preserve">This persecution in particular was very severe in England; this persecution is foretold in the Revelation 6:9–10 ["And when he had opened the fifth seal, I saw under the altar the souls of them that were slain for the word of God, and for the testimony which they held: And they cried with a loud voice, saying, How long, O Lord, holy and true, dost thou not judge and avenge our blood on them that dwell on the earth?"]. And at the ten years' end, during which this persecution continued, the heathen persecutors thought they had finished their work and boasted that they had utterly destroyed the name and superstition of the Christians, and had restored and propagated the worship of the gods.</w:t>
      </w:r>
    </w:p>
    <w:p>
      <w:pPr>
        <w:pStyle w:val="BodyText"/>
      </w:pPr>
      <w:r>
        <w:t xml:space="preserve">Thus it was the darkest time with the Christian church just before the break of day. They were brought to the greatest extremity just before God appeared for their glorious deliverance, as the bondage of the Israelites ‹was the most severe before their deliverance›. Their enemies thought they had swallowed</w:t>
      </w:r>
      <w:r>
        <w:rPr>
          <w:rStyle w:val="FootnoteReference"/>
        </w:rPr>
        <w:footnoteReference w:id="1683"/>
      </w:r>
      <w:r>
        <w:t xml:space="preserve"> them up just before their near destruction, as it was with Pharaoh and his hosts when they had hemmed in the Israelites at the Red ‹Sea›.</w:t>
      </w:r>
    </w:p>
    <w:p>
      <w:pPr>
        <w:pStyle w:val="BodyText"/>
      </w:pPr>
      <w:r>
        <w:t xml:space="preserve">I come now in the,</w:t>
      </w:r>
    </w:p>
    <w:p>
      <w:pPr>
        <w:pStyle w:val="BodyText"/>
      </w:pPr>
      <w:r>
        <w:t xml:space="preserve">4.</w:t>
      </w:r>
      <w:r>
        <w:rPr>
          <w:rStyle w:val="FootnoteReference"/>
        </w:rPr>
        <w:footnoteReference w:id="1684"/>
      </w:r>
      <w:r>
        <w:t xml:space="preserve"> [fourth] place to the great revolution that was in the world in Constantine's [time], which was in many respects like Christ's appearing in the clouds of heaven to save his people and judge the world.</w:t>
      </w:r>
      <w:r>
        <w:rPr>
          <w:rStyle w:val="FootnoteReference"/>
        </w:rPr>
        <w:footnoteReference w:id="1685"/>
      </w:r>
      <w:r>
        <w:t xml:space="preserve"> The people of Rome being weary of the government of those tyrants that they had lately been subject to, sent to Constantine, who</w:t>
      </w:r>
    </w:p>
    <w:p>
      <w:pPr>
        <w:pStyle w:val="SourcePage"/>
      </w:pPr>
      <w:r>
        <w:t xml:space="preserve">[p. 395]</w:t>
      </w:r>
    </w:p>
    <w:p>
      <w:pPr>
        <w:pStyle w:val="BodyText"/>
      </w:pPr>
      <w:r>
        <w:t xml:space="preserve">was then in the city of York in England, to come and take the throne. And being, as is said, encouraged by a vision of a pillar of light in the heavens in the form of a cross in the sight of his whole army with this inscription, </w:t>
      </w:r>
      <w:r>
        <w:rPr>
          <w:i/>
          <w:iCs/>
        </w:rPr>
        <w:t xml:space="preserve">Touto nikei</w:t>
      </w:r>
      <w:r>
        <w:t xml:space="preserve">, "In this you shall overcome," and the night following, by Christ's appearing to him in a dream with the same cross in his hand, [he]</w:t>
      </w:r>
      <w:r>
        <w:rPr>
          <w:rStyle w:val="FootnoteReference"/>
        </w:rPr>
        <w:footnoteReference w:id="1686"/>
      </w:r>
      <w:r>
        <w:t xml:space="preserve"> directed him to make a cross like that to be his royal standard, that his army might fight under that banner, and assured him he should overcome.</w:t>
      </w:r>
      <w:r>
        <w:rPr>
          <w:rStyle w:val="FootnoteReference"/>
        </w:rPr>
        <w:footnoteReference w:id="1687"/>
      </w:r>
      <w:r>
        <w:t xml:space="preserve"> And accordingly he did, and overcame his enemies, and took possession of the imperial throne, and embraced the Christian religion, and was the first Christian emperor that ever reigned. He came to the throne about 320 years after Christ. There are several things that I would take notice of that attended or immediately followed Constantine's coming to the throne.</w:t>
      </w:r>
    </w:p>
    <w:p>
      <w:pPr>
        <w:pStyle w:val="BodyText"/>
      </w:pPr>
      <w:r>
        <w:t xml:space="preserve">1.</w:t>
      </w:r>
      <w:r>
        <w:rPr>
          <w:rStyle w:val="FootnoteReference"/>
        </w:rPr>
        <w:footnoteReference w:id="1688"/>
      </w:r>
      <w:r>
        <w:t xml:space="preserve"> The Christian church was thereby wholly delivered from persecution. Now the day of her deliverance came after such a dark night of affliction; weeping had continued for a night, but now deliverance and joy came in the morning.</w:t>
      </w:r>
      <w:r>
        <w:rPr>
          <w:rStyle w:val="FootnoteReference"/>
        </w:rPr>
        <w:footnoteReference w:id="1689"/>
      </w:r>
      <w:r>
        <w:t xml:space="preserve"> Now God appeared to judge his people, and repented himself for his servants when he saw that their power was gone, and that there were none shut up or left. Christians had no persecutions now to fear, for their persecutors now were all put down, and their rulers were some of them Christians like themselves.</w:t>
      </w:r>
    </w:p>
    <w:p>
      <w:pPr>
        <w:pStyle w:val="BodyText"/>
      </w:pPr>
      <w:r>
        <w:t xml:space="preserve">2.</w:t>
      </w:r>
      <w:r>
        <w:rPr>
          <w:rStyle w:val="FootnoteReference"/>
        </w:rPr>
        <w:footnoteReference w:id="1690"/>
      </w:r>
      <w:r>
        <w:t xml:space="preserve"> God now appeared to execute terrible judgments on their enemies. Remarkable are the accounts which history gives of the</w:t>
      </w:r>
      <w:r>
        <w:rPr>
          <w:rStyle w:val="FootnoteReference"/>
        </w:rPr>
        <w:footnoteReference w:id="1691"/>
      </w:r>
      <w:r>
        <w:t xml:space="preserve"> fearful ends to which the heathen emperors, and princes, and generals, and captains, and other great men came, destroying themselves in persecuting the Christians—dying miserably, one anend</w:t>
      </w:r>
      <w:r>
        <w:rPr>
          <w:rStyle w:val="FootnoteReference"/>
        </w:rPr>
        <w:footnoteReference w:id="1692"/>
      </w:r>
      <w:r>
        <w:t xml:space="preserve"> another, under exquisite torments of body and horrors of conscience, with a most visible hand of God upon them. So that what now came to pass might very fitly be compared to their hiding themselves in the dens and rocks of the mountains.</w:t>
      </w:r>
      <w:r>
        <w:rPr>
          <w:rStyle w:val="FootnoteReference"/>
        </w:rPr>
        <w:footnoteReference w:id="1693"/>
      </w:r>
      <w:r>
        <w:t xml:space="preserve"> And,</w:t>
      </w:r>
    </w:p>
    <w:p>
      <w:pPr>
        <w:pStyle w:val="BodyText"/>
      </w:pPr>
      <w:r>
        <w:t xml:space="preserve">3.</w:t>
      </w:r>
      <w:r>
        <w:rPr>
          <w:rStyle w:val="FootnoteReference"/>
        </w:rPr>
        <w:footnoteReference w:id="1694"/>
      </w:r>
      <w:r>
        <w:t xml:space="preserve"> Heathenism now was in a great measure abolished throughout</w:t>
      </w:r>
    </w:p>
    <w:p>
      <w:pPr>
        <w:pStyle w:val="SourcePage"/>
      </w:pPr>
      <w:r>
        <w:t xml:space="preserve">[p. 396]</w:t>
      </w:r>
    </w:p>
    <w:p>
      <w:pPr>
        <w:pStyle w:val="BodyText"/>
      </w:pPr>
      <w:r>
        <w:t xml:space="preserve">the Roman empire. Images were now destroyed, and heathen temples pulled down, as images of gold and silver were melted down and coined into money. Some of the choicest of their idols, which were curiously wrought, were brought to Constantinople, and there drawn with ropes up and down the streets for the people to behold and laugh at. The heathen priests were dispersed and banished.</w:t>
      </w:r>
    </w:p>
    <w:p>
      <w:pPr>
        <w:pStyle w:val="BodyText"/>
      </w:pPr>
      <w:r>
        <w:rPr>
          <w:rStyle w:val="FootnoteReference"/>
        </w:rPr>
        <w:footnoteReference w:id="1695"/>
      </w:r>
      <w:r>
        <w:t xml:space="preserve">4.</w:t>
      </w:r>
      <w:r>
        <w:rPr>
          <w:rStyle w:val="FootnoteReference"/>
        </w:rPr>
        <w:footnoteReference w:id="1696"/>
      </w:r>
      <w:r>
        <w:t xml:space="preserve"> The Christian church was brought into a state of great peace and prosperity. Now all heathen magistrates were put down, and only Christians were advanced to places of authority, all over the empire. They had now Christian presidents, Christian governors, Christian judges and officers, instead of their old heathenish ones. Constantine set up himself to put honor on Christian bishops or ministers, and to build and adorn churches; and now large and beautiful Christian churches were erected in all parts of the world instead of the old heathen temples.</w:t>
      </w:r>
    </w:p>
    <w:p>
      <w:pPr>
        <w:pStyle w:val="BodyText"/>
      </w:pPr>
      <w:r>
        <w:t xml:space="preserve">This revolution was the greatest revolution and change in the face of things on the face of the earth that ever came to pass in the world since the flood. Satan, the prince of darkness, that king and god of the heathen world, was cast out; the roaring lion was conquered by the Lamb of God in the strongest dominion that ever he had, even the Roman empire. This was a remarkable accomplishment of that [prophecy in]</w:t>
      </w:r>
      <w:r>
        <w:rPr>
          <w:rStyle w:val="FootnoteReference"/>
        </w:rPr>
        <w:footnoteReference w:id="1697"/>
      </w:r>
      <w:r>
        <w:t xml:space="preserve"> Jeremiah 10:11, "The gods that have not made these heavens [and the earth, even they shall perish from the earth, and from under these heavens]."</w:t>
      </w:r>
      <w:r>
        <w:rPr>
          <w:rStyle w:val="FootnoteReference"/>
        </w:rPr>
        <w:footnoteReference w:id="1698"/>
      </w:r>
      <w:r>
        <w:t xml:space="preserve"> The chief part of the world was now brought utterly to cast off their own darkness, their old gods and old religion that they had been used to much longer than any of their histories give any account of. They had been accustomed to ‹worship the old gods› so long that they knew not any beginning of it. It was formerly spoken of as a thing unknown for a nation to change their gods, Jeremiah 2:10–11 ["Consider diligently, and see if there be such a thing. Hath a nation changed their gods, which are yet no gods?"]. But now the greater part of the nations of the known world were brought to cast off all their former gods; that multitude of gods that they worshipped were all forsaken, thousands of them were cast away for the worship of the true God and Christ the only savior. And there was a most remarkable fulfillment of that in Isaiah 2:17–18 ["And the loftiness</w:t>
      </w:r>
    </w:p>
    <w:p>
      <w:pPr>
        <w:pStyle w:val="SourcePage"/>
      </w:pPr>
      <w:r>
        <w:t xml:space="preserve">[p. 397]</w:t>
      </w:r>
    </w:p>
    <w:p>
      <w:pPr>
        <w:pStyle w:val="BodyText"/>
      </w:pPr>
      <w:r>
        <w:t xml:space="preserve">of man shall be bowed down, and the haughtiness of men shall be made low: and the Lord alone shall be exalted in that day. And the idols he shall utterly abolish"]. And since that, it</w:t>
      </w:r>
      <w:r>
        <w:rPr>
          <w:rStyle w:val="FootnoteReference"/>
        </w:rPr>
        <w:footnoteReference w:id="1699"/>
      </w:r>
      <w:r>
        <w:t xml:space="preserve"> was come to pass that those gods that were once so famous in the world, Jupiter and [others],</w:t>
      </w:r>
      <w:r>
        <w:rPr>
          <w:rStyle w:val="FootnoteReference"/>
        </w:rPr>
        <w:footnoteReference w:id="1700"/>
      </w:r>
      <w:r>
        <w:t xml:space="preserve"> are only heard of as things that were of old; they have no temples, no altars, no worshippers, and han't had for many hundred years.</w:t>
      </w:r>
    </w:p>
    <w:p>
      <w:pPr>
        <w:pStyle w:val="BodyText"/>
      </w:pPr>
      <w:r>
        <w:t xml:space="preserve">Now is come the end of the old heathen world in the principal part of it, the Roman empire. And this great revolution and change of the state of the world, with that terrible destruction of the great men that had been persecutors, is compared in the Revelation 6 to the end of the world, and Christ coming to judgment in Revelation 6:12, and is what is most immediately signified under the sixth seal that followed; the souls under the altar crying to God ["How long, O Lord, holy and true, dost thou not judge and avenge our blood on them that dwell on the earth?"].</w:t>
      </w:r>
      <w:r>
        <w:rPr>
          <w:rStyle w:val="FootnoteReference"/>
        </w:rPr>
        <w:footnoteReference w:id="1701"/>
      </w:r>
      <w:r>
        <w:t xml:space="preserve"> That by the general consent of divines and expositors has respect to this, [the downfall of the Roman empire],</w:t>
      </w:r>
      <w:r>
        <w:rPr>
          <w:rStyle w:val="FootnoteReference"/>
        </w:rPr>
        <w:footnoteReference w:id="1702"/>
      </w:r>
      <w:r>
        <w:t xml:space="preserve"> though it more remotely has respect to the day of judgment, or this was a type of it. The day of judgment can't be</w:t>
      </w:r>
      <w:r>
        <w:rPr>
          <w:rStyle w:val="FootnoteReference"/>
        </w:rPr>
        <w:footnoteReference w:id="1703"/>
      </w:r>
      <w:r>
        <w:t xml:space="preserve"> what is immediately intended, because [we have an account of] many events under [the] seventh seal.</w:t>
      </w:r>
      <w:r>
        <w:rPr>
          <w:rStyle w:val="FootnoteReference"/>
        </w:rPr>
        <w:footnoteReference w:id="1704"/>
      </w:r>
      <w:r>
        <w:t xml:space="preserve"> What came to pass now is also represented by the devil's being cast out of heaven to the earth.</w:t>
      </w:r>
      <w:r>
        <w:rPr>
          <w:rStyle w:val="FootnoteReference"/>
        </w:rPr>
        <w:footnoteReference w:id="1705"/>
      </w:r>
    </w:p>
    <w:p>
      <w:pPr>
        <w:pStyle w:val="BodyText"/>
      </w:pPr>
      <w:r>
        <w:t xml:space="preserve">In his great strength and glory in that mighty Roman empire he had, as it were, exalted his throne up to heaven; but now he fell like lightning from heaven and [was]</w:t>
      </w:r>
      <w:r>
        <w:rPr>
          <w:rStyle w:val="FootnoteReference"/>
        </w:rPr>
        <w:footnoteReference w:id="1706"/>
      </w:r>
      <w:r>
        <w:t xml:space="preserve"> confined to the earth. His kingdom continued to be meaner and more barbarous nations, lower parts of the world of mankind. This is the event foretold in Revelation 12:9 etc. ["And the great dragon was cast out, that old serpent, called the Devil, and Satan, which deceiveth the whole world: he was cast out into the earth, and his angels were cast out with him"].</w:t>
      </w:r>
      <w:r>
        <w:rPr>
          <w:rStyle w:val="FootnoteReference"/>
        </w:rPr>
        <w:footnoteReference w:id="1707"/>
      </w:r>
      <w:r>
        <w:t xml:space="preserve"> Satan tempted Christ</w:t>
      </w:r>
    </w:p>
    <w:p>
      <w:pPr>
        <w:pStyle w:val="SourcePage"/>
      </w:pPr>
      <w:r>
        <w:t xml:space="preserve">[p. 398]</w:t>
      </w:r>
    </w:p>
    <w:p>
      <w:pPr>
        <w:pStyle w:val="BodyText"/>
      </w:pPr>
      <w:r>
        <w:t xml:space="preserve">and promised him to give him the glory of the kingdoms of the world, [but now he gives it to him even against his will].</w:t>
      </w:r>
      <w:r>
        <w:rPr>
          <w:rStyle w:val="FootnoteReference"/>
        </w:rPr>
        <w:footnoteReference w:id="1708"/>
      </w:r>
    </w:p>
    <w:p>
      <w:pPr>
        <w:pStyle w:val="BodyText"/>
      </w:pPr>
      <w:r>
        <w:t xml:space="preserve">This was a glorious fulfillment of that promise that God made to his Son that we have an account of in Isaiah 53:12, "Therefore will I divide [him a portion with the great, and he shall divide the Spoil with the strong]; because he hath poured out his soul [unto death: and] he was numbered with the transgressors; [and he bare the sin of many,] and made [intercession for the transgressors]."</w:t>
      </w:r>
      <w:r>
        <w:rPr>
          <w:rStyle w:val="FootnoteReference"/>
        </w:rPr>
        <w:footnoteReference w:id="1709"/>
      </w:r>
      <w:r>
        <w:t xml:space="preserve"> This was a great fulfillment of the prophecies of the Old Testament concerning the glorious times of the gospel, and particularly of the prophecies of Daniel. Now the kingdom of heaven is come in a glorious degree; it pleased the Lord God of heaven to set up a kingdom on the ruins of the kingdom of Satan. And such success is here of the purchase of Christ's redemption, and such honor does the Father put upon him for the disgrace he suffered when on earth. And now we see to what a height that glorious building is erected that [had] been building ever since the fall.</w:t>
      </w:r>
    </w:p>
    <w:p>
      <w:pPr>
        <w:pStyle w:val="BodyText"/>
      </w:pPr>
      <w:r>
        <w:t xml:space="preserve">I will conclude at this time with an improvement of what has been said concerning the success of the gospel from Christ's ascension hitherto. And this I shall do but in this one,</w:t>
      </w:r>
    </w:p>
    <w:p>
      <w:pPr>
        <w:pStyle w:val="BodyText"/>
      </w:pPr>
      <w:r>
        <w:t xml:space="preserve">INFERENCE</w:t>
      </w:r>
      <w:r>
        <w:rPr>
          <w:rStyle w:val="FootnoteReference"/>
        </w:rPr>
        <w:footnoteReference w:id="1710"/>
      </w:r>
    </w:p>
    <w:p>
      <w:pPr>
        <w:pStyle w:val="BodyText"/>
      </w:pPr>
      <w:r>
        <w:t xml:space="preserve">From what has been said we have a strong argument of the truth of the Christian religion, and that the gospel of Jesus Christ really is from God. This wonderful success of it that has been spoken of, and with those circumstances</w:t>
      </w:r>
      <w:r>
        <w:rPr>
          <w:rStyle w:val="FootnoteReference"/>
        </w:rPr>
        <w:footnoteReference w:id="1711"/>
      </w:r>
      <w:r>
        <w:t xml:space="preserve"> that have been mentioned, are a strong argument of it. It argues in several ways.</w:t>
      </w:r>
    </w:p>
    <w:p>
      <w:pPr>
        <w:pStyle w:val="BodyText"/>
      </w:pPr>
      <w:r>
        <w:t xml:space="preserve">1.</w:t>
      </w:r>
      <w:r>
        <w:rPr>
          <w:rStyle w:val="FootnoteReference"/>
        </w:rPr>
        <w:footnoteReference w:id="1712"/>
      </w:r>
      <w:r>
        <w:t xml:space="preserve"> We may gather from what has been said that 'tis the gospel, and that only, that has actually been the means to bring the world to the knowledge of the true God. That they were no gods that the heathen worshipped, and that there is but only one God, is what we, now the gospel has so taught us, can see to be truth by our own</w:t>
      </w:r>
    </w:p>
    <w:p>
      <w:pPr>
        <w:pStyle w:val="SourcePage"/>
      </w:pPr>
      <w:r>
        <w:t xml:space="preserve">[p. 399]</w:t>
      </w:r>
    </w:p>
    <w:p>
      <w:pPr>
        <w:pStyle w:val="BodyText"/>
      </w:pPr>
      <w:r>
        <w:t xml:space="preserve">reason; it is plainly agreeable to the light of nature, it can be easily shown by reason to be demonstrably true.</w:t>
      </w:r>
    </w:p>
    <w:p>
      <w:pPr>
        <w:pStyle w:val="BodyText"/>
      </w:pPr>
      <w:r>
        <w:t xml:space="preserve">The very deists themselves acknowledge that it can be demonstrated that there is one God, and but one, that only he has made and governs the world. But now 'tis evident that 'tis the gospel, and that only, that has actually been the means to bring the knowledge of this truth. It was not the instruction of philosophers; they tried in vain, "The world by their wisdom knew not God."</w:t>
      </w:r>
      <w:r>
        <w:rPr>
          <w:rStyle w:val="FootnoteReference"/>
        </w:rPr>
        <w:footnoteReference w:id="1713"/>
      </w:r>
      <w:r>
        <w:t xml:space="preserve"> Till the gospel and the holy Scriptures came abroad in the world, all the world lay in ignorance</w:t>
      </w:r>
      <w:r>
        <w:rPr>
          <w:rStyle w:val="FootnoteReference"/>
        </w:rPr>
        <w:footnoteReference w:id="1714"/>
      </w:r>
      <w:r>
        <w:t xml:space="preserve"> of the true God, and in the greatest darkness with respect to things of religion, embracing the absurdest opinions and practices that all civilized nations now acknowledge to be crazy foolishness. And so they lay one age after another, and nothing proved effectual to enlighten 'em; the light of nature, and their own reason, and all the wisdom of learned men, signified nothing till the Scriptures came. But when they came abroad, they were successful to bring the world to an acknowledgment of the one only true God, and to worship and serve him.</w:t>
      </w:r>
    </w:p>
    <w:p>
      <w:pPr>
        <w:pStyle w:val="BodyText"/>
      </w:pPr>
      <w:r>
        <w:t xml:space="preserve">And hence it is that all that part of the world that now does own one only true God, Christians, Jews, Mohammedans, and even deists too, originally came by the knowledge of him. 'Tis owing to this [they] ben't in general at this day left in heathenish darkness. They have it all, first of all either immediately from the Scriptures or by tradition from their fathers, who had it first from the Scriptures. And doubtless those</w:t>
      </w:r>
      <w:r>
        <w:rPr>
          <w:rStyle w:val="FootnoteReference"/>
        </w:rPr>
        <w:footnoteReference w:id="1715"/>
      </w:r>
      <w:r>
        <w:t xml:space="preserve"> that now despise the Scriptures, and boast of the strength of their own reason as being sufficient to ‹bring them to knowledge of the one true God›, if the gospel had never have come abroad in the world to enlighten their forefathers, would have been as sottish and brutish idolaters, as the world in general was before the gospel came abroad. The Mohammedans that own but one true God at first borrowed the notion from the Scriptures, for the first Mohammedans were those that had been educated in the Christian religion and apostatized from it.</w:t>
      </w:r>
    </w:p>
    <w:p>
      <w:pPr>
        <w:pStyle w:val="BodyText"/>
      </w:pPr>
      <w:r>
        <w:t xml:space="preserve">And this is evidential, that the Scriptures are that which God designed as the proper means to bring the world to the knowledge of himself, rather than human reason or anything else. For 'tis unreasonable to suppose that God should so order it that another means,</w:t>
      </w:r>
    </w:p>
    <w:p>
      <w:pPr>
        <w:pStyle w:val="SourcePage"/>
      </w:pPr>
      <w:r>
        <w:t xml:space="preserve">[p. 400]</w:t>
      </w:r>
    </w:p>
    <w:p>
      <w:pPr>
        <w:pStyle w:val="BodyText"/>
      </w:pPr>
      <w:r>
        <w:t xml:space="preserve">which God never designed as the proper means for obtaining this effect, and that only, should actually obtain; and that after human reason that he designed as the proper means have been used for a great many ages without any effect. I say, 'tis inconceivable to suppose this.</w:t>
      </w:r>
      <w:r>
        <w:rPr>
          <w:rStyle w:val="FootnoteReference"/>
        </w:rPr>
        <w:footnoteReference w:id="1716"/>
      </w:r>
      <w:r>
        <w:t xml:space="preserve"> If the Scriptures ben't the Word of God, then it is false, nothing else but darkness and delusion, yea and the greatest delusion that ever was. Now is it reasonable to suppose that God in his providence would make use of falsehood and delusion, and that only, to bring the world to the knowledge of himself, and no part of it ever brought to the knowledge of him any other way?</w:t>
      </w:r>
    </w:p>
    <w:p>
      <w:pPr>
        <w:pStyle w:val="BodyText"/>
      </w:pPr>
      <w:r>
        <w:t xml:space="preserve">2.</w:t>
      </w:r>
      <w:r>
        <w:rPr>
          <w:rStyle w:val="FootnoteReference"/>
        </w:rPr>
        <w:footnoteReference w:id="1717"/>
      </w:r>
      <w:r>
        <w:t xml:space="preserve"> The gospel's prevailing as it did against such powerful opposition plainly shows the hand of God. The Roman government</w:t>
      </w:r>
      <w:r>
        <w:rPr>
          <w:rStyle w:val="FootnoteReference"/>
        </w:rPr>
        <w:footnoteReference w:id="1718"/>
      </w:r>
      <w:r>
        <w:t xml:space="preserve"> that did so violently set itself to harden themselves to hinder the success of the gospel, and to subdue the church of Christ, was the most powerful human government that ever was in the world. And not only so, but they seemed, as it were, to have the church in their hands. The Christians were mostly their subjects, under their command, and never took up arms to defend themselves; they did not gather together and stand in their own defense. [They] armed themselves with nothing but patience and suchlike spiritual weapons;</w:t>
      </w:r>
      <w:r>
        <w:rPr>
          <w:rStyle w:val="FootnoteReference"/>
        </w:rPr>
        <w:footnoteReference w:id="1719"/>
      </w:r>
      <w:r>
        <w:t xml:space="preserve"> and yet this mighty power could not conquer 'em, but on the contrary,</w:t>
      </w:r>
      <w:r>
        <w:rPr>
          <w:rStyle w:val="FootnoteReference"/>
        </w:rPr>
        <w:footnoteReference w:id="1720"/>
      </w:r>
      <w:r>
        <w:t xml:space="preserve"> Christianity conquered them. The Roman empire had subdued the world, they had subdued many mighty and potent kingdoms, they subdued the Grecian monarchy when they were not their subjects and made the utmost resistance; and yet they could not conquer the church that was in their hands, but on the contrary were subdued and finally triumphed over by the church.</w:t>
      </w:r>
    </w:p>
    <w:p>
      <w:pPr>
        <w:pStyle w:val="BodyText"/>
      </w:pPr>
      <w:r>
        <w:t xml:space="preserve">3.</w:t>
      </w:r>
      <w:r>
        <w:rPr>
          <w:rStyle w:val="FootnoteReference"/>
        </w:rPr>
        <w:footnoteReference w:id="1721"/>
      </w:r>
      <w:r>
        <w:t xml:space="preserve"> No other sufficient cause can possibly be assigned of this prevailing of the gospel, but only God's own power. There is nothing else can be described as the reason of it but [this]. There was certainly some reason. Here was a great and wonderful effect, the most remarkable</w:t>
      </w:r>
    </w:p>
    <w:p>
      <w:pPr>
        <w:pStyle w:val="SourcePage"/>
      </w:pPr>
      <w:r>
        <w:t xml:space="preserve">[p. 401]</w:t>
      </w:r>
    </w:p>
    <w:p>
      <w:pPr>
        <w:pStyle w:val="BodyText"/>
      </w:pPr>
      <w:r>
        <w:t xml:space="preserve">change that ever was on the face of the world of mankind since the flood, and this effect was not without some cause.</w:t>
      </w:r>
    </w:p>
    <w:p>
      <w:pPr>
        <w:pStyle w:val="BodyText"/>
      </w:pPr>
      <w:r>
        <w:t xml:space="preserve">Now what other cause can be directed but only the divine power? It was [not]</w:t>
      </w:r>
      <w:r>
        <w:rPr>
          <w:rStyle w:val="FootnoteReference"/>
        </w:rPr>
        <w:footnoteReference w:id="1722"/>
      </w:r>
      <w:r>
        <w:t xml:space="preserve"> the outward strength of the instruments ‹employed in preaching the gospel›, at first only</w:t>
      </w:r>
      <w:r>
        <w:rPr>
          <w:rStyle w:val="FootnoteReference"/>
        </w:rPr>
        <w:footnoteReference w:id="1723"/>
      </w:r>
      <w:r>
        <w:t xml:space="preserve"> by a few fishermen, without power. It was not their craft and policy; ‹they were› illiterate. It was [not] the agreeableness of the story they had to tell to the nations and provinces of mankind; it was no pleasant fable, [but] a crucified God and savior. It was [not] the agreeableness of their doctrines to the dispositions of men.</w:t>
      </w:r>
    </w:p>
    <w:p>
      <w:pPr>
        <w:pStyle w:val="BodyText"/>
      </w:pPr>
      <w:r>
        <w:t xml:space="preserve">If the power of God was what was exercised to cause the gospel to prevail, then the gospel is his word; for surely God don't use his almighty power to promote a mere imposture and delusion.</w:t>
      </w:r>
    </w:p>
    <w:p>
      <w:pPr>
        <w:pStyle w:val="BodyText"/>
      </w:pPr>
      <w:r>
        <w:t xml:space="preserve">4.</w:t>
      </w:r>
      <w:r>
        <w:rPr>
          <w:rStyle w:val="FootnoteReference"/>
        </w:rPr>
        <w:footnoteReference w:id="1724"/>
      </w:r>
      <w:r>
        <w:t xml:space="preserve"> This success is agreeable to what Christ and his apostles foretold. "The gates of hell shall not prevail [against it]," Matthew 16:18; </w:t>
      </w:r>
      <w:r>
        <w:rPr>
          <w:rStyle w:val="FootnoteReference"/>
        </w:rPr>
        <w:footnoteReference w:id="1725"/>
      </w:r>
      <w:r>
        <w:t xml:space="preserve"> John 12:24, "Verily, verily, [I say unto you,] Except a corn of wheat fall into the ground and die, [it abideth alone: but if it die, it bringeth forth much fruit]." And John 12:31–32, "Now is the judgment of this world: [now shall the prince of this world be cast out]. And I, if I be lifted up from the earth, will draw all men [unto me]." John 16:8, "When the comforter is come he will convince the world [of sin, and of righteousness, and] of judgment … because [the prince of this world is judged]."</w:t>
      </w:r>
      <w:r>
        <w:rPr>
          <w:rStyle w:val="FootnoteReference"/>
        </w:rPr>
        <w:footnoteReference w:id="1726"/>
      </w:r>
    </w:p>
    <w:p>
      <w:pPr>
        <w:pStyle w:val="BodyText"/>
      </w:pPr>
      <w:r>
        <w:t xml:space="preserve">And so the apostle Paul in the 1 Corinthians 1, declares how that after "the world by wisdom [knew not God, it pleased God by the foolishness of preaching to save them that believe]."</w:t>
      </w:r>
      <w:r>
        <w:rPr>
          <w:rStyle w:val="FootnoteReference"/>
        </w:rPr>
        <w:footnoteReference w:id="1727"/>
      </w:r>
      <w:r>
        <w:t xml:space="preserve"> "God chose the foolish things of the world to confound the wise; and … weak things [of the world to confound the things which are mighty]; And base things [of the world, and things which are despised, … yea, and things which are not, to bring to nought things that are]."</w:t>
      </w:r>
      <w:r>
        <w:rPr>
          <w:rStyle w:val="FootnoteReference"/>
        </w:rPr>
        <w:footnoteReference w:id="1728"/>
      </w:r>
      <w:r>
        <w:t xml:space="preserve"> If any foretell a thing very likely in itself to come to pass from causes that can be foreseen, 'tis no great argument. But [when a thing is</w:t>
      </w:r>
    </w:p>
    <w:p>
      <w:pPr>
        <w:pStyle w:val="SourcePage"/>
      </w:pPr>
      <w:r>
        <w:t xml:space="preserve">[p. 402]</w:t>
      </w:r>
    </w:p>
    <w:p>
      <w:pPr>
        <w:pStyle w:val="BodyText"/>
      </w:pPr>
      <w:r>
        <w:t xml:space="preserve">foretold that is very unlikely to come to pass, and yet it does, this is a strong argument the prediction was from God].</w:t>
      </w:r>
      <w:r>
        <w:rPr>
          <w:rStyle w:val="FootnoteReference"/>
        </w:rPr>
        <w:footnoteReference w:id="1729"/>
      </w:r>
    </w:p>
    <w:p>
      <w:pPr>
        <w:pStyle w:val="BodyText"/>
      </w:pPr>
      <w:r>
        <w:t xml:space="preserve">Thus the consideration of the manner of the propagation and success of the gospel during these times that have been spoken of afford great evidence that the Scriptures are the word of God.</w:t>
      </w:r>
    </w:p>
    <w:p>
      <w:pPr>
        <w:pStyle w:val="SourcePage"/>
      </w:pPr>
      <w:r>
        <w:t xml:space="preserve">[p. 403]</w:t>
      </w:r>
    </w:p>
    <w:p>
      <w:pPr>
        <w:pStyle w:val="Heading2"/>
      </w:pPr>
      <w:bookmarkStart w:name="heading_no_9_sermon_twenty_two" w:id="73"/>
      <w:r>
        <w:t xml:space="preserve">No. 9: SERMON TWENTY-TWO</w:t>
      </w:r>
      <w:bookmarkEnd w:id="73"/>
    </w:p>
    <w:p>
      <w:pPr>
        <w:pStyle w:val="BodyText"/>
      </w:pPr>
      <w:r>
        <w:rPr>
          <w:rStyle w:val="FootnoteReference"/>
        </w:rPr>
        <w:footnoteReference w:id="1730"/>
      </w:r>
    </w:p>
    <w:p>
      <w:pPr>
        <w:pStyle w:val="BodyText"/>
      </w:pPr>
      <w:r>
        <w:rPr>
          <w:rStyle w:val="FootnoteReference"/>
        </w:rPr>
        <w:footnoteReference w:id="1731"/>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1" w:id="74"/>
      <w:r>
        <w:t xml:space="preserve">DOCTRINE</w:t>
      </w:r>
      <w:bookmarkEnd w:id="74"/>
    </w:p>
    <w:p>
      <w:pPr>
        <w:pStyle w:val="BlockQuote"/>
      </w:pPr>
      <w:r>
        <w:rPr>
          <w:i/>
          <w:iCs/>
        </w:rPr>
        <w:t xml:space="preserve">[The Work of Redemption is a work that God carries on from the fall of man to the end of the world.]</w:t>
      </w:r>
    </w:p>
    <w:p>
      <w:pPr>
        <w:pStyle w:val="BodyText"/>
      </w:pPr>
      <w:r>
        <w:t xml:space="preserve">To show how that kind of success of Christ's purchase that is obtained by the bestowment of grace on the elect church, which success is carried on from the resurrection till that first appearing [of Christ on the clouds of heaven],</w:t>
      </w:r>
      <w:r>
        <w:rPr>
          <w:rStyle w:val="FootnoteReference"/>
        </w:rPr>
        <w:footnoteReference w:id="1732"/>
      </w:r>
      <w:r>
        <w:t xml:space="preserve"> I say, to show how this success is carried thus, it was proposed to consider, 1. how it is carried on during the church's remaining in its afflicted state, which is from Christ's resurrection to the fall of Antichrist, and then 2. how in its state of peace and prosperity. To show how 'tis carried on through the time of its affliction and persecution from the resurrection ‹to the fall of Antichrist› it was proposed, 1. to show how it is carried ‹on› from Christ's resurrection to the destruction of Jerusalem, when ended the first great dispensation that is compared [to Christ's coming to judgment],</w:t>
      </w:r>
      <w:r>
        <w:rPr>
          <w:rStyle w:val="FootnoteReference"/>
        </w:rPr>
        <w:footnoteReference w:id="1733"/>
      </w:r>
      <w:r>
        <w:t xml:space="preserve"> 2. how ‹it is carried from that time till the destruction of the heathen empire in Constantine's time›, and then 3. [how it is carried on till the fall of Antichrist and the destruction of Satan's visible kingdom on earth].</w:t>
      </w:r>
      <w:r>
        <w:rPr>
          <w:rStyle w:val="FootnoteReference"/>
        </w:rPr>
        <w:footnoteReference w:id="1734"/>
      </w:r>
    </w:p>
    <w:p>
      <w:pPr>
        <w:pStyle w:val="SourcePage"/>
      </w:pPr>
      <w:r>
        <w:t xml:space="preserve">[p. 404]</w:t>
      </w:r>
    </w:p>
    <w:p>
      <w:pPr>
        <w:pStyle w:val="BodyText"/>
      </w:pPr>
      <w:r>
        <w:t xml:space="preserve">[We] have gone through with the two former. I come now to show in the,</w:t>
      </w:r>
    </w:p>
    <w:p>
      <w:pPr>
        <w:pStyle w:val="BodyText"/>
      </w:pPr>
      <w:r>
        <w:t xml:space="preserve">third</w:t>
      </w:r>
      <w:r>
        <w:rPr>
          <w:rStyle w:val="FootnoteReference"/>
        </w:rPr>
        <w:footnoteReference w:id="1735"/>
      </w:r>
      <w:r>
        <w:t xml:space="preserve"> place, how the success of Christ's redemption is carried on from the time</w:t>
      </w:r>
      <w:r>
        <w:rPr>
          <w:rStyle w:val="FootnoteReference"/>
        </w:rPr>
        <w:footnoteReference w:id="1736"/>
      </w:r>
      <w:r>
        <w:t xml:space="preserve"> of the overthrow of the heathen Roman empire in the time of Constantine the Great till the fall of Antichrist and the destruction of Satan's visible kingdom on earth, which is the third great dispensation that is in Scripture compared to Christ's coming to judgment. This is a period wherein many great and wonderful things are brought to pass. Herein is contained a long series of wonders of divine providence towards the Christian church. The bigger part of the book of Revelation is taken up in foretelling the events of this period.</w:t>
      </w:r>
      <w:r>
        <w:rPr>
          <w:rStyle w:val="FootnoteReference"/>
        </w:rPr>
        <w:footnoteReference w:id="1737"/>
      </w:r>
      <w:r>
        <w:t xml:space="preserve"> The success of Christ's purchase of redemption in this period appears mainly at the close of it when Antichrist comes to fall, when will be a far more glorious success of the gospel than ever was before, and that long series of events that are before seem to be only to prepare the way for it.</w:t>
      </w:r>
    </w:p>
    <w:p>
      <w:pPr>
        <w:pStyle w:val="BodyText"/>
      </w:pPr>
      <w:r>
        <w:t xml:space="preserve">And in order to a more clear view of the great works of God in accomplishing the success of Christ's redemption and our seeing the glory of them, it will be needful as we have done in the foregoing periods to consider not only the success itself but the opposition that was made to it, and the great works of Satan in this period against the church and kingdom of Christ. And therefore in taking a view of this period I would take notice of events that may be referred to either of these heads, viz. either to the head of Satan's opposition to the success of Christ's redemption, or to the head of the success of Christ's redemption; and</w:t>
      </w:r>
      <w:r>
        <w:rPr>
          <w:rStyle w:val="FootnoteReference"/>
        </w:rPr>
        <w:footnoteReference w:id="1738"/>
      </w:r>
      <w:r>
        <w:t xml:space="preserve"> for the more orderly considering of the events of this period I would divide it into these four parts. The first reaching from the destruction of the heathen empire to the rise of Antichrist, the second from the rise of Antichrist to the Reformation in Luther's time, the third from thence to the present time, the fourth from the present time till Antichrist is fallen and Satan's visible kingdom on earth destroyed.</w:t>
      </w:r>
    </w:p>
    <w:p>
      <w:pPr>
        <w:pStyle w:val="BodyText"/>
      </w:pPr>
      <w:r>
        <w:rPr>
          <w:rStyle w:val="FootnoteReference"/>
        </w:rPr>
        <w:footnoteReference w:id="1739"/>
      </w:r>
      <w:r>
        <w:t xml:space="preserve">I.</w:t>
      </w:r>
      <w:r>
        <w:rPr>
          <w:rStyle w:val="FootnoteReference"/>
        </w:rPr>
        <w:footnoteReference w:id="1740"/>
      </w:r>
      <w:r>
        <w:t xml:space="preserve"> I would consider the events of the first part of this period reaching ‹from the destruction of the heathen empire to the rise of</w:t>
      </w:r>
    </w:p>
    <w:p>
      <w:pPr>
        <w:pStyle w:val="SourcePage"/>
      </w:pPr>
      <w:r>
        <w:t xml:space="preserve">[p. 405]</w:t>
      </w:r>
    </w:p>
    <w:p>
      <w:pPr>
        <w:pStyle w:val="BodyText"/>
      </w:pPr>
      <w:r>
        <w:t xml:space="preserve">Antichrist›. And here, 1. I would take notice of the opposition Satan made in this space ‹of time to the church›, 2. the success that the gospel had in it.</w:t>
      </w:r>
    </w:p>
    <w:p>
      <w:pPr>
        <w:pStyle w:val="BodyText"/>
      </w:pPr>
      <w:r>
        <w:t xml:space="preserve">1.</w:t>
      </w:r>
      <w:r>
        <w:rPr>
          <w:rStyle w:val="FootnoteReference"/>
        </w:rPr>
        <w:footnoteReference w:id="1741"/>
      </w:r>
      <w:r>
        <w:t xml:space="preserve"> The opposition—Satan being cast out of his old heathen empire. The great red dragon, after so sore a conflict that he had had with Michael and his angels for the bigger part of three hundred years, being at last entirely routed and vanquished, so that no place was found any more in heaven for him, but he was cast down, as it were, from heaven to the earth; yet don't give over his opposition to the woman, the church of Christ, concerning which all this conflict had been. But he is still in a rage and renews his attempts, and has recourse to new devices against the church. The serpent after he is cast out of heaven to the earth, he casts out of his mouth water as a flood to cause the woman to be carried away of the flood.</w:t>
      </w:r>
      <w:r>
        <w:rPr>
          <w:rStyle w:val="FootnoteReference"/>
        </w:rPr>
        <w:footnoteReference w:id="1742"/>
      </w:r>
      <w:r>
        <w:t xml:space="preserve"> The opposition that he made to the church of Christ before the rise of Antichrist was</w:t>
      </w:r>
      <w:r>
        <w:rPr>
          <w:rStyle w:val="FootnoteReference"/>
        </w:rPr>
        <w:footnoteReference w:id="1743"/>
      </w:r>
      <w:r>
        <w:t xml:space="preserve"> principally of two sorts; it was either by corrupting the church of Christ with heresies or by new endeavors to restore paganism.</w:t>
      </w:r>
    </w:p>
    <w:p>
      <w:pPr>
        <w:pStyle w:val="BodyText"/>
      </w:pPr>
      <w:r>
        <w:t xml:space="preserve">1.</w:t>
      </w:r>
      <w:r>
        <w:rPr>
          <w:rStyle w:val="FootnoteReference"/>
        </w:rPr>
        <w:footnoteReference w:id="1744"/>
      </w:r>
      <w:r>
        <w:t xml:space="preserve"> I would observe that after the destruction of the heathen Roman empire, Satan infested the church with heresies, though there had been so glorious a work of God in delivering his church from her heathen persecutors and overthrowing the heathen empire, yet the day of the church's travail not being ended and the set time of her prosperity not being yet come, as being what was to succeed the fall of Antichrist. The peace and prosperity that the church enjoyed in Constantine's time was but very short; it was a respite that gave the church a time of a peace or silence, as it were, for half an hour, wherein the four angels held the four winds from blowing till the servants of God could be sealed on their foreheads.</w:t>
      </w:r>
      <w:r>
        <w:rPr>
          <w:rStyle w:val="FootnoteReference"/>
        </w:rPr>
        <w:footnoteReference w:id="1745"/>
      </w:r>
      <w:r>
        <w:t xml:space="preserve"> But the church soon began to be greatly infested with heresies, the two principal and those that did most infest the church were</w:t>
      </w:r>
      <w:r>
        <w:rPr>
          <w:rStyle w:val="FootnoteReference"/>
        </w:rPr>
        <w:footnoteReference w:id="1746"/>
      </w:r>
      <w:r>
        <w:t xml:space="preserve"> the Arian and Pelagian heresies.</w:t>
      </w:r>
    </w:p>
    <w:p>
      <w:pPr>
        <w:pStyle w:val="BodyText"/>
      </w:pPr>
      <w:r>
        <w:t xml:space="preserve">The Arians began soon after Constantine came to the throne. They denied the doctrine of the Trinity, and denied the divinity of Christ</w:t>
      </w:r>
    </w:p>
    <w:p>
      <w:pPr>
        <w:pStyle w:val="SourcePage"/>
      </w:pPr>
      <w:r>
        <w:t xml:space="preserve">[p. 406]</w:t>
      </w:r>
    </w:p>
    <w:p>
      <w:pPr>
        <w:pStyle w:val="BodyText"/>
      </w:pPr>
      <w:r>
        <w:t xml:space="preserve">and the Holy Ghost, and maintained that they were but mere creatures. This heresy increased more and more in the church, and prevailed like a flood that threatened to overflow all and entirely carry away the church of [God]; insomuch that before that age was out, that is, before the fourth century or hundred years after Christ was finished, the bigger part of the Christian world were become Arians. There were some emperors, the successors of Constantine, that were Arians; so that the Arians being the prevailing party, and having the civil authority of their side, did raise a great persecution against the true church of Christ. So that this heresy might well be compared to a flood out of the mouth of the serpent, that threatened to overflow all and quite carry away the woman.</w:t>
      </w:r>
      <w:r>
        <w:rPr>
          <w:rStyle w:val="FootnoteReference"/>
        </w:rPr>
        <w:footnoteReference w:id="1747"/>
      </w:r>
    </w:p>
    <w:p>
      <w:pPr>
        <w:pStyle w:val="BodyText"/>
      </w:pPr>
      <w:r>
        <w:t xml:space="preserve">The Pelagian heresy arose in the beginning of the next century, or hundred years after</w:t>
      </w:r>
      <w:r>
        <w:rPr>
          <w:rStyle w:val="FootnoteReference"/>
        </w:rPr>
        <w:footnoteReference w:id="1748"/>
      </w:r>
      <w:r>
        <w:t xml:space="preserve"> Christ. It began by one Pelagius that was born in Britain; his British name was Morgan. He denied original sin, and held the power of free will, and denied the influence of the Spirit of God in conversion, and held many other things of like tendency; and this heresy did for a while greatly infest the church. Pelagius' principal antagonist that wrote in defense of the orthodox was St. Augustine.</w:t>
      </w:r>
    </w:p>
    <w:p>
      <w:pPr>
        <w:pStyle w:val="BodyText"/>
      </w:pPr>
      <w:r>
        <w:t xml:space="preserve">2.</w:t>
      </w:r>
      <w:r>
        <w:rPr>
          <w:rStyle w:val="FootnoteReference"/>
        </w:rPr>
        <w:footnoteReference w:id="1749"/>
      </w:r>
      <w:r>
        <w:t xml:space="preserve"> The other kind of opposition that Satan made against the church was in his endeavors to restore paganism.</w:t>
      </w:r>
    </w:p>
    <w:p>
      <w:pPr>
        <w:pStyle w:val="BodyText"/>
      </w:pPr>
      <w:r>
        <w:t xml:space="preserve">1.</w:t>
      </w:r>
      <w:r>
        <w:rPr>
          <w:rStyle w:val="FootnoteReference"/>
        </w:rPr>
        <w:footnoteReference w:id="1750"/>
      </w:r>
      <w:r>
        <w:t xml:space="preserve"> And his first attempt to restore paganism in the Roman empire was by Julian the Apostate. Julian was nephew to Constantine the Great, and became emperor. When Constantine died, he left his empire to his three sons, and [when] they were dead, Julian the Apostate reigned in their stead. He had been a professed Christian; but he fell from Christianity and turned pagan, and</w:t>
      </w:r>
      <w:r>
        <w:rPr>
          <w:rStyle w:val="FootnoteReference"/>
        </w:rPr>
        <w:footnoteReference w:id="1751"/>
      </w:r>
      <w:r>
        <w:t xml:space="preserve"> therefore is called "the apostate." When he came to the throne he used his utmost endeavors to overthrow the Christian church, and set up paganism again in the empire. He put down the Christian magistrates and set up heathen ones in their room, he rebuilt the heathen temples and set up the heathen worship in the empire, and became a most notorious persecutor of the Christians, and as is thought, against his light, he used</w:t>
      </w:r>
    </w:p>
    <w:p>
      <w:pPr>
        <w:pStyle w:val="SourcePage"/>
      </w:pPr>
      <w:r>
        <w:t xml:space="preserve">[p. 407]</w:t>
      </w:r>
    </w:p>
    <w:p>
      <w:pPr>
        <w:pStyle w:val="BodyText"/>
      </w:pPr>
      <w:r>
        <w:t xml:space="preserve">to call Christ by way of reproach, the Galilean. He was killed with a lance in his wars with the Persians. When he see he was mortally wounded, he took an handful of his blood and threw it up towards heaven, crying out, "Thou hast overcome, O Galilean."</w:t>
      </w:r>
      <w:r>
        <w:rPr>
          <w:rStyle w:val="FootnoteReference"/>
        </w:rPr>
        <w:footnoteReference w:id="1752"/>
      </w:r>
      <w:r>
        <w:t xml:space="preserve"> And he is commonly thought by divines to have committed the unpardonable sin.</w:t>
      </w:r>
      <w:r>
        <w:rPr>
          <w:rStyle w:val="FootnoteReference"/>
        </w:rPr>
        <w:footnoteReference w:id="1753"/>
      </w:r>
    </w:p>
    <w:p>
      <w:pPr>
        <w:pStyle w:val="BodyText"/>
      </w:pPr>
      <w:r>
        <w:rPr>
          <w:rStyle w:val="FootnoteReference"/>
        </w:rPr>
        <w:footnoteReference w:id="1754"/>
      </w:r>
      <w:r>
        <w:t xml:space="preserve">2.</w:t>
      </w:r>
      <w:r>
        <w:rPr>
          <w:rStyle w:val="FootnoteReference"/>
        </w:rPr>
        <w:footnoteReference w:id="1755"/>
      </w:r>
      <w:r>
        <w:t xml:space="preserve"> Another way that Satan attempted to restore paganism in the Roman empire was by the invasions and conquests of heathen nations. For in this space of time that we are upon the Goths and Vandals and other heathen barbarous nations that dwelt in the north of the Roman empire invaded the empire and obtained great conquests, and even overran the empire, and in the fifth century, or five hundred years after Christ, took the city of Rome. And they finally subdued and conquered ad took possession of the western empire, as it was called, or the western half of the empire, and divided it amongst them, divided it into ten kingdoms with which began the ten horns of the beasts; for we are told the ten horns are ten kings [who] shall rise in the latter part of the Roman empire.</w:t>
      </w:r>
      <w:r>
        <w:rPr>
          <w:rStyle w:val="FootnoteReference"/>
        </w:rPr>
        <w:footnoteReference w:id="1756"/>
      </w:r>
      <w:r>
        <w:t xml:space="preserve"> These are also represented by the ten toes of Nebuchadnezzar's image.</w:t>
      </w:r>
      <w:r>
        <w:rPr>
          <w:rStyle w:val="FootnoteReference"/>
        </w:rPr>
        <w:footnoteReference w:id="1757"/>
      </w:r>
      <w:r>
        <w:t xml:space="preserve"> The invasion and conquests of these heathen nations</w:t>
      </w:r>
      <w:r>
        <w:rPr>
          <w:rStyle w:val="FootnoteReference"/>
        </w:rPr>
        <w:footnoteReference w:id="1758"/>
      </w:r>
      <w:r>
        <w:t xml:space="preserve"> are supposed to be foretold in the eighth chaper of Revelation, in what came to pass under the sounding of the our first trumpets.</w:t>
      </w:r>
      <w:r>
        <w:rPr>
          <w:rStyle w:val="FootnoteReference"/>
        </w:rPr>
        <w:footnoteReference w:id="1759"/>
      </w:r>
    </w:p>
    <w:p>
      <w:pPr>
        <w:pStyle w:val="BodyText"/>
      </w:pPr>
      <w:r>
        <w:t xml:space="preserve">Now these nations that now took possession of the western empire were heathens, so that by their means heathenism was again for a while restored after it had been rooted out.</w:t>
      </w:r>
    </w:p>
    <w:p>
      <w:pPr>
        <w:pStyle w:val="BodyText"/>
      </w:pPr>
      <w:r>
        <w:rPr>
          <w:rStyle w:val="FootnoteReference"/>
        </w:rPr>
        <w:footnoteReference w:id="1760"/>
      </w:r>
      <w:r>
        <w:t xml:space="preserve">So much for the opposition of Satan against ‹the church› during this space before the rise of Antichrist. I proceed,</w:t>
      </w:r>
    </w:p>
    <w:p>
      <w:pPr>
        <w:pStyle w:val="SourcePage"/>
      </w:pPr>
      <w:r>
        <w:t xml:space="preserve">[p. 408]</w:t>
      </w:r>
    </w:p>
    <w:p>
      <w:pPr>
        <w:pStyle w:val="BodyText"/>
      </w:pPr>
      <w:r>
        <w:t xml:space="preserve">2.</w:t>
      </w:r>
      <w:r>
        <w:rPr>
          <w:rStyle w:val="FootnoteReference"/>
        </w:rPr>
        <w:footnoteReference w:id="1761"/>
      </w:r>
      <w:r>
        <w:t xml:space="preserve"> to show what success there was of the gospel in this space notwithstanding</w:t>
      </w:r>
      <w:r>
        <w:rPr>
          <w:rStyle w:val="FootnoteReference"/>
        </w:rPr>
        <w:footnoteReference w:id="1762"/>
      </w:r>
      <w:r>
        <w:t xml:space="preserve"> this opposition. And here,</w:t>
      </w:r>
    </w:p>
    <w:p>
      <w:pPr>
        <w:pStyle w:val="BodyText"/>
      </w:pPr>
      <w:r>
        <w:t xml:space="preserve">1.</w:t>
      </w:r>
      <w:r>
        <w:rPr>
          <w:rStyle w:val="FootnoteReference"/>
        </w:rPr>
        <w:footnoteReference w:id="1763"/>
      </w:r>
      <w:r>
        <w:t xml:space="preserve"> I would observe that the opposition of Satan in these things was baffled. Though the dragon cast out of his mouth such a flood after the woman to carry her away, yet he could not attain his design; but the earth helped the woman, and opened her mouth, and swallowed up the flood that the dragon cast out of his mouth.</w:t>
      </w:r>
      <w:r>
        <w:rPr>
          <w:rStyle w:val="FootnoteReference"/>
        </w:rPr>
        <w:footnoteReference w:id="1764"/>
      </w:r>
      <w:r>
        <w:t xml:space="preserve"> These heresies that for a while so much prevailed, yet after a while dwindled away, and orthodoxy was again restored, and that attempt by Julian was baffled at his death.</w:t>
      </w:r>
      <w:r>
        <w:rPr>
          <w:rStyle w:val="FootnoteReference"/>
        </w:rPr>
        <w:footnoteReference w:id="1765"/>
      </w:r>
    </w:p>
    <w:p>
      <w:pPr>
        <w:pStyle w:val="BodyText"/>
      </w:pPr>
      <w:r>
        <w:t xml:space="preserve">2.</w:t>
      </w:r>
      <w:r>
        <w:rPr>
          <w:rStyle w:val="FootnoteReference"/>
        </w:rPr>
        <w:footnoteReference w:id="1766"/>
      </w:r>
      <w:r>
        <w:t xml:space="preserve"> The gospel during this space of time was further propagated amongst many barbarous heathen nations in the confines of the Roman empire. In Constantine's time there was a considerable propagation of the gospel in the East Indies, chiefly by the ministry of one Frumentius.</w:t>
      </w:r>
      <w:r>
        <w:rPr>
          <w:rStyle w:val="FootnoteReference"/>
        </w:rPr>
        <w:footnoteReference w:id="1767"/>
      </w:r>
      <w:r>
        <w:t xml:space="preserve"> Great numbers of the Iberians, a heathen people, were converted to Christianity by a Christian woman of eminent piety</w:t>
      </w:r>
      <w:r>
        <w:rPr>
          <w:rStyle w:val="FootnoteReference"/>
        </w:rPr>
        <w:footnoteReference w:id="1768"/>
      </w:r>
      <w:r>
        <w:t xml:space="preserve"> that they had taken captive. And the same account is given of several other barbarous nations that were at war with the Roman empire, that great numbers of them were brought to receive the gospel by teaching and example of captives that they had taken in war. And after this, about the year of Christ 372, the gospel was propagated among a barbarous people that dwelt in Arabia, as it was also among some of the northern nations, as particularly a prince of the country of the Goths about this time became Christian, and a great number of his people with him. Towards the latter end of this century, the gospel was further propagated among the Persians, and also the Scythians, a barbarous</w:t>
      </w:r>
    </w:p>
    <w:p>
      <w:pPr>
        <w:pStyle w:val="SourcePage"/>
      </w:pPr>
      <w:r>
        <w:t xml:space="preserve">[p. 409]</w:t>
      </w:r>
    </w:p>
    <w:p>
      <w:pPr>
        <w:pStyle w:val="BodyText"/>
      </w:pPr>
      <w:r>
        <w:t xml:space="preserve">people that the Apostle mentions, Colossians 3:11, "Barbarian, Scythian."</w:t>
      </w:r>
      <w:r>
        <w:rPr>
          <w:rStyle w:val="FootnoteReference"/>
        </w:rPr>
        <w:footnoteReference w:id="1769"/>
      </w:r>
      <w:r>
        <w:t xml:space="preserve"> And after this, about the year 430, there was a remarkable conversion of a heathen people called the Burgundians to the Christian faith. About the same time, the gospel began in this age to be propagated in Ireland, and the Irish that till then had been heathens, began to receive the Christian faith. About the same time, it was further propagated among some [of] the barbarous people in Scotland, and also some other places. In the next century to this, one Zathus, a heathen king that ruled over a people called the Colchians, was brought to renounce</w:t>
      </w:r>
      <w:r>
        <w:rPr>
          <w:rStyle w:val="FootnoteReference"/>
        </w:rPr>
        <w:footnoteReference w:id="1770"/>
      </w:r>
      <w:r>
        <w:t xml:space="preserve"> his heathenism and embrace the Christian religion.</w:t>
      </w:r>
      <w:r>
        <w:rPr>
          <w:rStyle w:val="FootnoteReference"/>
        </w:rPr>
        <w:footnoteReference w:id="1771"/>
      </w:r>
      <w:r>
        <w:t xml:space="preserve"> Several other barbarous nations are recorded to have renounced heathenism and embraced Christianity about this time, that I cannot stand to mention.</w:t>
      </w:r>
      <w:r>
        <w:rPr>
          <w:rStyle w:val="FootnoteReference"/>
        </w:rPr>
        <w:footnoteReference w:id="1772"/>
      </w:r>
    </w:p>
    <w:p>
      <w:pPr>
        <w:pStyle w:val="BodyText"/>
      </w:pPr>
      <w:r>
        <w:t xml:space="preserve">Thus I have briefly considered the principal events of providence that concern the success of the gospel of Christ from Constantine to the rise of Antichrist. I come now to the,</w:t>
      </w:r>
    </w:p>
    <w:p>
      <w:pPr>
        <w:pStyle w:val="BodyText"/>
      </w:pPr>
      <w:r>
        <w:rPr>
          <w:rStyle w:val="FootnoteReference"/>
        </w:rPr>
        <w:footnoteReference w:id="1773"/>
      </w:r>
      <w:r>
        <w:t xml:space="preserve">II.</w:t>
      </w:r>
      <w:r>
        <w:rPr>
          <w:rStyle w:val="FootnoteReference"/>
        </w:rPr>
        <w:footnoteReference w:id="1774"/>
      </w:r>
      <w:r>
        <w:t xml:space="preserve"> second part of the space of time from Constantine to the destruction of Antichrist, viz. that which reaches from the rise of Antichrist before the Reformation by Luther and others. And this is the darkest and most dismal day that ever the Christian church saw, and probably the darkest that ever it will see. The time of the church's affliction and persecution, as was observed before, is from Christ's resurrection till the destruction of Antichrist, excepting where the day is, as it were, shorted by some intermissions and times of respite, which God gives for the elect's sake. But this time, from the rise of</w:t>
      </w:r>
    </w:p>
    <w:p>
      <w:pPr>
        <w:pStyle w:val="SourcePage"/>
      </w:pPr>
      <w:r>
        <w:t xml:space="preserve">[p. 410]</w:t>
      </w:r>
    </w:p>
    <w:p>
      <w:pPr>
        <w:pStyle w:val="BodyText"/>
      </w:pPr>
      <w:r>
        <w:t xml:space="preserve">Antichrist till the Reformation, was a space wherein the Christian church was in its greatest depth of depression and its darkest time of all.</w:t>
      </w:r>
    </w:p>
    <w:p>
      <w:pPr>
        <w:pStyle w:val="BodyText"/>
      </w:pPr>
      <w:r>
        <w:t xml:space="preserve">The true church in this space was for many hundred years in a state of great obscurity, like the woman in the wilderness,</w:t>
      </w:r>
      <w:r>
        <w:rPr>
          <w:rStyle w:val="FootnoteReference"/>
        </w:rPr>
        <w:footnoteReference w:id="1775"/>
      </w:r>
      <w:r>
        <w:t xml:space="preserve"> indeed almost hid from sight and observation. In speaking of the events of this space of time I would, 1. take notice of the great machinations</w:t>
      </w:r>
      <w:r>
        <w:rPr>
          <w:rStyle w:val="FootnoteReference"/>
        </w:rPr>
        <w:footnoteReference w:id="1776"/>
      </w:r>
      <w:r>
        <w:t xml:space="preserve"> and works of the devil against the kingdom of Christ during this time, and 2. how the church of Christ was upheld during this time.</w:t>
      </w:r>
    </w:p>
    <w:p>
      <w:pPr>
        <w:pStyle w:val="BodyText"/>
      </w:pPr>
      <w:r>
        <w:t xml:space="preserve">1.</w:t>
      </w:r>
      <w:r>
        <w:rPr>
          <w:rStyle w:val="FootnoteReference"/>
        </w:rPr>
        <w:footnoteReference w:id="1777"/>
      </w:r>
      <w:r>
        <w:t xml:space="preserve"> I would take notice of the great works of the devil against the kingdom of Christ during this time. Satan had done great things against the Christian church before but had been baffled once and again. Michael and his angels had obtained a glorious victory. How terrible was his opposition during the continuance of the heathen empire, and how glorious was Christ's victory and triumph over him in Constantine's time. It pleased God now so to prepare the way for a yet more glorious victory over him, to suffer him to renew his strength, and to make his interests strong in the world, and do the utmost that his power and subtilty can help him to; and suffers him to have a long time to lay his scheme, and to establish his interest, and make his numbers strong; and suffers him to carry his designs a great</w:t>
      </w:r>
      <w:r>
        <w:rPr>
          <w:rStyle w:val="FootnoteReference"/>
        </w:rPr>
        <w:footnoteReference w:id="1778"/>
      </w:r>
      <w:r>
        <w:t xml:space="preserve"> length indeed, to the almost swallowing up his church, and to a high and proud and almost uncontrolled dominion in the world: a long time before Christ finally conquers and subdues and utterly ruins his visible kingdom on earth, as he will do in the time of the destruction of Antichrist; thus gloriously triumphing over him after he has done the utmost that his power and subtilty can extend to, and showing that he is above him after he has dealt most proudly and lifted himself highest of all.</w:t>
      </w:r>
    </w:p>
    <w:p>
      <w:pPr>
        <w:pStyle w:val="BodyText"/>
      </w:pPr>
      <w:r>
        <w:t xml:space="preserve">The two great works of the devil that he in this space of time wrought against the kingdom of Christ are his erecting his Antichristian and Mohammedan kingdoms, which have been and still are two kingdoms of great extent and strength, both together swallowing up the ancient Roman empire; the kingdom of Antichrist swallowing up the western empire, and Satan's Mohammedan kingdom the eastern empire. As the Scriptures in the book of Revelation represents it, 'tis</w:t>
      </w:r>
    </w:p>
    <w:p>
      <w:pPr>
        <w:pStyle w:val="SourcePage"/>
      </w:pPr>
      <w:r>
        <w:t xml:space="preserve">[p. 411]</w:t>
      </w:r>
    </w:p>
    <w:p>
      <w:pPr>
        <w:pStyle w:val="BodyText"/>
      </w:pPr>
      <w:r>
        <w:t xml:space="preserve">in the destruction of these that the glorious victory of Christ at the introduction</w:t>
      </w:r>
      <w:r>
        <w:rPr>
          <w:rStyle w:val="FootnoteReference"/>
        </w:rPr>
        <w:footnoteReference w:id="1779"/>
      </w:r>
      <w:r>
        <w:t xml:space="preserve"> of the glorious times of the church will mainly consist; and here let us briefly observe how Satan erects and maintains these and two great kingdoms of his in opposition to the kingdom of Christ. And,</w:t>
      </w:r>
    </w:p>
    <w:p>
      <w:pPr>
        <w:pStyle w:val="BodyText"/>
      </w:pPr>
      <w:r>
        <w:t xml:space="preserve">1.</w:t>
      </w:r>
      <w:r>
        <w:rPr>
          <w:rStyle w:val="FootnoteReference"/>
        </w:rPr>
        <w:footnoteReference w:id="1780"/>
      </w:r>
      <w:r>
        <w:t xml:space="preserve"> Of the kingdom of Antichrist.</w:t>
      </w:r>
      <w:r>
        <w:rPr>
          <w:rStyle w:val="FootnoteReference"/>
        </w:rPr>
        <w:footnoteReference w:id="1781"/>
      </w:r>
      <w:r>
        <w:t xml:space="preserve"> This seems to be the masterpiece of all the contrivances of the devil against the kingdom of Christ, and is evidently so spoken of in Scripture; and therefore Antichrist is the man of sin or "that man of sin," 2 Thessalonians 2:3. He is so called emphatically as though he were so eminently. 1 John 2:18, so he is called the "Antichrist,"</w:t>
      </w:r>
      <w:r>
        <w:rPr>
          <w:rStyle w:val="FootnoteReference"/>
        </w:rPr>
        <w:footnoteReference w:id="1782"/>
      </w:r>
      <w:r>
        <w:t xml:space="preserve"> which signifies the opponent or adversary of Christ. Not that he is the only opponent of Christ; there were many others besides he. The apostle John observes that in his days there were many Antichrists; but yet this is called the Antichrist as though there were none but he, because he was so eminently and above all others. So this contrivance of the devil is called "the mystery of iniquity," 2 Thessalonians 2:7. And we find no enemy of Christ one-half so much spoken of in the prophecies of Revelation as this, and the destruction of no enemy spoken [of] as so glorious and happy for the church. The craft and subtilty of the devil above all appears in this work of his, as might be shown were it not that it would be too long.</w:t>
      </w:r>
    </w:p>
    <w:p>
      <w:pPr>
        <w:pStyle w:val="BodyText"/>
      </w:pPr>
      <w:r>
        <w:t xml:space="preserve">This is a contrivance of the devil to turn the ministry of the Christian church into a ministry of the devil, and to turn these angels of the church into fallen angels and so into devils; and in the tyranny and superstition and idolatry and persecution that he sets up, to make an image of ancient paganism,</w:t>
      </w:r>
      <w:r>
        <w:rPr>
          <w:rStyle w:val="FootnoteReference"/>
        </w:rPr>
        <w:footnoteReference w:id="1783"/>
      </w:r>
      <w:r>
        <w:t xml:space="preserve"> and more than to restore what was lost in the empire by the overthrow of paganism in Constantine's time. So that by this means the head of the beast that was wounded unto death in Constantine has his deadly wound healed in Antichrist, Revelation 13:3; and the dragon that formerly reigned in the heathen Roman empire being cast out thence, after the beast with seven heads and ten horns rises in his room, gives him his power and seat and great authority, and all the world wonders after the beast.</w:t>
      </w:r>
      <w:r>
        <w:rPr>
          <w:rStyle w:val="FootnoteReference"/>
        </w:rPr>
        <w:footnoteReference w:id="1784"/>
      </w:r>
    </w:p>
    <w:p>
      <w:pPr>
        <w:pStyle w:val="SourcePage"/>
      </w:pPr>
      <w:r>
        <w:t xml:space="preserve">[p. 412]</w:t>
      </w:r>
    </w:p>
    <w:p>
      <w:pPr>
        <w:pStyle w:val="BodyText"/>
      </w:pPr>
      <w:r>
        <w:rPr>
          <w:rStyle w:val="FootnoteReference"/>
        </w:rPr>
        <w:footnoteReference w:id="1785"/>
      </w:r>
      <w:r>
        <w:t xml:space="preserve">I am far from pretending to determine the time when the reign of Antichrist began, which is a point that has been so much controverted among divines and expositors.</w:t>
      </w:r>
      <w:r>
        <w:rPr>
          <w:rStyle w:val="FootnoteReference"/>
        </w:rPr>
        <w:footnoteReference w:id="1786"/>
      </w:r>
      <w:r>
        <w:t xml:space="preserve"> 'Tis certain that the 1260 days—years that are so often in Scripture mentioned as the time of the continuance of Antichrist's reign—did not commence before the year of Christ 479.</w:t>
      </w:r>
      <w:r>
        <w:rPr>
          <w:rStyle w:val="FootnoteReference"/>
        </w:rPr>
        <w:footnoteReference w:id="1787"/>
      </w:r>
      <w:r>
        <w:t xml:space="preserve"> Because if they did, they would have ended, and Antichrist would have fallen before now. But I shall [not] pretend to determine precisely how long it was after this that that period began.</w:t>
      </w:r>
    </w:p>
    <w:p>
      <w:pPr>
        <w:pStyle w:val="BodyText"/>
      </w:pPr>
      <w:r>
        <w:rPr>
          <w:rStyle w:val="FootnoteReference"/>
        </w:rPr>
        <w:footnoteReference w:id="1788"/>
      </w:r>
      <w:r>
        <w:t xml:space="preserve">The rise of Antichrist was gradual. The Christian church corrupted itself in many things presently after Constantine's time, growing more and more superstitious in its worship, by degrees bringing in many ceremonies into the worship of God, till at length they brought in the worship of saints and set up images in their churches, and the clergy usurped more,</w:t>
      </w:r>
      <w:r>
        <w:rPr>
          <w:rStyle w:val="FootnoteReference"/>
        </w:rPr>
        <w:footnoteReference w:id="1789"/>
      </w:r>
      <w:r>
        <w:t xml:space="preserve"> and the bishop of Rome gradually assuming more and more authority to himself. In the primitive times he was only a minister of a congregation, then a standing moderator of a presbytery, then a diocesan bishop, then a metropolitan which was equivalent to an archbishop, then he was a patriarch, then afterwards he claimed the power of universal bishop over the whole Christian church through the world, wherein he was opposed for a while but afterwards was confirmed in it by the civil power of the emperor in the year 606. After that he claimed the power of a temporal prince, and so was wont to carry two swords to signify that both the temporal and spiritual sword was his, and claimed more and more authority. Till at length he, as Christ's vicar on earth, claimed the very same power that Christ would have if he was presently on earth and reigned on his throne, or the same power that belongs to God, and used to be called God on earth, and used to be submitted to by</w:t>
      </w:r>
      <w:r>
        <w:rPr>
          <w:rStyle w:val="FootnoteReference"/>
        </w:rPr>
        <w:footnoteReference w:id="1790"/>
      </w:r>
      <w:r>
        <w:t xml:space="preserve"> all</w:t>
      </w:r>
    </w:p>
    <w:p>
      <w:pPr>
        <w:pStyle w:val="SourcePage"/>
      </w:pPr>
      <w:r>
        <w:t xml:space="preserve">[p. 413]</w:t>
      </w:r>
    </w:p>
    <w:p>
      <w:pPr>
        <w:pStyle w:val="BodyText"/>
      </w:pPr>
      <w:r>
        <w:t xml:space="preserve">the princes of Christendom. He claimed power to crown princes and degrade them at his pleasure, and this power was owned. And it came to this, that kings and emperors used to kiss his feet. The emperors were wont to receive their crowns at his hands.</w:t>
      </w:r>
    </w:p>
    <w:p>
      <w:pPr>
        <w:pStyle w:val="BodyText"/>
      </w:pPr>
      <w:r>
        <w:t xml:space="preserve">And princes were wont to dread the Pope's displeasure, as they would dread a thunderbolt from heaven; for if the Pope was pleased to excommunicate a prince, all his subjects were at once freed from their allegiance to him, and not only, yea, and obliged not to own him any more on pain of excommunication. But any man might kill him wherever he find him. And not only so, but he was believed to have power to damn men at pleasure; for whoever died under his excommunication was looked upon as certainly damned. And several emperors were actually deposed and ejected and died miserably by his means. And if the people, if the people of any state or kingdom, did not please him,</w:t>
      </w:r>
      <w:r>
        <w:rPr>
          <w:rStyle w:val="FootnoteReference"/>
        </w:rPr>
        <w:footnoteReference w:id="1791"/>
      </w:r>
      <w:r>
        <w:t xml:space="preserve"> he had power to lay that state or kingdom under an</w:t>
      </w:r>
    </w:p>
    <w:p>
      <w:pPr>
        <w:pStyle w:val="SourcePage"/>
      </w:pPr>
      <w:r>
        <w:t xml:space="preserve">[p. 414]</w:t>
      </w:r>
    </w:p>
    <w:p>
      <w:pPr>
        <w:pStyle w:val="BodyText"/>
      </w:pPr>
      <w:r>
        <w:t xml:space="preserve">interdict, which was a sentence pronounced by the Pope against that state and kingdom whereby all sacred administrations among them could have no validity. There could be no valid baptisms, or sacraments, or prayers, or preachings, or pardons, till that interdict was taken off; so that that people remained in their apprehension in a miserable damnable state, and therefore dreaded it as they would a storm of fire and brimstone from heaven. Other princes in order to execute their wrath on a prince or people they were displeased with must be put to a great deal of trouble.</w:t>
      </w:r>
    </w:p>
    <w:p>
      <w:pPr>
        <w:pStyle w:val="BodyText"/>
      </w:pPr>
      <w:r>
        <w:t xml:space="preserve">The heathen Roman emperors therefore [were] the most powerful secular princes, but [now the power of the Roman popes exceeded theirs].</w:t>
      </w:r>
      <w:r>
        <w:rPr>
          <w:rStyle w:val="FootnoteReference"/>
        </w:rPr>
        <w:footnoteReference w:id="1792"/>
      </w:r>
      <w:r>
        <w:t xml:space="preserve"> And as the Pope and his clergy robbed the people of their ecclesiastical and civil rights</w:t>
      </w:r>
      <w:r>
        <w:rPr>
          <w:rStyle w:val="FootnoteReference"/>
        </w:rPr>
        <w:footnoteReference w:id="1793"/>
      </w:r>
      <w:r>
        <w:t xml:space="preserve"> and privileges, so also they robbed them of their estates, and drained all Christendom of their money, and engrossed the most of their riches into their own coffers by their vast revenues besides pay for pardons, and indulgences, baptisms, extreme unction, and deliverance out of purgatory, and an hundred other things. And cruel were his persecutions; see how well this agrees with the prophecies, 2 Thessalonians 2:3–4; Daniel 7:20–21; Revelation 13:5–7; Revelation 17:3–4.</w:t>
      </w:r>
    </w:p>
    <w:p>
      <w:pPr>
        <w:pStyle w:val="BodyText"/>
      </w:pPr>
      <w:r>
        <w:t xml:space="preserve">During this time also, superstition and ignorance more and more prevailed. The holy Scripture by degrees was taken out of the hands of the laity, the better to promote ‹the privileges of the clergy›. And instead of promoting knowledge among the people, they industriously promoted ignorance, ignorance, the mother of devotion. And so great was the darkness that learning almost ceased out of the world—the very priests themselves, most of 'em, barbarously ignorant as to any commendable learning or any other knowledge than their hellish craft in oppressing and tyrannizing over the souls of the poor people.</w:t>
      </w:r>
      <w:r>
        <w:rPr>
          <w:rStyle w:val="FootnoteReference"/>
        </w:rPr>
        <w:footnoteReference w:id="1794"/>
      </w:r>
      <w:r>
        <w:t xml:space="preserve"> The superstition and wickedness of the church of Rome kept growing worse and worse, till the very time of the Reformation.</w:t>
      </w:r>
    </w:p>
    <w:p>
      <w:pPr>
        <w:pStyle w:val="BodyText"/>
      </w:pPr>
      <w:r>
        <w:t xml:space="preserve">And the whole Christian world were led away into this great defection, excepting the remains of the Christian churches in the eastern empire that had not been utterly overthrown by the Turks, as the Greek churches and some others who were also sunk into great darkness and gross superstition, excepting also those few that were</w:t>
      </w:r>
    </w:p>
    <w:p>
      <w:pPr>
        <w:pStyle w:val="SourcePage"/>
      </w:pPr>
      <w:r>
        <w:t xml:space="preserve">[p. 415]</w:t>
      </w:r>
    </w:p>
    <w:p>
      <w:pPr>
        <w:pStyle w:val="BodyText"/>
      </w:pPr>
      <w:r>
        <w:t xml:space="preserve">the people of God that are represented by the woman in the wilderness and God's two witnesses,</w:t>
      </w:r>
      <w:r>
        <w:rPr>
          <w:rStyle w:val="FootnoteReference"/>
        </w:rPr>
        <w:footnoteReference w:id="1795"/>
      </w:r>
      <w:r>
        <w:t xml:space="preserve"> of which afterwards.</w:t>
      </w:r>
    </w:p>
    <w:p>
      <w:pPr>
        <w:pStyle w:val="BodyText"/>
      </w:pPr>
      <w:r>
        <w:t xml:space="preserve">This is one of those two great kingdoms that the devil in this period erected in opposition to the kingdom of Christ, and was the greatest and chief. I come now,</w:t>
      </w:r>
    </w:p>
    <w:p>
      <w:pPr>
        <w:pStyle w:val="BodyText"/>
      </w:pPr>
      <w:r>
        <w:t xml:space="preserve">2.</w:t>
      </w:r>
      <w:r>
        <w:rPr>
          <w:rStyle w:val="FootnoteReference"/>
        </w:rPr>
        <w:footnoteReference w:id="1796"/>
      </w:r>
      <w:r>
        <w:t xml:space="preserve"> To speak of the other, the second, which is in many respects like unto it, which is</w:t>
      </w:r>
      <w:r>
        <w:rPr>
          <w:rStyle w:val="FootnoteReference"/>
        </w:rPr>
        <w:footnoteReference w:id="1797"/>
      </w:r>
      <w:r>
        <w:t xml:space="preserve"> his Mohammedan kingdom which is another great kingdom of mighty power and vast extent that Satan set up against the kingdom of Christ. He set this up in the eastern empire as he did that of Antichrist in the western.</w:t>
      </w:r>
    </w:p>
    <w:p>
      <w:pPr>
        <w:pStyle w:val="BodyText"/>
      </w:pPr>
      <w:r>
        <w:t xml:space="preserve">Mohammed was born in the year of Christ 622</w:t>
      </w:r>
      <w:r>
        <w:rPr>
          <w:rStyle w:val="FootnoteReference"/>
        </w:rPr>
        <w:footnoteReference w:id="1798"/>
      </w:r>
      <w:r>
        <w:t xml:space="preserve"> in Arabia. When he was about forty years of age, he began to give forth that he was the great prophet of God and began to teach his new invented religion, of which he was to be worshipped as the head next under God. [He] published his Alcoran, which he pretended he received from the angel Gabriel. And being a subtile crafty man, and possessed of considerable wealth, and living amongst a people that were very ignorant and greatly divided in their opinions of religious matters by his subtilty and fair promises of a sensual paradise, he gained a number to be his followers and set up for their prince, and propagates his religion by the sword, and made it meritorious of paradise to fight for him. By which means his party grew, and went fighting till they conquered and brought</w:t>
      </w:r>
      <w:r>
        <w:rPr>
          <w:rStyle w:val="FootnoteReference"/>
        </w:rPr>
        <w:footnoteReference w:id="1799"/>
      </w:r>
      <w:r>
        <w:t xml:space="preserve"> over the neighboring country.</w:t>
      </w:r>
    </w:p>
    <w:p>
      <w:pPr>
        <w:pStyle w:val="BodyText"/>
      </w:pPr>
      <w:r>
        <w:t xml:space="preserve">And so his party gradually grew till they overrun great part of the world. First, the Saracens that were some of his followers, and were a people of the country of Arabia where Mohammed lived, about the year of Christ 700 began dreadfully to waste the Roman empire. They overrun a great many countries belonging to the empire, and continued their conquests for a long time. These are supposed to be meant by the locusts that we read of in the Revelation 9 ["And there came out of the smoke locusts upon the earth.… And the shapes of the locusts were like unto horses prepared unto battle"].</w:t>
      </w:r>
      <w:r>
        <w:rPr>
          <w:rStyle w:val="FootnoteReference"/>
        </w:rPr>
        <w:footnoteReference w:id="1800"/>
      </w:r>
      <w:r>
        <w:t xml:space="preserve"> And then after this the Turks, that were originally another people different from the Saracens but were followers of Mohammed,</w:t>
      </w:r>
    </w:p>
    <w:p>
      <w:pPr>
        <w:pStyle w:val="SourcePage"/>
      </w:pPr>
      <w:r>
        <w:t xml:space="preserve">[p. 416]</w:t>
      </w:r>
    </w:p>
    <w:p>
      <w:pPr>
        <w:pStyle w:val="BodyText"/>
      </w:pPr>
      <w:r>
        <w:t xml:space="preserve">conquered all the eastern empire. They began their empire about the year of Christ 1296, and began to invade Europe about 1300, and took Constantinople, and so became masters of all the eastern empire in the year 1453—which is not three hundred years ago. And thus all those cities and countries where were those famous churches</w:t>
      </w:r>
      <w:r>
        <w:rPr>
          <w:rStyle w:val="FootnoteReference"/>
        </w:rPr>
        <w:footnoteReference w:id="1801"/>
      </w:r>
      <w:r>
        <w:t xml:space="preserve"> of old that we read of in the New Testament: Jerusalem, Antioch;</w:t>
      </w:r>
      <w:r>
        <w:rPr>
          <w:rStyle w:val="FootnoteReference"/>
        </w:rPr>
        <w:footnoteReference w:id="1802"/>
      </w:r>
      <w:r>
        <w:t xml:space="preserve"> now all became subject to the Turks. And they took possession of Constantinople, which was named after Constantine the Great, being made by him the head city of the Roman empire, whereas Rome had been so till then. These are supposed to be prophesied of by the horsemen in the Revelation 9, beginning with the Revelation 9:15. And the remains of the Christians that are in those parts of the world, which are mostly of the Greek church, are in miserable slavery under them, and treated with a great deal of barbarity and cruelty, and are become mostly very ignorant and superstitious.</w:t>
      </w:r>
    </w:p>
    <w:p>
      <w:pPr>
        <w:pStyle w:val="BodyText"/>
      </w:pPr>
      <w:r>
        <w:t xml:space="preserve">Thus I have shown what great works of Satan were wrought during this space ‹of time› in opposition to the</w:t>
      </w:r>
      <w:r>
        <w:rPr>
          <w:rStyle w:val="FootnoteReference"/>
        </w:rPr>
        <w:footnoteReference w:id="1803"/>
      </w:r>
      <w:r>
        <w:t xml:space="preserve"> kingdom [of Christ]. I proposed next to show how the church was upheld through this dark day, but this must be referred to another opportunity.</w:t>
      </w:r>
    </w:p>
    <w:p>
      <w:pPr>
        <w:pStyle w:val="SourcePage"/>
      </w:pPr>
      <w:r>
        <w:t xml:space="preserve">[p. 417]</w:t>
      </w:r>
    </w:p>
    <w:p>
      <w:pPr>
        <w:pStyle w:val="Heading2"/>
      </w:pPr>
      <w:bookmarkStart w:name="heading_sermon_twenty_three" w:id="75"/>
      <w:r>
        <w:t xml:space="preserve">SERMON TWENTY-THREE</w:t>
      </w:r>
      <w:bookmarkEnd w:id="75"/>
    </w:p>
    <w:p>
      <w:pPr>
        <w:pStyle w:val="BodyText"/>
      </w:pPr>
      <w:r>
        <w:rPr>
          <w:rStyle w:val="FootnoteReference"/>
        </w:rPr>
        <w:footnoteReference w:id="1804"/>
      </w:r>
    </w:p>
    <w:p>
      <w:pPr>
        <w:pStyle w:val="BodyText"/>
      </w:pPr>
      <w:r>
        <w:rPr>
          <w:rStyle w:val="FootnoteReference"/>
        </w:rPr>
        <w:footnoteReference w:id="1805"/>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form generation to generation.]</w:t>
      </w:r>
    </w:p>
    <w:p>
      <w:pPr>
        <w:pStyle w:val="BodyText"/>
      </w:pPr>
      <w:r>
        <w:t xml:space="preserve">Isaiah 51:8</w:t>
      </w:r>
    </w:p>
    <w:p>
      <w:pPr>
        <w:pStyle w:val="Heading3"/>
      </w:pPr>
      <w:bookmarkStart w:name="heading_doctrine_22" w:id="76"/>
      <w:r>
        <w:t xml:space="preserve">[DOCTRINE]</w:t>
      </w:r>
      <w:bookmarkEnd w:id="76"/>
    </w:p>
    <w:p>
      <w:pPr>
        <w:pStyle w:val="BlockQuote"/>
      </w:pPr>
      <w:r>
        <w:rPr>
          <w:i/>
          <w:iCs/>
        </w:rPr>
        <w:t xml:space="preserve">[The Work of Redemption is a work that God carries on from the fall of man to the end of the world.]</w:t>
      </w:r>
    </w:p>
    <w:p>
      <w:pPr>
        <w:pStyle w:val="BodyText"/>
      </w:pPr>
      <w:r>
        <w:t xml:space="preserve">IN showing from this text how the Work of Redemption is carried on ‹from the fall of man to the end of the world›, we were last showing how the success of Christ's purchase was carried on from the destruction of the heathen empire in the days of Constantine the Great till the fall of Antichrist, which is the third and last period of the suffering state of the Christian church. And for the clearer and later view of the progress of the success of Christ's purchase through this period, it was divided into four parts, viz. [the first, from the fall of Rome to the rise of Antichrist; the second, from thence to Luther; the third, from the Reformation to the present time; the fourth, from the present time till Antichrist is fallen].</w:t>
      </w:r>
      <w:r>
        <w:rPr>
          <w:rStyle w:val="FootnoteReference"/>
        </w:rPr>
        <w:footnoteReference w:id="1806"/>
      </w:r>
      <w:r>
        <w:t xml:space="preserve"> And it [was]</w:t>
      </w:r>
      <w:r>
        <w:rPr>
          <w:rStyle w:val="FootnoteReference"/>
        </w:rPr>
        <w:footnoteReference w:id="1807"/>
      </w:r>
      <w:r>
        <w:t xml:space="preserve"> proposed through each of them to take notice both of the opposition of Satan and also [how the church was upheld].</w:t>
      </w:r>
      <w:r>
        <w:rPr>
          <w:rStyle w:val="FootnoteReference"/>
        </w:rPr>
        <w:footnoteReference w:id="1808"/>
      </w:r>
      <w:r>
        <w:t xml:space="preserve"> We entered on the second part of this period, viz. that from the rise of Antichrist till the time of the beginning of the Reformation, in which it [was]</w:t>
      </w:r>
      <w:r>
        <w:rPr>
          <w:rStyle w:val="FootnoteReference"/>
        </w:rPr>
        <w:footnoteReference w:id="1809"/>
      </w:r>
      <w:r>
        <w:t xml:space="preserve"> proposed to</w:t>
      </w:r>
    </w:p>
    <w:p>
      <w:pPr>
        <w:pStyle w:val="SourcePage"/>
      </w:pPr>
      <w:r>
        <w:t xml:space="preserve">[p. 418]</w:t>
      </w:r>
    </w:p>
    <w:p>
      <w:pPr>
        <w:pStyle w:val="BodyText"/>
      </w:pPr>
      <w:r>
        <w:t xml:space="preserve">take</w:t>
      </w:r>
      <w:r>
        <w:rPr>
          <w:rStyle w:val="FootnoteReference"/>
        </w:rPr>
        <w:footnoteReference w:id="1810"/>
      </w:r>
      <w:r>
        <w:t xml:space="preserve"> notice first, of the great works that the Devil wrought in opposition, and second, to show how the church was upheld through this evil time. The former has been already done in showing how that Satan set up and maintained these two great kingdoms of his, viz. his Antichristian and Mohammedan kingdoms.</w:t>
      </w:r>
    </w:p>
    <w:p>
      <w:pPr>
        <w:pStyle w:val="BodyText"/>
      </w:pPr>
      <w:r>
        <w:t xml:space="preserve">I come now,</w:t>
      </w:r>
    </w:p>
    <w:p>
      <w:pPr>
        <w:pStyle w:val="BodyText"/>
      </w:pPr>
      <w:r>
        <w:t xml:space="preserve">II.</w:t>
      </w:r>
      <w:r>
        <w:rPr>
          <w:rStyle w:val="FootnoteReference"/>
        </w:rPr>
        <w:footnoteReference w:id="1811"/>
      </w:r>
      <w:r>
        <w:t xml:space="preserve"> to show how the church of Christ was upheld through this dark time. And here in the,</w:t>
      </w:r>
    </w:p>
    <w:p>
      <w:pPr>
        <w:pStyle w:val="ListText"/>
        <w:numPr>
          <w:ilvl w:val="0"/>
          <w:numId w:val="4"/>
        </w:numPr>
      </w:pPr>
      <w:r>
        <w:t xml:space="preserve">[first place],</w:t>
      </w:r>
      <w:r>
        <w:rPr>
          <w:rStyle w:val="FootnoteReference"/>
        </w:rPr>
        <w:footnoteReference w:id="1812"/>
      </w:r>
      <w:r>
        <w:t xml:space="preserve"> it is to be observed that towards the former part of this space of time, that some of the nations of Christendom held out a long time before they complied with the corruptions and usurpations of the church of Rome. Though all the world wondered after the beast,</w:t>
      </w:r>
      <w:r>
        <w:rPr>
          <w:rStyle w:val="FootnoteReference"/>
        </w:rPr>
        <w:footnoteReference w:id="1813"/>
      </w:r>
      <w:r>
        <w:t xml:space="preserve"> yet all nations did not fall in at once. Many of the principal corruptions of the church of Rome were brought in with a great deal of struggle and opposition. And particularly when the Pope first gave out that he was universal bishop,</w:t>
      </w:r>
      <w:r>
        <w:rPr>
          <w:rStyle w:val="FootnoteReference"/>
        </w:rPr>
        <w:footnoteReference w:id="1814"/>
      </w:r>
      <w:r>
        <w:t xml:space="preserve"> many churches greatly opposed him in it, and it was a long time before they would even yield to his exorbitant claims. And so when the worship of images was first brought into the churches, there were many faithful that greatly opposed it, and long held out against it. And so with respect to other corruptions of the church of Rome. Those people that dwelt nearer to the city of Rome complied sooner, but some of the more remote were a long time before they could be induced to put their necks under the yoke.</w:t>
      </w:r>
      <w:r>
        <w:rPr>
          <w:rStyle w:val="FootnoteReference"/>
        </w:rPr>
        <w:footnoteReference w:id="1815"/>
      </w:r>
      <w:r>
        <w:t xml:space="preserve"> And particularly ecclesiastical history gives an account that it was so with great part of the churches in England and Scotland and France, who retained the ancient purity of doctrine and worship much longer than many others that were much nearer the chief seat of Antichrist.</w:t>
      </w:r>
    </w:p>
    <w:p>
      <w:pPr>
        <w:pStyle w:val="BodyText"/>
      </w:pPr>
      <w:r>
        <w:t xml:space="preserve">2.</w:t>
      </w:r>
      <w:r>
        <w:rPr>
          <w:rStyle w:val="FootnoteReference"/>
        </w:rPr>
        <w:footnoteReference w:id="1816"/>
      </w:r>
      <w:r>
        <w:t xml:space="preserve"> In every age of this dark time there appeared many particular persons in all parts of Christendom that bore a testimony against the corruptions and tyranny of the church of Rome. There is no one age of Antichrist, even in the darkest time of all, but ecclesiastical historians mention a great many by name that manifested an</w:t>
      </w:r>
      <w:r>
        <w:rPr>
          <w:rStyle w:val="FootnoteReference"/>
        </w:rPr>
        <w:footnoteReference w:id="1817"/>
      </w:r>
      <w:r>
        <w:t xml:space="preserve"> abhorrence</w:t>
      </w:r>
    </w:p>
    <w:p>
      <w:pPr>
        <w:pStyle w:val="SourcePage"/>
      </w:pPr>
      <w:r>
        <w:t xml:space="preserve">[p. 419]</w:t>
      </w:r>
    </w:p>
    <w:p>
      <w:pPr>
        <w:pStyle w:val="BodyText"/>
      </w:pPr>
      <w:r>
        <w:t xml:space="preserve">of the Pope and his idolatrous worship, and pleaded for the ancient purity of doctrine and worship. God was pleased to maintain an uninterrupted succession of witnesses through the whole time in Germany and France, Britain, and other countries, as historians do demonstrate and mention 'em by name and give account of the testimony that they held. Many of them were private persons, and many of them ministers, and some magistrates, and persons of great distinction. And there were numbers in every age that were persecuted and put to death for this testimony.</w:t>
      </w:r>
    </w:p>
    <w:p>
      <w:pPr>
        <w:pStyle w:val="BodyText"/>
      </w:pPr>
      <w:r>
        <w:t xml:space="preserve">3.</w:t>
      </w:r>
      <w:r>
        <w:rPr>
          <w:rStyle w:val="FootnoteReference"/>
        </w:rPr>
        <w:footnoteReference w:id="1818"/>
      </w:r>
      <w:r>
        <w:t xml:space="preserve"> Besides these particular persons dispersed here and there, there was a certain people called the Waldenses that lived separate from all the rest of the world, that kept themselves pure and constantly bore a testimony against the church of Rome through all this dark time. The place where they dwelt was the valleys of Piedmont, a very mountainous country between Italy and France. The valleys where they lived were compassed about with those exceeding high mountains called the Alps which were almost impassable. The passage over these</w:t>
      </w:r>
      <w:r>
        <w:rPr>
          <w:rStyle w:val="FootnoteReference"/>
        </w:rPr>
        <w:footnoteReference w:id="1819"/>
      </w:r>
      <w:r>
        <w:t xml:space="preserve"> mountainous desert countries was so difficult that the valleys where this people lived were almost inaccessible. There this people lived for many ages, as it were, alone in a state of separation from all the world, having very little to do with any other people. And there they served God in the ancient purity of his worship, and never submitted to the church of Rome. This place in this desert mountainous country probably was the place especially meant in the Revelation 12:6, as the place prepared of God for the woman, that they should feed her there during the reign of Antichrist.</w:t>
      </w:r>
    </w:p>
    <w:p>
      <w:pPr>
        <w:pStyle w:val="BodyText"/>
      </w:pPr>
      <w:r>
        <w:t xml:space="preserve">Some of the popish writers themselves own this people never submitted to the church of Rome. One of the popish writers speaking of the Waldenses, says the heresy of the Waldenses is the oldest heresy in the world. 'Tis supposed that [the reason that] this people first betook themselves to this desert and secret place among the mountains was their fleeing thither to hide themselves from the severity</w:t>
      </w:r>
      <w:r>
        <w:rPr>
          <w:rStyle w:val="FootnoteReference"/>
        </w:rPr>
        <w:footnoteReference w:id="1820"/>
      </w:r>
      <w:r>
        <w:t xml:space="preserve"> of the heathen persecutions that were before Constantine the Great; and thus the woman fled into the wilderness from the face of the serpent, Revelation 12:6. And so Revelation 12:14, "And to the woman were given two wings of a great eagle, that she might fly into the wilderness, into</w:t>
      </w:r>
    </w:p>
    <w:p>
      <w:pPr>
        <w:pStyle w:val="SourcePage"/>
      </w:pPr>
      <w:r>
        <w:t xml:space="preserve">[p. 420]</w:t>
      </w:r>
    </w:p>
    <w:p>
      <w:pPr>
        <w:pStyle w:val="BodyText"/>
      </w:pPr>
      <w:r>
        <w:t xml:space="preserve">her place, where she is nourished for a time, and times, and half a time, from the face of the serpent." And the people being settled there, that posterity continued there from age to age to age afterwards, and being, as it [were], by natural walls as well as by God's grace separated from the rest of the world, never partook of the overflowing corruption.</w:t>
      </w:r>
    </w:p>
    <w:p>
      <w:pPr>
        <w:pStyle w:val="BodyText"/>
      </w:pPr>
      <w:r>
        <w:t xml:space="preserve">These especially were those virgins that were not defiled with the rest of the women, or when other women prostituted themselves and were defiled, but kept themselves pure for Christ alone. They followed the Lamb, their spiritual husband; wherever he went they followed into this hideous wilderness, Revelation 14:4–5. Their doctrine and their worship as there still remain accounts of it appear to be the same with the Protestant doctrine and worship, and by the</w:t>
      </w:r>
      <w:r>
        <w:rPr>
          <w:rStyle w:val="FootnoteReference"/>
        </w:rPr>
        <w:footnoteReference w:id="1821"/>
      </w:r>
      <w:r>
        <w:t xml:space="preserve"> confession of popish writers were a people remarkable for the strictness of their lives, for charity and other Christian virtues. They lived in external poverty in this hideous country, but they chose this poverty rather than to comply with the great corruption of the rest of the world. They living in so secret a place, it was a long time before they seem to have been much taken notice by the romanists. But at last falling under observation, they went out in mighty armies against them, and fell upon them with insatiable cruelty, barbarously massacring and putting to death men, women, and children with all imaginable tortures; and so continued persecuting them with but little intermission for several hundred years. By which means many of them were driven out of their old habitations in the valleys of Piedmont, and fled into all parts of Europe, carrying their doctrine to which many were brought over. So their persecutors could not by all their cruelties extirpate the church of God, so fulfilling his word, "that the gates of hell should not prevail against it."</w:t>
      </w:r>
      <w:r>
        <w:rPr>
          <w:rStyle w:val="FootnoteReference"/>
        </w:rPr>
        <w:footnoteReference w:id="1822"/>
      </w:r>
    </w:p>
    <w:p>
      <w:pPr>
        <w:pStyle w:val="BodyText"/>
      </w:pPr>
      <w:r>
        <w:rPr>
          <w:rStyle w:val="FootnoteReference"/>
        </w:rPr>
        <w:footnoteReference w:id="1823"/>
      </w:r>
      <w:r>
        <w:t xml:space="preserve">4.</w:t>
      </w:r>
      <w:r>
        <w:rPr>
          <w:rStyle w:val="FootnoteReference"/>
        </w:rPr>
        <w:footnoteReference w:id="1824"/>
      </w:r>
      <w:r>
        <w:t xml:space="preserve"> Towards the latter part of this dark time, several noted divines openly appeared to defend the truth and bear testimony against the corruptions of the church of Rome, and had many followers. The first and principal of these was a certain English divine whose name was John Wycliffe, who appeared about 140 years before the Reformation, and strenuously opposed the popish religion, and taught the</w:t>
      </w:r>
    </w:p>
    <w:p>
      <w:pPr>
        <w:pStyle w:val="SourcePage"/>
      </w:pPr>
      <w:r>
        <w:t xml:space="preserve">[p. 421]</w:t>
      </w:r>
    </w:p>
    <w:p>
      <w:pPr>
        <w:pStyle w:val="BodyText"/>
      </w:pPr>
      <w:r>
        <w:t xml:space="preserve">same doctrine that the reformers afterwards did, and had many followers in England. He was hotly persecuted in his lifetime but yet died in peace, and after he was buried his bones by his persecutors were dug up and burnt. His followers continued in considerable numbers in England till the Reformation, and were cruelly persecuted and multitudes put to death for their religion. Wycliffe had many disciples and followers not only in England but in other parts of Europe where his books were carried, and particularly in Bohemia among whom were two eminent divines. The name of the one was John Huss; the other's name was Jerome, a divine belonging to the city</w:t>
      </w:r>
      <w:r>
        <w:rPr>
          <w:rStyle w:val="FootnoteReference"/>
        </w:rPr>
        <w:footnoteReference w:id="1825"/>
      </w:r>
      <w:r>
        <w:t xml:space="preserve"> of Prague, the chief city in Bohemia. These strenuously opposed the church of Rome and had many that adhered to them. They were both burnt by the papists for their doctrine, and their followers in Bohemia were cruelly persecuted, but never extirpated, till the Reformation.</w:t>
      </w:r>
    </w:p>
    <w:p>
      <w:pPr>
        <w:pStyle w:val="BodyText"/>
      </w:pPr>
      <w:r>
        <w:t xml:space="preserve">Thus having gone through this dark time of the church, which is the second part of the space from Constantine the Great to the destruction of Antichrist, I come now to the,</w:t>
      </w:r>
    </w:p>
    <w:p>
      <w:pPr>
        <w:pStyle w:val="BodyText"/>
      </w:pPr>
      <w:r>
        <w:t xml:space="preserve">III. [third] part,</w:t>
      </w:r>
      <w:r>
        <w:rPr>
          <w:rStyle w:val="FootnoteReference"/>
        </w:rPr>
        <w:footnoteReference w:id="1826"/>
      </w:r>
      <w:r>
        <w:t xml:space="preserve"> viz. that which begins with the Reformation and reaches to the present time. And here I would, 1. speak of the Reformation itself, 2. the opposition that the devil has made to the Reformed church, 3. what success there has lately been of the gospel in one place and another, and 4. what the state of things is now in the world with regard to the church of Christ and the success of Christ's purchase. But here the,</w:t>
      </w:r>
    </w:p>
    <w:p>
      <w:pPr>
        <w:pStyle w:val="ListText"/>
        <w:numPr>
          <w:ilvl w:val="0"/>
          <w:numId w:val="4"/>
        </w:numPr>
      </w:pPr>
      <w:r>
        <w:t xml:space="preserve">[first]</w:t>
      </w:r>
      <w:r>
        <w:rPr>
          <w:rStyle w:val="FootnoteReference"/>
        </w:rPr>
        <w:footnoteReference w:id="1827"/>
      </w:r>
      <w:r>
        <w:t xml:space="preserve"> thing to be taken notice of is the Reformation. This was begun about 220 years ago, first in Saxony in Germany by the preaching of Martin</w:t>
      </w:r>
      <w:r>
        <w:rPr>
          <w:rStyle w:val="FootnoteReference"/>
        </w:rPr>
        <w:footnoteReference w:id="1828"/>
      </w:r>
      <w:r>
        <w:t xml:space="preserve"> Luther, who being stirred in his spirit</w:t>
      </w:r>
      <w:r>
        <w:rPr>
          <w:rStyle w:val="FootnoteReference"/>
        </w:rPr>
        <w:footnoteReference w:id="1829"/>
      </w:r>
      <w:r>
        <w:t xml:space="preserve"> to see the horrid practices of the popish clergy, and having set himself diligently to inquire after truth by the study of the holy Scriptures and the writings of the ancient fathers of the church, very openly and boldly decried the corruptions and usurpations of the Romish church in his preaching and writings, and had soon great numbers that fell in with him,</w:t>
      </w:r>
    </w:p>
    <w:p>
      <w:pPr>
        <w:pStyle w:val="SourcePage"/>
      </w:pPr>
      <w:r>
        <w:t xml:space="preserve">[p. 422]</w:t>
      </w:r>
    </w:p>
    <w:p>
      <w:pPr>
        <w:pStyle w:val="BodyText"/>
      </w:pPr>
      <w:r>
        <w:t xml:space="preserve">among whom was the elector of Saxony, the sovereign prince of the country to which he belonged.</w:t>
      </w:r>
    </w:p>
    <w:p>
      <w:pPr>
        <w:pStyle w:val="BodyText"/>
      </w:pPr>
      <w:r>
        <w:t xml:space="preserve">This greatly alarmed the church of Rome, and it did, as it were, rally all its force to oppose him and his doctrine; and fierce wars and persecutions were raised against it. But yet it went on by the labors of Luther and Melanchthon in Germany, and Zwingli in Switzerland, and other eminent divines that were contemporary with Luther and fell in with him, and particularly Calvin who appeared something after the beginning of the Reformation, but was one of the eminent of the reformers. Many of the princes of Germany soon fell in with the Reformed religion,</w:t>
      </w:r>
      <w:r>
        <w:rPr>
          <w:rStyle w:val="FootnoteReference"/>
        </w:rPr>
        <w:footnoteReference w:id="1830"/>
      </w:r>
      <w:r>
        <w:t xml:space="preserve"> and many other states and kingdoms in Europe,</w:t>
      </w:r>
      <w:r>
        <w:rPr>
          <w:rStyle w:val="FootnoteReference"/>
        </w:rPr>
        <w:footnoteReference w:id="1831"/>
      </w:r>
      <w:r>
        <w:t xml:space="preserve"> as England, Scotland, Sweden and Denmark and Norway, great part of France, and Poland and Lithuania and Switzerland and the Low Countries. So that it is thought that heretofore about half Christendom were of the Protestant religion, though since then the papists have gained ground, so that the Protestants now have not so great a proportion.</w:t>
      </w:r>
    </w:p>
    <w:p>
      <w:pPr>
        <w:pStyle w:val="BodyText"/>
      </w:pPr>
      <w:r>
        <w:t xml:space="preserve">Thus God began gloriously to revive his church again and advance the kingdom of his Son after such a dismal night of darkness as had been before from the rise of Antichrist to that time. There had been many endeavors used by the witnesses for the truth for reformation before, but now when God's appointed time was come, his work brake forth and went on with a swift and wonderful progress. And Antichrist who had been rising higher and higher from his very first beginning till that time,</w:t>
      </w:r>
      <w:r>
        <w:rPr>
          <w:rStyle w:val="FootnoteReference"/>
        </w:rPr>
        <w:footnoteReference w:id="1832"/>
      </w:r>
      <w:r>
        <w:t xml:space="preserve"> was swiftly and suddenly brought down and fell half-way towards utter ruin, and never has been able to rise again to his former height.</w:t>
      </w:r>
    </w:p>
    <w:p>
      <w:pPr>
        <w:pStyle w:val="BodyText"/>
      </w:pPr>
      <w:r>
        <w:t xml:space="preserve">A certain very late expositor, who explains the five first vials in the Revelation 16 with far greater probability perhaps than any that ever went before him, explains the fifth vial that was poured out on the seat of the beast as what came to pass in the Reformation, explaining the four preceding vials as certain great judgments God brought on the popish dominions before the Reformation.</w:t>
      </w:r>
      <w:r>
        <w:rPr>
          <w:rStyle w:val="FootnoteReference"/>
        </w:rPr>
        <w:footnoteReference w:id="1833"/>
      </w:r>
      <w:r>
        <w:t xml:space="preserve"> It is said, Revelation 16:10–11, that "the fifth angel poured out</w:t>
      </w:r>
    </w:p>
    <w:p>
      <w:pPr>
        <w:pStyle w:val="SourcePage"/>
      </w:pPr>
      <w:r>
        <w:t xml:space="preserve">[p. 423]</w:t>
      </w:r>
    </w:p>
    <w:p>
      <w:pPr>
        <w:pStyle w:val="BodyText"/>
      </w:pPr>
      <w:r>
        <w:t xml:space="preserve">his vial on the seat of the beast." In the original it is "the throne of the beast; and his kingdom was full of darkness; and they gnawed their tongues for pain, and blasphemed the God of heaven because of their pains and their sores, and repented not of their deeds." He poured out his vial on the throne of the beast, i.e. on the authority and dominion of the Pope, so the word throne is often used in Scripture, so</w:t>
      </w:r>
      <w:r>
        <w:rPr>
          <w:rStyle w:val="FootnoteReference"/>
        </w:rPr>
        <w:footnoteReference w:id="1834"/>
      </w:r>
      <w:r>
        <w:t xml:space="preserve"> 1 Kings 1:37. "As my Lord hath been with my lord the king, even so be he with Solomon, and make his throne greater than the throne of my lord King David," i.e. make his dominion and authority greater, and his kingdom more glorious. But now in the Reformation the vials of God's wrath were poured out on the throne of the beast. His throne was terribly shaken and diminished. The Pope's authority and dominion was greatly diminished, both as to extent and degree. He lost, as was said before, about half his dominions. And besides, since the Reformation the Pope has lost great part of that authority, even in the popish dominions, that he had before. He is not regarded and his power in no measure dreaded as it used to be. The powers of Europe have learned not to put their necks under the Pope's feet, as formerly they used to do. So that he is as a lion that has lost his teeth in comparison of what he used to be.</w:t>
      </w:r>
      <w:r>
        <w:rPr>
          <w:rStyle w:val="FootnoteReference"/>
        </w:rPr>
        <w:footnoteReference w:id="1835"/>
      </w:r>
    </w:p>
    <w:p>
      <w:pPr>
        <w:pStyle w:val="BodyText"/>
      </w:pPr>
      <w:r>
        <w:t xml:space="preserve">And the Pope and his clergy when they were enraged to see their authority so diminished at the Reformation,</w:t>
      </w:r>
      <w:r>
        <w:rPr>
          <w:rStyle w:val="FootnoteReference"/>
        </w:rPr>
        <w:footnoteReference w:id="1836"/>
      </w:r>
      <w:r>
        <w:t xml:space="preserve"> laid their heads together and joined their forces to destroy the Reformation. Their policy that used to serve 'em so well failed; they found their kingdom full of darkness, so that they could do nothing any more than the Egyptians who rose not from their seats ‹for three days›.</w:t>
      </w:r>
      <w:r>
        <w:rPr>
          <w:rStyle w:val="FootnoteReference"/>
        </w:rPr>
        <w:footnoteReference w:id="1837"/>
      </w:r>
      <w:r>
        <w:t xml:space="preserve"> The Reformed church was defended as Lot and the angels were in Sodom, by smiting the Sodomites with darkness or blindness that they could not find the door.</w:t>
      </w:r>
      <w:r>
        <w:rPr>
          <w:rStyle w:val="FootnoteReference"/>
        </w:rPr>
        <w:footnoteReference w:id="1838"/>
      </w:r>
      <w:r>
        <w:t xml:space="preserve"> God then fulfilled that in Job 5:11–15,</w:t>
      </w:r>
    </w:p>
    <w:p>
      <w:pPr>
        <w:pStyle w:val="SourcePage"/>
      </w:pPr>
      <w:r>
        <w:t xml:space="preserve">[p. 424]</w:t>
      </w:r>
    </w:p>
    <w:p>
      <w:pPr>
        <w:pStyle w:val="BodyText"/>
      </w:pPr>
      <w:r>
        <w:t xml:space="preserve">To set up on high those that be low; that those that mourn may be exalted to safety. He disappointeth the devices of the crafty, so that their hands cannot perform their enterprise. He taketh the wise in their own craftiness: and the counsel of the forward is carried headlong. They meet with darkness in the daytime, and grope in the noonday as in the night. But he saveth the poor from the sword, from their mouth, and from the hand of the mighty.</w:t>
      </w:r>
    </w:p>
    <w:p>
      <w:pPr>
        <w:pStyle w:val="BodyText"/>
      </w:pPr>
      <w:r>
        <w:t xml:space="preserve">Those proud enemies of God's people, being so disappointed and finding themselves so unable to uphold their own dominion and authority,</w:t>
      </w:r>
      <w:r>
        <w:rPr>
          <w:rStyle w:val="FootnoteReference"/>
        </w:rPr>
        <w:footnoteReference w:id="1839"/>
      </w:r>
      <w:r>
        <w:t xml:space="preserve"> made them, as it were, to gnaw their tongues for pain, or bite their tongues for mere rage.</w:t>
      </w:r>
      <w:r>
        <w:rPr>
          <w:rStyle w:val="FootnoteReference"/>
        </w:rPr>
        <w:footnoteReference w:id="1840"/>
      </w:r>
      <w:r>
        <w:t xml:space="preserve"> And therefore I proceed now,</w:t>
      </w:r>
    </w:p>
    <w:p>
      <w:pPr>
        <w:pStyle w:val="BodyText"/>
      </w:pPr>
      <w:r>
        <w:t xml:space="preserve">II.</w:t>
      </w:r>
      <w:r>
        <w:rPr>
          <w:rStyle w:val="FootnoteReference"/>
        </w:rPr>
        <w:footnoteReference w:id="1841"/>
      </w:r>
      <w:r>
        <w:t xml:space="preserve"> [second] to show what opposition has been made to this success of Christ's purchase by the Reformation by Satan and his adherents, observing as we go along how far they have been baffled and how far they have been successful. The opposition that Satan has made against the Reformed religion has been principally of the following kinds: 1. that which was made by a general council of the church of Rome, 2. by secret plots and devices, 3. by open wars and invasions, 4. by cruel oppression and persecution, 5. by Satan's bringing in corrupt opinions.</w:t>
      </w:r>
    </w:p>
    <w:p>
      <w:pPr>
        <w:pStyle w:val="BodyText"/>
      </w:pPr>
      <w:r>
        <w:t xml:space="preserve">1.</w:t>
      </w:r>
      <w:r>
        <w:rPr>
          <w:rStyle w:val="FootnoteReference"/>
        </w:rPr>
        <w:footnoteReference w:id="1842"/>
      </w:r>
      <w:r>
        <w:t xml:space="preserve"> The [first] opposition that I shall take notice of is that that was made by the clergy of the church of Rome uniting together in a general council. This was the famous Council of Trent which the Pope called a little while after the Reformation. In that council there met together 6 cardinals, 32 archbishops, 228 bishops, besides</w:t>
      </w:r>
      <w:r>
        <w:rPr>
          <w:rStyle w:val="FootnoteReference"/>
        </w:rPr>
        <w:footnoteReference w:id="1843"/>
      </w:r>
      <w:r>
        <w:t xml:space="preserve"> innumerable others of the Romish clergy. This council in all their sessions, taking with the times of intermission between their sittings, was held for twenty-five years together. Their main business all this while was to concert measures for the establishing the church of Rome against the reformers and for the destroying the Reformation. But it proved that they were not able to perform their enterprise. The Reformed church, for all their holding so great a council and for so long a time together against it, remained and remains still; so the counsel of the</w:t>
      </w:r>
    </w:p>
    <w:p>
      <w:pPr>
        <w:pStyle w:val="SourcePage"/>
      </w:pPr>
      <w:r>
        <w:t xml:space="preserve">[p. 425]</w:t>
      </w:r>
    </w:p>
    <w:p>
      <w:pPr>
        <w:pStyle w:val="BodyText"/>
      </w:pPr>
      <w:r>
        <w:t xml:space="preserve">froward is carried headlong, and their kingdom is full of darkness, and they weary themselves to find the door.</w:t>
      </w:r>
      <w:r>
        <w:rPr>
          <w:rStyle w:val="FootnoteReference"/>
        </w:rPr>
        <w:footnoteReference w:id="1844"/>
      </w:r>
    </w:p>
    <w:p>
      <w:pPr>
        <w:pStyle w:val="BodyText"/>
      </w:pPr>
      <w:r>
        <w:t xml:space="preserve">Thus the church of Rome, instead of repenting of their deeds when such clear light was held forth to them by Luther and other servants of God, the reformers, does by general agreement in council persist in their vile corruptions, and wickedness, and obstinate opposition to the kingdom of Christ. The doctrines and practices</w:t>
      </w:r>
      <w:r>
        <w:rPr>
          <w:rStyle w:val="FootnoteReference"/>
        </w:rPr>
        <w:footnoteReference w:id="1845"/>
      </w:r>
      <w:r>
        <w:t xml:space="preserve"> of the church of Rome that were chiefly condemned by the reformed, were confirmed by the decrees of their council; and the corruptions in many respects were carried higher than ever before, and they uttered blasphemous reproaches and curses against the Reformed religion. And all the Reformed church was excommunicated and anathematized by 'em, and so according to the prophecy, "blasphemed God."</w:t>
      </w:r>
      <w:r>
        <w:rPr>
          <w:rStyle w:val="FootnoteReference"/>
        </w:rPr>
        <w:footnoteReference w:id="1846"/>
      </w:r>
      <w:r>
        <w:t xml:space="preserve"> Thus God hardened their hearts intending to destroy them.</w:t>
      </w:r>
      <w:r>
        <w:rPr>
          <w:rStyle w:val="FootnoteReference"/>
        </w:rPr>
        <w:footnoteReference w:id="1847"/>
      </w:r>
    </w:p>
    <w:p>
      <w:pPr>
        <w:pStyle w:val="BodyText"/>
      </w:pPr>
      <w:r>
        <w:t xml:space="preserve">2.</w:t>
      </w:r>
      <w:r>
        <w:rPr>
          <w:rStyle w:val="FootnoteReference"/>
        </w:rPr>
        <w:footnoteReference w:id="1848"/>
      </w:r>
      <w:r>
        <w:t xml:space="preserve"> The papists have often endeavored to overthrow the Reformation by secret plots and conspiracy. So there were many plots against the life of Luther. The papists seemed engaged to contrive to dispatch him and put him out of their way, and he as he was a very bold man often very much exposed himself in the cause of Christ; but yet they were wonderfully prevented from hurting him, and he at last died in his bed in peace.</w:t>
      </w:r>
    </w:p>
    <w:p>
      <w:pPr>
        <w:pStyle w:val="BodyText"/>
      </w:pPr>
      <w:r>
        <w:t xml:space="preserve">And so there have been from time to time innumerable schemes secretly laid for the overthrow of the Protestant religion, among which that which seems to be most</w:t>
      </w:r>
      <w:r>
        <w:rPr>
          <w:rStyle w:val="FootnoteReference"/>
        </w:rPr>
        <w:footnoteReference w:id="1849"/>
      </w:r>
      <w:r>
        <w:t xml:space="preserve"> considerable and which seemed to be the most likely to have taken effect, was that which was in the time of King James II of England, which is within the memory of many of you. There was at that time a strong conspiracy between the king of England and Louis XIV of France, that were both papists, to extirpate "the northern heresy," as they called the Protestant religion, not only out of England but out of all Europe; and had laid their schemes so that they seemed to be almost sure of their purpose. They looked upon it that if the Reformed religion was suppressed in the</w:t>
      </w:r>
    </w:p>
    <w:p>
      <w:pPr>
        <w:pStyle w:val="SourcePage"/>
      </w:pPr>
      <w:r>
        <w:t xml:space="preserve">[p. 426]</w:t>
      </w:r>
    </w:p>
    <w:p>
      <w:pPr>
        <w:pStyle w:val="BodyText"/>
      </w:pPr>
      <w:r>
        <w:t xml:space="preserve">British realm and in the Netherlands, that were the strongest part and chief defense of the Protestant interest, they should have easy work with the rest. And just as their matters seemed to be come to an head, and their enterprise ripe for execution, God in his providence suddenly dashed all their schemes in pieces by the revolution at the coming in of King William and Queen Mary, by which all their designs were at an end. And the Protestant interest was more strongly</w:t>
      </w:r>
      <w:r>
        <w:rPr>
          <w:rStyle w:val="FootnoteReference"/>
        </w:rPr>
        <w:footnoteReference w:id="1850"/>
      </w:r>
      <w:r>
        <w:t xml:space="preserve"> established by the crown of England being established in the Protestant house of Hanover, and a papist being by the constitution of the nation forever rendered incapable of wearing the crown of England. Thus they groped in darkness as at noonday, and their hands could not perform their enterprises, and their kingdom was full of darkness, and they gnawed their tongues for pain.</w:t>
      </w:r>
      <w:r>
        <w:rPr>
          <w:rStyle w:val="FootnoteReference"/>
        </w:rPr>
        <w:footnoteReference w:id="1851"/>
      </w:r>
      <w:r>
        <w:t xml:space="preserve"> After this there was a deep design laid to bring the same thing to pass in the latter end of Queen Anne's reign by the bringing in a popish pretender; which was no less suddenly and totally baffled by divine providence as the plots against the Reformation, by bringing in the pretender, have been from time to time.</w:t>
      </w:r>
    </w:p>
    <w:p>
      <w:pPr>
        <w:pStyle w:val="BodyText"/>
      </w:pPr>
      <w:r>
        <w:t xml:space="preserve">The third,</w:t>
      </w:r>
      <w:r>
        <w:rPr>
          <w:rStyle w:val="FootnoteReference"/>
        </w:rPr>
        <w:footnoteReference w:id="1852"/>
      </w:r>
      <w:r>
        <w:t xml:space="preserve"> the Reformation has often been opposed by open wars and invasions. So in the</w:t>
      </w:r>
      <w:r>
        <w:rPr>
          <w:rStyle w:val="FootnoteReference"/>
        </w:rPr>
        <w:footnoteReference w:id="1853"/>
      </w:r>
      <w:r>
        <w:t xml:space="preserve"> beginning of the Reformation, the emperor of Germany to suppress the Reformation declared war with the duke of Saxony and the principal who favored and received Luther's doctrine; but they could not obtain their end, could not suppress the Reformation [and had to] make peace. For the same end was war made with the Bohemians by the Emperor. For the same end the king of Spain maintained a long war with Holland and the old Low Countries in the century before last.</w:t>
      </w:r>
      <w:r>
        <w:rPr>
          <w:rStyle w:val="FootnoteReference"/>
        </w:rPr>
        <w:footnoteReference w:id="1854"/>
      </w:r>
      <w:r>
        <w:t xml:space="preserve"> But those cruel wars issued greatly to the disadvantage of the Romish church, as they occasioned the setting up one of the most powerful Protestant states in Europe which, next to the kingdom of Great Britain, is at this day the chief bearer of</w:t>
      </w:r>
      <w:r>
        <w:rPr>
          <w:rStyle w:val="FootnoteReference"/>
        </w:rPr>
        <w:footnoteReference w:id="1855"/>
      </w:r>
      <w:r>
        <w:t xml:space="preserve"> Protestant religion.</w:t>
      </w:r>
      <w:r>
        <w:rPr>
          <w:rStyle w:val="FootnoteReference"/>
        </w:rPr>
        <w:footnoteReference w:id="1856"/>
      </w:r>
      <w:r>
        <w:t xml:space="preserve"> And the design of the Spanish invasion of the kingdom of England in Queen Elizabeth's time was to suppress and root out the Reformed religion; and therefore they brought in</w:t>
      </w:r>
    </w:p>
    <w:p>
      <w:pPr>
        <w:pStyle w:val="SourcePage"/>
      </w:pPr>
      <w:r>
        <w:t xml:space="preserve">[p. 427]</w:t>
      </w:r>
    </w:p>
    <w:p>
      <w:pPr>
        <w:pStyle w:val="BodyText"/>
      </w:pPr>
      <w:r>
        <w:t xml:space="preserve">their fleet all manner of instruments of cruelty wherewith to torture the Protestants that would not renounce the Protestant religion. But their design was totally baffled, and their mighty fleet in a great measure ruined.</w:t>
      </w:r>
    </w:p>
    <w:p>
      <w:pPr>
        <w:pStyle w:val="BodyText"/>
      </w:pPr>
      <w:r>
        <w:rPr>
          <w:rStyle w:val="FootnoteReference"/>
        </w:rPr>
        <w:footnoteReference w:id="1857"/>
      </w:r>
      <w:r>
        <w:t xml:space="preserve">4.</w:t>
      </w:r>
      <w:r>
        <w:rPr>
          <w:rStyle w:val="FootnoteReference"/>
        </w:rPr>
        <w:footnoteReference w:id="1858"/>
      </w:r>
      <w:r>
        <w:t xml:space="preserve"> Satan has opposed the Reformation with cruel persecutions. The persecutions with which the Protestants in one kingdom and another have been persecuted by the church of Rome have in many respects been far beyond any of the heathen persecutions that were before Constantine the Great, and beyond all that ever were before. So that Antichrist has proved the greatest and cruelest enemy to the church of Christ that ever was in the world, in this as well as other respects agreeable to the description given of the church of Rome in the Revelation, Revelation 17:6, "And I saw the woman drunken with the blood of the saints, and with the blood of the martyrs of Jesus," Revelation 18:24, "And in her was found the blood of prophets, and of saints, and of all them that were slain upon the earth." The heathen persecutions had been very dreadful, but now persecution by the church of Rome was improved and studied and cultivated much as they would have done an art or science; such ways of afflicting and tormenting were found out</w:t>
      </w:r>
      <w:r>
        <w:rPr>
          <w:rStyle w:val="FootnoteReference"/>
        </w:rPr>
        <w:footnoteReference w:id="1859"/>
      </w:r>
      <w:r>
        <w:t xml:space="preserve"> as are beyond the thought and invention of ordinary men—men that are unstudied in those things—and had been beyond the invention of all former ages. And that persecution might be managed the more effectually, there was certain societies of men established in various parts of the popish dominions whose business it should be to study and improve and practice persecution in its highest perfection, which are those societies called the courts of inquisition. A reading the particular histories of the Romish persecution and their courts of inquisition will give that idea of them that a few words can't convey.</w:t>
      </w:r>
    </w:p>
    <w:p>
      <w:pPr>
        <w:pStyle w:val="BodyText"/>
      </w:pPr>
      <w:r>
        <w:t xml:space="preserve">When the Reformation began, the beast with seven heads [and ten horns]</w:t>
      </w:r>
      <w:r>
        <w:rPr>
          <w:rStyle w:val="FootnoteReference"/>
        </w:rPr>
        <w:footnoteReference w:id="1860"/>
      </w:r>
      <w:r>
        <w:t xml:space="preserve"> began to rage in a dreadful manner. After the Reformation, the church of Rome renewed its persecution of the poor Waldenses, and great multitudes of them were cruelly tortured and put to death. Soon after the Reformation, there were terrible persecutions in various parts of Germany, and especially in Bohemia, which lasted for thirty years together, in which so much blood was shed for the sake</w:t>
      </w:r>
    </w:p>
    <w:p>
      <w:pPr>
        <w:pStyle w:val="SourcePage"/>
      </w:pPr>
      <w:r>
        <w:t xml:space="preserve">[p. 428]</w:t>
      </w:r>
    </w:p>
    <w:p>
      <w:pPr>
        <w:pStyle w:val="BodyText"/>
      </w:pPr>
      <w:r>
        <w:t xml:space="preserve">of religion that a certain Swedish writer compares it to the plenty</w:t>
      </w:r>
      <w:r>
        <w:rPr>
          <w:rStyle w:val="FootnoteReference"/>
        </w:rPr>
        <w:footnoteReference w:id="1861"/>
      </w:r>
      <w:r>
        <w:t xml:space="preserve"> of waters of the great rivers of Germany. The countries of Poland, Lithuania, and Hungary was in like manner, as it were, deluged with Protestant blood, shed with like cruelties. By means of these and other cruel persecutions the Protestant religion was in a great measure suppressed in Bohemia and the Palatinate and Hungary that were before, as it were, Protestant countries. Thus was fulfilled what was foretold of the little horn, Daniel 7:20–21 ["And of the ten horns that were in his head, and of the other which came up, and before whom three fell; even of that horn that had eyes, and a mouth that spake very great things, whose look was more stout than his fellows. I beheld, and the same horn made war with the saints, and prevailed against them"]. And of the beast having seven heads ‹and ten horns›, Revelation 13:7, "And it was given unto him to make war with the saints, and to overcome them: [and power was given him over all kindreds, and tongues, and nations]."</w:t>
      </w:r>
    </w:p>
    <w:p>
      <w:pPr>
        <w:pStyle w:val="BodyText"/>
      </w:pPr>
      <w:r>
        <w:t xml:space="preserve">Also Holland and the other Low Countries were for many years a scene of nothing but the most affecting and amazing cruelties, being deluged with the blood of Protestants under the merciless hands of the Spaniards that they were then in subjection to. But in this persecution the devil has failed of his purpose in great measure by issuing in great</w:t>
      </w:r>
      <w:r>
        <w:rPr>
          <w:rStyle w:val="FootnoteReference"/>
        </w:rPr>
        <w:footnoteReference w:id="1862"/>
      </w:r>
      <w:r>
        <w:t xml:space="preserve"> part of the Netherlands casting off the Spanish yoke, and setting up a wealthy and powerful Protestant state to the great defense of the Protestant cause ever since.</w:t>
      </w:r>
    </w:p>
    <w:p>
      <w:pPr>
        <w:pStyle w:val="BodyText"/>
      </w:pPr>
      <w:r>
        <w:t xml:space="preserve">France also is another country that since the Reformation, in some respects perhaps more than any other, has been a scene of dreadful cruelties suffered by the Protestants there. After many cruelties that had been executed towards the Protestants in that kingdom alone, Charles IX, king of France, began a persecution of them in the year 1571. It began with a cruel massacre wherein 70,000 Protestants were slain in a few days' time, as the King boasted, and in all this persecution he slew, as is supposed, 300,000 martyrs. And 'tis reckoned that about this time, within thirty years, there were martyred in this kingdom for the Protestant religion 39 princes, 148 counts, 234 barons, 147,518 gentlemen, and 760,000 of the common people. But all these persecutions were, for exquisite cruelty, far exceeded by those</w:t>
      </w:r>
      <w:r>
        <w:rPr>
          <w:rStyle w:val="FootnoteReference"/>
        </w:rPr>
        <w:footnoteReference w:id="1863"/>
      </w:r>
    </w:p>
    <w:p>
      <w:pPr>
        <w:pStyle w:val="SourcePage"/>
      </w:pPr>
      <w:r>
        <w:t xml:space="preserve">[p. 429]</w:t>
      </w:r>
    </w:p>
    <w:p>
      <w:pPr>
        <w:pStyle w:val="BodyText"/>
      </w:pPr>
      <w:r>
        <w:t xml:space="preserve">that followed in the reign of Louis XIV</w:t>
      </w:r>
      <w:r>
        <w:rPr>
          <w:rStyle w:val="FootnoteReference"/>
        </w:rPr>
        <w:footnoteReference w:id="1864"/>
      </w:r>
      <w:r>
        <w:t xml:space="preserve"> which, indeed, are supposed to exceed all others that ever have been; which being long continued by reason of the long reign of that king, almost wholly extirpated the Protestant religion out of that kingdom where had been before multitudes of famous Protestant churches all over the kingdom. Thus it was given to the beast to make war with the saints and to overcome them.</w:t>
      </w:r>
      <w:r>
        <w:rPr>
          <w:rStyle w:val="FootnoteReference"/>
        </w:rPr>
        <w:footnoteReference w:id="1865"/>
      </w:r>
    </w:p>
    <w:p>
      <w:pPr>
        <w:pStyle w:val="BodyText"/>
      </w:pPr>
      <w:r>
        <w:t xml:space="preserve">There was also a terrible persecution in England in Queen Mary's [reign] wherein great numbers in all parts of the kingdom were burnt alive. And after this, though the Protestant religion has been, for the most part, established by law in England, yet there have been very severe persecutions by the high church men that symbolize in many things with the papists. Such a persecution was it that occasioned our forefathers to fly that country ‹to come and settle in this land›. And these persecutions were continued with little intermission till King William.</w:t>
      </w:r>
      <w:r>
        <w:rPr>
          <w:rStyle w:val="FootnoteReference"/>
        </w:rPr>
        <w:footnoteReference w:id="1866"/>
      </w:r>
      <w:r>
        <w:t xml:space="preserve"> Scotland has also been the scene for many years together of cruelties and blood by the hands of high church men, such as fell very little short of the popish persecution in Queen Mary's days, and in many things much exceeded it, which continued till they were delivered by King William.</w:t>
      </w:r>
    </w:p>
    <w:p>
      <w:pPr>
        <w:pStyle w:val="BodyText"/>
      </w:pPr>
      <w:r>
        <w:t xml:space="preserve">Ireland also has been, as it were, overwhelmed with Protestant blood. In the days of King Charles I of England, above 200,000 Protestants were cruelly murdered in that kingdom in a few days, the papists by a secret agreement among 'em rising all over the kingdom at an appointed time, intending to kill every Protestant in the kingdom at once. Besides these there were very cruel persecutions in Italy and Spain and other places, which I shall not stand to relate.</w:t>
      </w:r>
    </w:p>
    <w:p>
      <w:pPr>
        <w:pStyle w:val="BodyText"/>
      </w:pPr>
      <w:r>
        <w:t xml:space="preserve">Thus did the devil, and his great minister Antichrist, rage with such violence and cruelty against the church of Christ; and thus did the whore of Babylon make herself drunk with the blood of the saints and martyrs of Jesus;</w:t>
      </w:r>
      <w:r>
        <w:rPr>
          <w:rStyle w:val="FootnoteReference"/>
        </w:rPr>
        <w:footnoteReference w:id="1867"/>
      </w:r>
      <w:r>
        <w:t xml:space="preserve"> and thus by these persecutions the Protestant church has been much diminished. Yet withal have they not been able to prevail, but still the Protestant church is upheld, and Christ fulfils his promise.</w:t>
      </w:r>
      <w:r>
        <w:rPr>
          <w:rStyle w:val="FootnoteReference"/>
        </w:rPr>
        <w:footnoteReference w:id="1868"/>
      </w:r>
    </w:p>
    <w:p>
      <w:pPr>
        <w:pStyle w:val="SourcePage"/>
      </w:pPr>
      <w:r>
        <w:t xml:space="preserve">[p. 430]</w:t>
      </w:r>
    </w:p>
    <w:p>
      <w:pPr>
        <w:pStyle w:val="Heading2"/>
      </w:pPr>
      <w:bookmarkStart w:name="heading_no_10_sermon_twenty_four" w:id="77"/>
      <w:r>
        <w:t xml:space="preserve">No. 10: SERMON TWENTY-FOUR</w:t>
      </w:r>
      <w:bookmarkEnd w:id="77"/>
    </w:p>
    <w:p>
      <w:pPr>
        <w:pStyle w:val="BodyText"/>
      </w:pPr>
      <w:r>
        <w:rPr>
          <w:rStyle w:val="FootnoteReference"/>
        </w:rPr>
        <w:footnoteReference w:id="1869"/>
      </w:r>
    </w:p>
    <w:p>
      <w:pPr>
        <w:pStyle w:val="BodyText"/>
      </w:pPr>
      <w:r>
        <w:rPr>
          <w:rStyle w:val="FootnoteReference"/>
        </w:rPr>
        <w:footnoteReference w:id="1870"/>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3" w:id="78"/>
      <w:r>
        <w:t xml:space="preserve">DOCTRINE</w:t>
      </w:r>
      <w:bookmarkEnd w:id="78"/>
    </w:p>
    <w:p>
      <w:pPr>
        <w:pStyle w:val="BlockQuote"/>
      </w:pPr>
      <w:r>
        <w:rPr>
          <w:i/>
          <w:iCs/>
        </w:rPr>
        <w:t xml:space="preserve">[The Work of Redemption is a work that God carries on from the fall of man to the end of the world.]</w:t>
      </w:r>
    </w:p>
    <w:p>
      <w:pPr>
        <w:pStyle w:val="BodyText"/>
      </w:pPr>
      <w:r>
        <w:t xml:space="preserve">WE were last showing how the success of Christ's redemption was carried on from the Reformation to the present time: 1. Reformation itself, 2. the opposition that this Satan has made against it, 3. what success the gospel has lately had, 4. what the state of things is now in the world with regard to the church of Christ and the success of Christ's purchase. We were last speaking of the opposition. [There were] five sorts: 1. [the] general council, 2. secret plots and conspiracies, 3. open wars and invasions, 4. by civil persecutions, 5. by bringing in corrupt opinions. Having spoken of the four first of these I am now come to the,</w:t>
      </w:r>
    </w:p>
    <w:p>
      <w:pPr>
        <w:pStyle w:val="ListText"/>
        <w:numPr>
          <w:ilvl w:val="0"/>
          <w:numId w:val="5"/>
        </w:numPr>
      </w:pPr>
      <w:r>
        <w:t xml:space="preserve">[fifth]</w:t>
      </w:r>
      <w:r>
        <w:rPr>
          <w:rStyle w:val="FootnoteReference"/>
        </w:rPr>
        <w:footnoteReference w:id="1871"/>
      </w:r>
      <w:r>
        <w:t xml:space="preserve"> and last kind of opposition that Satan has</w:t>
      </w:r>
      <w:r>
        <w:rPr>
          <w:rStyle w:val="FootnoteReference"/>
        </w:rPr>
        <w:footnoteReference w:id="1872"/>
      </w:r>
      <w:r>
        <w:t xml:space="preserve"> made, viz. by corrupt opinions. Satan has opposed the light of the gospel that shone forth in the Reformation with many corrupt opinions, which he has brought in and propagated in the world. And here in the,</w:t>
      </w:r>
    </w:p>
    <w:p>
      <w:pPr>
        <w:pStyle w:val="BodyText"/>
      </w:pPr>
      <w:r>
        <w:t xml:space="preserve">First</w:t>
      </w:r>
      <w:r>
        <w:rPr>
          <w:rStyle w:val="FootnoteReference"/>
        </w:rPr>
        <w:footnoteReference w:id="1873"/>
      </w:r>
      <w:r>
        <w:t xml:space="preserve"> place, the first opposition of this kind was by raising up the sect of the Anabaptists which began about four or five years after the</w:t>
      </w:r>
    </w:p>
    <w:p>
      <w:pPr>
        <w:pStyle w:val="SourcePage"/>
      </w:pPr>
      <w:r>
        <w:t xml:space="preserve">[p. 431]</w:t>
      </w:r>
    </w:p>
    <w:p>
      <w:pPr>
        <w:pStyle w:val="BodyText"/>
      </w:pPr>
      <w:r>
        <w:t xml:space="preserve">Reformation itself began. This sect as it first appeared in Germany</w:t>
      </w:r>
      <w:r>
        <w:rPr>
          <w:rStyle w:val="FootnoteReference"/>
        </w:rPr>
        <w:footnoteReference w:id="1874"/>
      </w:r>
      <w:r>
        <w:t xml:space="preserve"> were vastly more extravagant than the present Anabaptists are in England. They held a great many exceeding corrupt opinions; one tenet of theirs was that there ought to be no civil authority, and so that it was lawful to rebel against civil authority. And on this principle they refused to submit to magistrates, or any human laws, and gathered together in vast armies to defend themselves against their civil rulers, and put all Germany into an uproar and so kept it for some time.</w:t>
      </w:r>
    </w:p>
    <w:p>
      <w:pPr>
        <w:pStyle w:val="BodyText"/>
      </w:pPr>
      <w:r>
        <w:t xml:space="preserve">The next</w:t>
      </w:r>
      <w:r>
        <w:rPr>
          <w:rStyle w:val="FootnoteReference"/>
        </w:rPr>
        <w:footnoteReference w:id="1875"/>
      </w:r>
      <w:r>
        <w:t xml:space="preserve"> opposition of this kind that was made against the Reformed religion was that which was made by enthusiasts. Those are called enthusiasts that falsely pretend to be inspired with the Holy Ghost, as the prophets were. These began in Germany about ten years after Luther began the Reformation, and there arose various sects of them that were exceeding wild and extravagant. The followers of these are the Quakers in England and other parts of the British dominions.</w:t>
      </w:r>
    </w:p>
    <w:p>
      <w:pPr>
        <w:pStyle w:val="BodyText"/>
      </w:pPr>
      <w:r>
        <w:t xml:space="preserve">The next</w:t>
      </w:r>
      <w:r>
        <w:rPr>
          <w:rStyle w:val="FootnoteReference"/>
        </w:rPr>
        <w:footnoteReference w:id="1876"/>
      </w:r>
      <w:r>
        <w:t xml:space="preserve"> to these were the Socinians, that had their beginning chiefly in Poland by the teaching of two men; the name of the one was Laelius Socinus and the other Faustus</w:t>
      </w:r>
      <w:r>
        <w:rPr>
          <w:rStyle w:val="FootnoteReference"/>
        </w:rPr>
        <w:footnoteReference w:id="1877"/>
      </w:r>
      <w:r>
        <w:t xml:space="preserve"> Socinus. They held that Christ was only a mere man, and denied Christ's satisfaction and most of the other fundamental doctrines of the Christian religion. Their heresy has since been greatly propagated among Protestants in Poland, Germany, Holland, and England, and other places.</w:t>
      </w:r>
    </w:p>
    <w:p>
      <w:pPr>
        <w:pStyle w:val="BodyText"/>
      </w:pPr>
      <w:r>
        <w:t xml:space="preserve">After</w:t>
      </w:r>
      <w:r>
        <w:rPr>
          <w:rStyle w:val="FootnoteReference"/>
        </w:rPr>
        <w:footnoteReference w:id="1878"/>
      </w:r>
      <w:r>
        <w:t xml:space="preserve"> these arose the Arminians. These appeared in Holland about 130 years ago. They take their name from a Dutchman whose name was Jacobus von Harmin, which turned into Latin is called Jacobus Arminius, and from his name the whole sect are called Arminians. This Jacobus Arminius was first a minister in Amsterdam, and then a professor of divinity in the University of Leiden. He had many followers in Holland. There was upon this a synod of all the Reformed churches called together, who met at Dort in Holland. The Synod of Dort condemned them, but yet they spread and prevailed. They began to prevail in England in the reign of King Charles I, especially in the Church of England. The Church of England divines</w:t>
      </w:r>
    </w:p>
    <w:p>
      <w:pPr>
        <w:pStyle w:val="SourcePage"/>
      </w:pPr>
      <w:r>
        <w:t xml:space="preserve">[p. 432]</w:t>
      </w:r>
    </w:p>
    <w:p>
      <w:pPr>
        <w:pStyle w:val="BodyText"/>
      </w:pPr>
      <w:r>
        <w:t xml:space="preserve">before that were almost universally Calvinists, but since that Arminianism has gradually more and more prevailed, till they</w:t>
      </w:r>
      <w:r>
        <w:rPr>
          <w:rStyle w:val="FootnoteReference"/>
        </w:rPr>
        <w:footnoteReference w:id="1879"/>
      </w:r>
      <w:r>
        <w:t xml:space="preserve"> are become almost universally Arminians; and not only so, but Arminianism has greatly prevailed among the Dissenters, and has spread greatly in New England as well as Old.</w:t>
      </w:r>
    </w:p>
    <w:p>
      <w:pPr>
        <w:pStyle w:val="BodyText"/>
      </w:pPr>
      <w:r>
        <w:t xml:space="preserve">Since this</w:t>
      </w:r>
      <w:r>
        <w:rPr>
          <w:rStyle w:val="FootnoteReference"/>
        </w:rPr>
        <w:footnoteReference w:id="1880"/>
      </w:r>
      <w:r>
        <w:t xml:space="preserve"> Arianism has been revived. As I told you before, Arianism a little after Constantine's time almost swallowed up the Christian world, like a flood out of the mouth of the serpent that threatened to swallow up the woman.</w:t>
      </w:r>
      <w:r>
        <w:rPr>
          <w:rStyle w:val="FootnoteReference"/>
        </w:rPr>
        <w:footnoteReference w:id="1881"/>
      </w:r>
      <w:r>
        <w:t xml:space="preserve"> And of late years this heresy has been revived in England, and greatly prevails there both in the Church of England and among Dissenters. These hold that [Christ and the Holy Ghost are but mere creatures].</w:t>
      </w:r>
      <w:r>
        <w:rPr>
          <w:rStyle w:val="FootnoteReference"/>
        </w:rPr>
        <w:footnoteReference w:id="1882"/>
      </w:r>
    </w:p>
    <w:p>
      <w:pPr>
        <w:pStyle w:val="BodyText"/>
      </w:pPr>
      <w:r>
        <w:t xml:space="preserve">Again,</w:t>
      </w:r>
      <w:r>
        <w:rPr>
          <w:rStyle w:val="FootnoteReference"/>
        </w:rPr>
        <w:footnoteReference w:id="1883"/>
      </w:r>
      <w:r>
        <w:t xml:space="preserve"> another thing that has of late exceedingly prevailed among Protestants, and especially in England, is deism. The deists wholly cast off the Christian religion, and are professed infidels. They ben't like the heretics, Arians and Socinians, and others, that own the Scriptures to be the word of God, and hold the Christian religion to be the true religion, but only deny these and these fundamental doctrines of the Christian religion; they deny the whole Christian religion. Indeed, they own the being</w:t>
      </w:r>
      <w:r>
        <w:rPr>
          <w:rStyle w:val="FootnoteReference"/>
        </w:rPr>
        <w:footnoteReference w:id="1884"/>
      </w:r>
      <w:r>
        <w:t xml:space="preserve"> of God but deny that Christ was the son of God, and say he was a mere cheat, and so they say all the prophets and apostles were. And they deny the whole Scripture; they deny that any of it is the word of God. They deny any revealed religion, or any word of God at all, and say that God has given mankind no other light to walk by but his own reason. This our nation, which is the principal nation of the Reformation, is very much overrun with and it prevails more and more. Thus much concerning the opposition that Satan has made against the Reformation. I proceed now in the,</w:t>
      </w:r>
    </w:p>
    <w:p>
      <w:pPr>
        <w:pStyle w:val="BodyText"/>
      </w:pPr>
      <w:r>
        <w:t xml:space="preserve">III.</w:t>
      </w:r>
      <w:r>
        <w:rPr>
          <w:rStyle w:val="FootnoteReference"/>
        </w:rPr>
        <w:footnoteReference w:id="1885"/>
      </w:r>
      <w:r>
        <w:t xml:space="preserve"> [third place], to show what success the gospel has more lately had, or what success it has had in these latter times of the Reformed church. This success may be reduced to these three kinds: 1. reformation in doctrine and worship in countries that are called Christian,</w:t>
      </w:r>
    </w:p>
    <w:p>
      <w:pPr>
        <w:pStyle w:val="SourcePage"/>
      </w:pPr>
      <w:r>
        <w:t xml:space="preserve">[p. 433]</w:t>
      </w:r>
    </w:p>
    <w:p>
      <w:pPr>
        <w:pStyle w:val="ListText"/>
        <w:numPr>
          <w:ilvl w:val="0"/>
          <w:numId w:val="3"/>
        </w:numPr>
      </w:pPr>
      <w:r>
        <w:t xml:space="preserve">propagation of the gospel among the heathen, 3. revival of religion in the power and practice of it.</w:t>
      </w:r>
    </w:p>
    <w:p>
      <w:pPr>
        <w:pStyle w:val="BodyText"/>
      </w:pPr>
      <w:r>
        <w:t xml:space="preserve">As to the 1.</w:t>
      </w:r>
      <w:r>
        <w:rPr>
          <w:rStyle w:val="FootnoteReference"/>
        </w:rPr>
        <w:footnoteReference w:id="1886"/>
      </w:r>
      <w:r>
        <w:t xml:space="preserve"> [first], viz. a reformation in doctrine, the most considerable success of the gospel that has</w:t>
      </w:r>
      <w:r>
        <w:rPr>
          <w:rStyle w:val="FootnoteReference"/>
        </w:rPr>
        <w:footnoteReference w:id="1887"/>
      </w:r>
      <w:r>
        <w:t xml:space="preserve"> been of late of this kind has been in the empire of Muscovy, which is a country of vast extent. The people of this country, so many of them as call themselves Christians, professed to be of the Greek church, but were barbarously ignorant and very superstitious till of late years their last emperor, Peter Alexander [the Great], who reigned till within these twenty years, set himself to reform the people of his dominion and took great pains to bring 'em out of their darkness and to have 'em instructed in religion. And to that end he set up schools of learning, and ordered the Bible to be printed in the language of the country, and made it a law that every family should keep the holy Scriptures in their houses, and that every person should be able to read the same, and that no persons should be allowed to marry till they were able to read the Scriptures. And he also reformed the churches of his country of many of their superstitions—whereby the religion professed and practiced as in Muscovy is much nearer that of the Protestants than formerly it used to be. This emperor gave great encouragement to the exercise of the Protestant religion in his dominions. And since that Muscovy is become a land of light in comparison of what it used to be before; wonderful</w:t>
      </w:r>
      <w:r>
        <w:rPr>
          <w:rStyle w:val="FootnoteReference"/>
        </w:rPr>
        <w:footnoteReference w:id="1888"/>
      </w:r>
      <w:r>
        <w:t xml:space="preserve"> alterations have been brought about in the face of religion for the better within this fifty years past. As to the,</w:t>
      </w:r>
    </w:p>
    <w:p>
      <w:pPr>
        <w:pStyle w:val="BodyText"/>
      </w:pPr>
      <w:r>
        <w:t xml:space="preserve">[2.] second</w:t>
      </w:r>
      <w:r>
        <w:rPr>
          <w:rStyle w:val="FootnoteReference"/>
        </w:rPr>
        <w:footnoteReference w:id="1889"/>
      </w:r>
      <w:r>
        <w:t xml:space="preserve"> kind of success which the gospel has lately had, viz. its propagation among the heathen, I would take notice of three things.</w:t>
      </w:r>
    </w:p>
    <w:p>
      <w:pPr>
        <w:pStyle w:val="BodyText"/>
      </w:pPr>
      <w:r>
        <w:t xml:space="preserve">1.</w:t>
      </w:r>
      <w:r>
        <w:rPr>
          <w:rStyle w:val="FootnoteReference"/>
        </w:rPr>
        <w:footnoteReference w:id="1890"/>
      </w:r>
      <w:r>
        <w:t xml:space="preserve"> The propagation there has been of the gospel among the heathen here in America. This American continent on which we live, which is a very great part of the world, together with its neighboring seas adjoining, takes up one side of the globe, [and] was wholly unknown to all Christian nations till of latter times. It was not known that there was any such part of the world, though it was very full of people. And therefore here the devil had the nations that inhabited this part of the world, as it were, secure to himself, out of the reach of the light of the gospel and so out of the way of molestation in his</w:t>
      </w:r>
    </w:p>
    <w:p>
      <w:pPr>
        <w:pStyle w:val="SourcePage"/>
      </w:pPr>
      <w:r>
        <w:t xml:space="preserve">[p. 434]</w:t>
      </w:r>
    </w:p>
    <w:p>
      <w:pPr>
        <w:pStyle w:val="BodyText"/>
      </w:pPr>
      <w:r>
        <w:t xml:space="preserve">dominion over them. And here the many nations of Indians from age to age worshipped him as God, while the gospel was confined to the opposite side of the globe. 'Tis a thing which if I remember right I have somewhere [heard] tell of, as probably supposed from some remaining accounts of things, that</w:t>
      </w:r>
      <w:r>
        <w:rPr>
          <w:rStyle w:val="FootnoteReference"/>
        </w:rPr>
        <w:footnoteReference w:id="1891"/>
      </w:r>
      <w:r>
        <w:t xml:space="preserve"> the occasion of the first peopling America was this: that the devil being alarmed and surprised by the wonderful success of the gospel that was the first three hundred years after Christ, and [by] the downfall of the heathen empire in Constantine's time, and seeing the gospel spread so fast, and fearing that his heathenish kingdom would be wholly overthrown through the world, led away a people from the other continent into America, that they might be quite out of the reach of the gospel that here he might quietly possess them and reign over them as their god.</w:t>
      </w:r>
    </w:p>
    <w:p>
      <w:pPr>
        <w:pStyle w:val="BodyText"/>
      </w:pPr>
      <w:r>
        <w:t xml:space="preserve">'Tis what many writers give an account of, that some of the nations of Indians when the Europeans first came into America had a tradition among them that their god first led 'em into this continent and went before 'em in an ark. Whether this was so or not, yet 'tis certain that the devil did here quietly enjoy his dominion over the poor nations of Indians for many ages. But of latter times God has sent the gospel here into these parts of the world, and now the Christian church is set up here in New England and other places of America, where before had been nothing but</w:t>
      </w:r>
      <w:r>
        <w:rPr>
          <w:rStyle w:val="FootnoteReference"/>
        </w:rPr>
        <w:footnoteReference w:id="1892"/>
      </w:r>
      <w:r>
        <w:t xml:space="preserve"> the grossest heathenish darkness. Great part of America is now full of Bibles, and full of at least the form of the worship of the true God and Jesus Christ, where the name of Christ before had not been heard for so long a time. And though there has been but a small propagation of the gospel among the heathen in comparison of what were to be wished for, yet there has been something worthy to be taken notice of; something remarkable in the first times of New England, and something remarkable has appeared of late here and in other parts of America among many Indians, of an inclination to be instructed in the Christian religion.</w:t>
      </w:r>
    </w:p>
    <w:p>
      <w:pPr>
        <w:pStyle w:val="BodyText"/>
      </w:pPr>
      <w:r>
        <w:t xml:space="preserve">And however small the propagation of the gospel among the heathen here in America has been hitherto, yet I think we may well look upon the discovery of so great a part of the world as America and bringing the gospel into it, is one thing by which divine providence is preparing the way for the future glorious times of the church when Satan's kingdom shall be overthrown not only throughout the Roman</w:t>
      </w:r>
    </w:p>
    <w:p>
      <w:pPr>
        <w:pStyle w:val="SourcePage"/>
      </w:pPr>
      <w:r>
        <w:t xml:space="preserve">[p. 435]</w:t>
      </w:r>
    </w:p>
    <w:p>
      <w:pPr>
        <w:pStyle w:val="BodyText"/>
      </w:pPr>
      <w:r>
        <w:t xml:space="preserve">empire but throughout the whole habitable globe, on every side and all its continents. When those</w:t>
      </w:r>
      <w:r>
        <w:rPr>
          <w:rStyle w:val="FootnoteReference"/>
        </w:rPr>
        <w:footnoteReference w:id="1893"/>
      </w:r>
      <w:r>
        <w:t xml:space="preserve"> times come, then doubtless the gospel which is already brought over into America shall have glorious success, and all the inhabitants of this new-discovered world shall be brought over into the kingdom of Christ, as well as all the other ends of the earth. And in all probability God has so ordered it that the mariner's compass, which is an invention of latter times whereby men are enabled to sail over the widest oceans when before they durst not venture far from land, I say, we may look upon this as a preparation of providence for what God intends to bring to pass in the glorious times of the church, viz. the sending forth the gospel wherever any of the children of men dwell how far soever off, and however separated by wide oceans from those parts of the world that are already Christianized.</w:t>
      </w:r>
    </w:p>
    <w:p>
      <w:pPr>
        <w:pStyle w:val="BodyText"/>
      </w:pPr>
      <w:r>
        <w:t xml:space="preserve">2.</w:t>
      </w:r>
      <w:r>
        <w:rPr>
          <w:rStyle w:val="FootnoteReference"/>
        </w:rPr>
        <w:footnoteReference w:id="1894"/>
      </w:r>
      <w:r>
        <w:t xml:space="preserve"> There has of late years been a very considerable propagation of the gospel among the heathen in the dominion of Muscovy. I have already observed the reformation there has lately been among those that are called Christians there, but I speak now of the heathen. Great part of the vast dominions of the</w:t>
      </w:r>
      <w:r>
        <w:rPr>
          <w:rStyle w:val="FootnoteReference"/>
        </w:rPr>
        <w:footnoteReference w:id="1895"/>
      </w:r>
      <w:r>
        <w:t xml:space="preserve"> emperor of Muscovy are gross heathens. The bigger part of Great Tartary, a heathen country, has of latter times been brought under the Muscovite government, and there has been of late great numbers of those heathens that have renounced their heathenism and have embraced the Christian religion.</w:t>
      </w:r>
    </w:p>
    <w:p>
      <w:pPr>
        <w:pStyle w:val="BodyText"/>
      </w:pPr>
      <w:r>
        <w:t xml:space="preserve">3.</w:t>
      </w:r>
      <w:r>
        <w:rPr>
          <w:rStyle w:val="FootnoteReference"/>
        </w:rPr>
        <w:footnoteReference w:id="1896"/>
      </w:r>
      <w:r>
        <w:t xml:space="preserve"> There has been lately a very considerable propagation of the Christian religion among the heathens in the East Indies. Particularly many in a country in the East Indies called Malabar have been brought over to the Christian Protestant religion, chiefly by the labors of certain missionaries sent there to instruct them by the king of Denmark, who brought over many heathens to the Christian faith, and set up schools among them, and a printing press to print Bibles and other books for their instruction in their own language, with great success. But the,</w:t>
      </w:r>
    </w:p>
    <w:p>
      <w:pPr>
        <w:pStyle w:val="BodyText"/>
      </w:pPr>
      <w:r>
        <w:t xml:space="preserve">3.</w:t>
      </w:r>
      <w:r>
        <w:rPr>
          <w:rStyle w:val="FootnoteReference"/>
        </w:rPr>
        <w:footnoteReference w:id="1897"/>
      </w:r>
      <w:r>
        <w:t xml:space="preserve"> [third] and last sort of success that has lately been of the gospel which I shall take notice of is the revivals of the power and practice</w:t>
      </w:r>
    </w:p>
    <w:p>
      <w:pPr>
        <w:pStyle w:val="SourcePage"/>
      </w:pPr>
      <w:r>
        <w:t xml:space="preserve">[p. 436]</w:t>
      </w:r>
    </w:p>
    <w:p>
      <w:pPr>
        <w:pStyle w:val="BodyText"/>
      </w:pPr>
      <w:r>
        <w:t xml:space="preserve">of religion that have lately been</w:t>
      </w:r>
      <w:r>
        <w:rPr>
          <w:rStyle w:val="FootnoteReference"/>
        </w:rPr>
        <w:footnoteReference w:id="1898"/>
      </w:r>
      <w:r>
        <w:t xml:space="preserve"> And here I shall take notice of but two instances.</w:t>
      </w:r>
    </w:p>
    <w:p>
      <w:pPr>
        <w:pStyle w:val="BodyText"/>
      </w:pPr>
      <w:r>
        <w:t xml:space="preserve">1.</w:t>
      </w:r>
      <w:r>
        <w:rPr>
          <w:rStyle w:val="FootnoteReference"/>
        </w:rPr>
        <w:footnoteReference w:id="1899"/>
      </w:r>
      <w:r>
        <w:t xml:space="preserve"> There has not long since been a remarkable revival of the power and practice of religion in Saxony in Germany. With the endeavors of an eminent divine there whose name was August Herman Frank, professor of divinity at Halle in Saxony, who being a person of eminent charity, the great work that God wrought by him began with his setting on foot a charitable design. It began only with his placing an alms box at his study door into which some poor mites were thrown, whereby books were bought for the instruction of the poor. And God was pleased so wonderfully to smile on his design and to pour out a spirit of charity on people there on that occasion, that with their charity he was enabled in a little time to erect public schools for the instruction of poor children, and an orphan house for the supply and instruction of the poor, so that at last it came to this, that near five hundred children were maintained and instructed, and about two thousand children under this instruction in such colleges or schools, in learning and piety by the charity of others. And the number continued increasing more and more for many years,</w:t>
      </w:r>
      <w:r>
        <w:rPr>
          <w:rStyle w:val="FootnoteReference"/>
        </w:rPr>
        <w:footnoteReference w:id="1900"/>
      </w:r>
      <w:r>
        <w:t xml:space="preserve"> and till the last account I have seen this was accompanied with a wonderful reformation and revival of religion, and a spirit of piety in the city and university of Halle. And thus it continued, which also had great influence in many other places in Germany. Their example seemed remarkably to stir up multitudes to their imitation.</w:t>
      </w:r>
    </w:p>
    <w:p>
      <w:pPr>
        <w:pStyle w:val="BodyText"/>
      </w:pPr>
      <w:r>
        <w:t xml:space="preserve">2.</w:t>
      </w:r>
      <w:r>
        <w:rPr>
          <w:rStyle w:val="FootnoteReference"/>
        </w:rPr>
        <w:footnoteReference w:id="1901"/>
      </w:r>
      <w:r>
        <w:t xml:space="preserve"> Another thing that it would be ungrateful for us not to take notice of, is that remarkable pouring out of the Spirit of God which has been in this part of New England, of which we in this town have had such a share. But it is needless for me particularly to describe it, it being what you have so lately been eyewitnesses to, and I hope multitudes of you sensible of the benefit of.</w:t>
      </w:r>
      <w:r>
        <w:rPr>
          <w:rStyle w:val="FootnoteReference"/>
        </w:rPr>
        <w:footnoteReference w:id="1902"/>
      </w:r>
    </w:p>
    <w:p>
      <w:pPr>
        <w:pStyle w:val="SourcePage"/>
      </w:pPr>
      <w:r>
        <w:t xml:space="preserve">[p. 437]</w:t>
      </w:r>
    </w:p>
    <w:p>
      <w:pPr>
        <w:pStyle w:val="BodyText"/>
      </w:pPr>
      <w:r>
        <w:t xml:space="preserve">Thus I have mentioned the more remarkable instances of the success the gospel has lately had in the world.</w:t>
      </w:r>
    </w:p>
    <w:p>
      <w:pPr>
        <w:pStyle w:val="BodyText"/>
      </w:pPr>
      <w:r>
        <w:t xml:space="preserve">I proceed now to the,</w:t>
      </w:r>
    </w:p>
    <w:p>
      <w:pPr>
        <w:pStyle w:val="BodyText"/>
      </w:pPr>
      <w:r>
        <w:t xml:space="preserve">IV. [fourth]</w:t>
      </w:r>
      <w:r>
        <w:rPr>
          <w:rStyle w:val="FootnoteReference"/>
        </w:rPr>
        <w:footnoteReference w:id="1903"/>
      </w:r>
      <w:r>
        <w:t xml:space="preserve"> and last thing that was proposed to be considered relating to the</w:t>
      </w:r>
      <w:r>
        <w:rPr>
          <w:rStyle w:val="FootnoteReference"/>
        </w:rPr>
        <w:footnoteReference w:id="1904"/>
      </w:r>
      <w:r>
        <w:t xml:space="preserve"> success of Christ's redemption during this space, viz. what the state of things is now in the world with regard to the church of Christ and the success of Christ's purchase. And this I would do by showing how things are now compared with the first times of the Reformation. And first I would show wherein the state of things is altered for the worse, and 2. [second] how altered for the better.</w:t>
      </w:r>
    </w:p>
    <w:p>
      <w:pPr>
        <w:pStyle w:val="BodyText"/>
      </w:pPr>
      <w:r>
        <w:t xml:space="preserve">1.</w:t>
      </w:r>
      <w:r>
        <w:rPr>
          <w:rStyle w:val="FootnoteReference"/>
        </w:rPr>
        <w:footnoteReference w:id="1905"/>
      </w:r>
      <w:r>
        <w:t xml:space="preserve"> I would show wherein the state of things is altered from what was in the beginning of the Reformation for the worse. And they are so especially in these three respects.</w:t>
      </w:r>
    </w:p>
    <w:p>
      <w:pPr>
        <w:pStyle w:val="BodyText"/>
      </w:pPr>
      <w:r>
        <w:t xml:space="preserve">1.</w:t>
      </w:r>
      <w:r>
        <w:rPr>
          <w:rStyle w:val="FootnoteReference"/>
        </w:rPr>
        <w:footnoteReference w:id="1906"/>
      </w:r>
      <w:r>
        <w:t xml:space="preserve"> The Reformed church is much diminished. The Reformation in the former times of it, as was observed before, was supposed to possess one-half of Christendom, excepting the Greek church; or that there were as many Protestants as papists. But now it is not so, the Protestant church is much diminished.</w:t>
      </w:r>
    </w:p>
    <w:p>
      <w:pPr>
        <w:pStyle w:val="BodyText"/>
      </w:pPr>
      <w:r>
        <w:t xml:space="preserve">Heretofore there have been multitudes of Protestants in the kingdom of France; many famous Protestant churches were all over that country</w:t>
      </w:r>
      <w:r>
        <w:rPr>
          <w:rStyle w:val="FootnoteReference"/>
        </w:rPr>
        <w:footnoteReference w:id="1907"/>
      </w:r>
      <w:r>
        <w:t xml:space="preserve"> who used to meet together in synods and to maintain a very regular discipline, and great parts of that kingdom were Protestant. The Protestant church of France was great part of the glory of the Reformation. But now it is far otherwise; this church is all broken to pieces and scattered. The Protestant religion is almost wholly rooted out of that kingdom by the cruel persecutions that have been there, and there is now scarcely a Protestant assembly in all the kingdom. The Protestant interest is also greatly diminished in Germany. There were several sovereign princes there formerly that were Protestants whose successors now are papists, as particularly the Elector Palatine and the elector of Saxony. The kingdom of Bohemia was formerly a Protestant kingdom, but is now in the hands of the papists. And so Hungary was mostly a Protestant country, but the Protestants there have been greatly reduced and in a great measure subdued by the persecutions that have been there. And the Protestant interest has no way remarkably gained ground of late of the church of Rome.</w:t>
      </w:r>
    </w:p>
    <w:p>
      <w:pPr>
        <w:pStyle w:val="SourcePage"/>
      </w:pPr>
      <w:r>
        <w:t xml:space="preserve">[p. 438]</w:t>
      </w:r>
    </w:p>
    <w:p>
      <w:pPr>
        <w:pStyle w:val="BodyText"/>
      </w:pPr>
      <w:r>
        <w:rPr>
          <w:rStyle w:val="FootnoteReference"/>
        </w:rPr>
        <w:footnoteReference w:id="1908"/>
      </w:r>
      <w:r>
        <w:t xml:space="preserve">2.</w:t>
      </w:r>
      <w:r>
        <w:rPr>
          <w:rStyle w:val="FootnoteReference"/>
        </w:rPr>
        <w:footnoteReference w:id="1909"/>
      </w:r>
      <w:r>
        <w:t xml:space="preserve"> Another thing wherein the state of things is altered for the worse from what was in the former times of the Reformation, is the prevailing of licentiousness in principles and opinions. There is not now that spirit of orthodoxy that then there was. There is very little appearance of zeal for the mysterious and spiritual doctrine of Christianity, and they never were so ridiculed and had in contempt as they are in the present age, and especially in England, the principal kingdom of the Reformation. In this kingdom those principles on which the power of godliness chiefly depends are in a great measure exploded, and Arianism and Socinianism and Arminianism and deism are the things that prevail and carry almost all before them. And particularly, history gives no account of any age wherein there was so great an apostasy of those that had been brought up under the light of the gospel to infidelity, never such a casting off the Christian religion and all revealed religion, never any age wherein</w:t>
      </w:r>
      <w:r>
        <w:rPr>
          <w:rStyle w:val="FootnoteReference"/>
        </w:rPr>
        <w:footnoteReference w:id="1910"/>
      </w:r>
      <w:r>
        <w:t xml:space="preserve"> was so much scoffing at and ridiculing the gospel of Christ by those that have been brought up under gospel light, nor anything like it as there is at this day.</w:t>
      </w:r>
    </w:p>
    <w:p>
      <w:pPr>
        <w:pStyle w:val="BodyText"/>
      </w:pPr>
      <w:r>
        <w:t xml:space="preserve">3.</w:t>
      </w:r>
      <w:r>
        <w:rPr>
          <w:rStyle w:val="FootnoteReference"/>
        </w:rPr>
        <w:footnoteReference w:id="1911"/>
      </w:r>
      <w:r>
        <w:t xml:space="preserve"> Another thing wherein things are ‹altered› for the worse is that there is much less of the prevalency of the power of godliness than ‹there was at the beginning of the Reformation›. There was a glorious outpouring of the Spirit of God that accompanied the first Reformation, not only to convert multitudes in so short a time from popery to the true religion, but to turn many to God and true godliness. Religion gloriously flourished in one country and another, as most remarkably appeared in those times of terrible persecution which have already been spoken [of]. But now there is an exceeding great decay of vital piety; yet it seems to be despised, called enthusiasm, whimsy, and fanaticism. Those that are truly religious are commonly looked upon as crackbrained. And vice and profaneness dreadfully prevails, like a flood that threatens to bear down all afore it.</w:t>
      </w:r>
    </w:p>
    <w:p>
      <w:pPr>
        <w:pStyle w:val="BodyText"/>
      </w:pPr>
      <w:r>
        <w:t xml:space="preserve">But I proceed now to show,</w:t>
      </w:r>
    </w:p>
    <w:p>
      <w:pPr>
        <w:pStyle w:val="BodyText"/>
      </w:pPr>
      <w:r>
        <w:rPr>
          <w:rStyle w:val="FootnoteReference"/>
        </w:rPr>
        <w:footnoteReference w:id="1912"/>
      </w:r>
      <w:r>
        <w:t xml:space="preserve">2.,</w:t>
      </w:r>
      <w:r>
        <w:rPr>
          <w:rStyle w:val="FootnoteReference"/>
        </w:rPr>
        <w:footnoteReference w:id="1913"/>
      </w:r>
      <w:r>
        <w:t xml:space="preserve"> in what respects things are altered for the better from what was in [the first times of the Reformation].</w:t>
      </w:r>
    </w:p>
    <w:p>
      <w:pPr>
        <w:pStyle w:val="SourcePage"/>
      </w:pPr>
      <w:r>
        <w:t xml:space="preserve">[p. 439]</w:t>
      </w:r>
    </w:p>
    <w:p>
      <w:pPr>
        <w:pStyle w:val="BodyText"/>
      </w:pPr>
      <w:r>
        <w:t xml:space="preserve">1.</w:t>
      </w:r>
      <w:r>
        <w:rPr>
          <w:rStyle w:val="FootnoteReference"/>
        </w:rPr>
        <w:footnoteReference w:id="1914"/>
      </w:r>
      <w:r>
        <w:t xml:space="preserve"> The Pope is much diminished in power and influence. Though he has since the former times of the Reformation gained ground in extent of dominion, yet he has lost in degree of influence. The vial that in the beginning of the Reformation was poured out on the throne of the beast to the great diminishing his power and authority in the world, has continued running ever since.</w:t>
      </w:r>
      <w:r>
        <w:rPr>
          <w:rStyle w:val="FootnoteReference"/>
        </w:rPr>
        <w:footnoteReference w:id="1915"/>
      </w:r>
      <w:r>
        <w:t xml:space="preserve"> The Pope soon after the Reformation became less regarded by the princes of Europe than he had been before, and so he has been since less and less. Many of the popish princes themselves seem now to regard him very little more than they think will serve their own designs, of which there have been several remarkable proofs and instances of late.</w:t>
      </w:r>
    </w:p>
    <w:p>
      <w:pPr>
        <w:pStyle w:val="BodyText"/>
      </w:pPr>
      <w:r>
        <w:t xml:space="preserve">2.</w:t>
      </w:r>
      <w:r>
        <w:rPr>
          <w:rStyle w:val="FootnoteReference"/>
        </w:rPr>
        <w:footnoteReference w:id="1916"/>
      </w:r>
      <w:r>
        <w:t xml:space="preserve"> There is far less persecution now than there was in the first times of the Reformation. You have heard already how dreadfully persecution raged in the former times of the Reformation, and there is</w:t>
      </w:r>
      <w:r>
        <w:rPr>
          <w:rStyle w:val="FootnoteReference"/>
        </w:rPr>
        <w:footnoteReference w:id="1917"/>
      </w:r>
      <w:r>
        <w:t xml:space="preserve"> something of it still. Some parts of the Protestant church are at this day under persecution, and so probably will be till the day of the church's suffering and travail is at an end, which will not be till the fall of Antichrist. But 'tis now in no measure as it has been heretofore. There don't seem to be the spirit of persecution prevailing; it is become more out of fashion even among the popish princes. The wickedness of the enemies of Christ, and the opposition against his cause, seems now to run in another channel. The humor now [is] to despise and laugh at all religion and hearken to a spirit of indifference about it. However, so far the state of things is better than it has been that there is so much less of persecution.</w:t>
      </w:r>
      <w:r>
        <w:rPr>
          <w:rStyle w:val="FootnoteReference"/>
        </w:rPr>
        <w:footnoteReference w:id="1918"/>
      </w:r>
    </w:p>
    <w:p>
      <w:pPr>
        <w:pStyle w:val="BodyText"/>
      </w:pPr>
      <w:r>
        <w:rPr>
          <w:rStyle w:val="FootnoteReference"/>
        </w:rPr>
        <w:footnoteReference w:id="1919"/>
      </w:r>
      <w:r>
        <w:t xml:space="preserve">3.</w:t>
      </w:r>
      <w:r>
        <w:rPr>
          <w:rStyle w:val="FootnoteReference"/>
        </w:rPr>
        <w:footnoteReference w:id="1920"/>
      </w:r>
      <w:r>
        <w:t xml:space="preserve"> And lastly there is a great increase of learning. In the dark times of popery before the Reformation, learning was so far decayed that the world seemed to be overrun with barbarous ignorance; their very priests were many of them grossly ignorant. Learning began to revive with the Reformation, which is owing very much to the art of</w:t>
      </w:r>
    </w:p>
    <w:p>
      <w:pPr>
        <w:pStyle w:val="SourcePage"/>
      </w:pPr>
      <w:r>
        <w:t xml:space="preserve">[p. 440]</w:t>
      </w:r>
    </w:p>
    <w:p>
      <w:pPr>
        <w:pStyle w:val="BodyText"/>
      </w:pPr>
      <w:r>
        <w:t xml:space="preserve">printing, which was invented a little before the Reformation. And since this learning has increased more and more, and at this day is undoubtedly raised to a vastly greater height than ever it was before. And though no good improvement is made of it by the bigger part of learned men, yet the increase of learning is in itself a thing</w:t>
      </w:r>
      <w:r>
        <w:rPr>
          <w:rStyle w:val="FootnoteReference"/>
        </w:rPr>
        <w:footnoteReference w:id="1921"/>
      </w:r>
      <w:r>
        <w:t xml:space="preserve"> to be rejoiced in because in itself it is good, and if duly improved an excellent handmaid to divinity and a talent which, if God gives men a heart, gives 'em great advantage to do great things for the advancement of the kingdom of Christ and the good of the souls of men.</w:t>
      </w:r>
    </w:p>
    <w:p>
      <w:pPr>
        <w:pStyle w:val="BodyText"/>
      </w:pPr>
      <w:r>
        <w:t xml:space="preserve">That learning and knowledge should greatly</w:t>
      </w:r>
      <w:r>
        <w:rPr>
          <w:rStyle w:val="FootnoteReference"/>
        </w:rPr>
        <w:footnoteReference w:id="1922"/>
      </w:r>
      <w:r>
        <w:t xml:space="preserve"> increase before the glorious times seems to be foretold in Daniel 12:4, "But thou, O Daniel, shut up the words, and seal the book, till the time of the end: many shall run [to and fro, and knowledge shall be increased]." And however little new learning is improved to the advantage of religion, yet we may hope that the days are approaching wherein God will make great improvement of it for the advancement of the kingdom of Christ. God in his providence now seems to be acting over again the same part which he did a little before Christ came. The age wherein Christ came into the world was an age wherein learning greatly prevailed, and was at a greater height than ever it had been before, and yet wickedness never more prevailed than then. So God was pleased to suffer human learning to come to such a height before he sent forth the gospel into the world, that the world might see the insufficiency of all their own wisdom for the obtaining the knowledge of God without the gospel of Christ and the teachings of God's Spirit. And when after that "in the wisdom of God,</w:t>
      </w:r>
      <w:r>
        <w:rPr>
          <w:rStyle w:val="FootnoteReference"/>
        </w:rPr>
        <w:footnoteReference w:id="1923"/>
      </w:r>
      <w:r>
        <w:t xml:space="preserve"> the world by wisdom knew not God, it pleased God by the foolishness [of preaching to save them that believe]."</w:t>
      </w:r>
      <w:r>
        <w:rPr>
          <w:rStyle w:val="FootnoteReference"/>
        </w:rPr>
        <w:footnoteReference w:id="1924"/>
      </w:r>
      <w:r>
        <w:t xml:space="preserve"> And then when the gospel came to prevail, first without the help of man's wisdom, then God was pleased to make use of learning as an handmaid.</w:t>
      </w:r>
    </w:p>
    <w:p>
      <w:pPr>
        <w:pStyle w:val="BodyText"/>
      </w:pPr>
      <w:r>
        <w:t xml:space="preserve">So now learning is at a great height at this day in the world—far beyond what it was in the age when Christ appeared. And now the world by their learning and wisdom don't know God. They seem to wander in the dark, are miserably deluded, stumble and fall in matters of religion as in midnight darkness. Trusting to their learning,</w:t>
      </w:r>
    </w:p>
    <w:p>
      <w:pPr>
        <w:pStyle w:val="SourcePage"/>
      </w:pPr>
      <w:r>
        <w:t xml:space="preserve">[p. 441]</w:t>
      </w:r>
    </w:p>
    <w:p>
      <w:pPr>
        <w:pStyle w:val="BodyText"/>
      </w:pPr>
      <w:r>
        <w:t xml:space="preserve">they grope in the daytime as in the night.</w:t>
      </w:r>
      <w:r>
        <w:rPr>
          <w:rStyle w:val="FootnoteReference"/>
        </w:rPr>
        <w:footnoteReference w:id="1925"/>
      </w:r>
      <w:r>
        <w:t xml:space="preserve"> Learned men, and dreadfully divided in their opinions, run into all manner of corrupt opinions and pernicious and foolish errors. They scorn to submit their reason to divine revelation, to believe anything that is above their comprehension, and so being wise in their own eyes, they become fools and ever vain in</w:t>
      </w:r>
      <w:r>
        <w:rPr>
          <w:rStyle w:val="FootnoteReference"/>
        </w:rPr>
        <w:footnoteReference w:id="1926"/>
      </w:r>
      <w:r>
        <w:t xml:space="preserve"> their imaginations, turn the truth of God in a lie, and their foolish hearts are darkened, Romans 1:21–22, Romans 1:25.</w:t>
      </w:r>
      <w:r>
        <w:rPr>
          <w:rStyle w:val="FootnoteReference"/>
        </w:rPr>
        <w:footnoteReference w:id="1927"/>
      </w:r>
    </w:p>
    <w:p>
      <w:pPr>
        <w:pStyle w:val="BodyText"/>
      </w:pPr>
      <w:r>
        <w:t xml:space="preserve">But yet when God has sufficiently shown men the insufficiency of ‹human wisdom›, when the appointed time comes for that glorious outpouring of God's Spirit, when he will himself by his own immediate influence enlighten men's minds; then may we hope that God will improve this great increase of learning as an handmaid to religion, a means of a glorious advancement of the kingdom of his Son, when human learning shall be subservient to understanding the Scriptures and a clear explaining and glorious defending the doctrines of Christianity. And there is no doubt to be made of it, that God in his providence has of late given the world the art of printing and such a great increase of learning to prepare for what he designs to accomplish for his church in the approaching days of its prosperity. And thus the wealth of the wicked is laid up for the just, agreeable to Proverbs 13:22</w:t>
      </w:r>
      <w:r>
        <w:rPr>
          <w:rStyle w:val="FootnoteReference"/>
        </w:rPr>
        <w:footnoteReference w:id="1928"/>
      </w:r>
    </w:p>
    <w:p>
      <w:pPr>
        <w:pStyle w:val="SourcePage"/>
      </w:pPr>
      <w:r>
        <w:t xml:space="preserve">[p. 442]</w:t>
      </w:r>
    </w:p>
    <w:p>
      <w:pPr>
        <w:pStyle w:val="Heading2"/>
      </w:pPr>
      <w:bookmarkStart w:name="heading_sermon_twenty_five" w:id="79"/>
      <w:r>
        <w:t xml:space="preserve">SERMON TWENTY-FIVE</w:t>
      </w:r>
      <w:bookmarkEnd w:id="79"/>
    </w:p>
    <w:p>
      <w:pPr>
        <w:pStyle w:val="BodyText"/>
      </w:pPr>
      <w:r>
        <w:rPr>
          <w:rStyle w:val="FootnoteReference"/>
        </w:rPr>
        <w:footnoteReference w:id="1929"/>
      </w:r>
    </w:p>
    <w:p>
      <w:pPr>
        <w:pStyle w:val="BodyText"/>
      </w:pPr>
      <w:r>
        <w:rPr>
          <w:rStyle w:val="FootnoteReference"/>
        </w:rPr>
        <w:footnoteReference w:id="1930"/>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4" w:id="80"/>
      <w:r>
        <w:t xml:space="preserve">DOCTRINE</w:t>
      </w:r>
      <w:bookmarkEnd w:id="80"/>
    </w:p>
    <w:p>
      <w:pPr>
        <w:pStyle w:val="BlockQuote"/>
      </w:pPr>
      <w:r>
        <w:rPr>
          <w:i/>
          <w:iCs/>
        </w:rPr>
        <w:t xml:space="preserve">[The Work of Redemption is a work that God carries on from the fall of man to the end of the world.]</w:t>
      </w:r>
    </w:p>
    <w:p>
      <w:pPr>
        <w:pStyle w:val="BodyText"/>
      </w:pPr>
      <w:r>
        <w:t xml:space="preserve">HAVING now shown how the Work of Redemption has been carried on from the fall of man to the present time, before I proceed any further I would make some,</w:t>
      </w:r>
    </w:p>
    <w:p>
      <w:pPr>
        <w:pStyle w:val="BodyText"/>
      </w:pPr>
      <w:r>
        <w:t xml:space="preserve">IMPROVEMENT</w:t>
      </w:r>
    </w:p>
    <w:p>
      <w:pPr>
        <w:pStyle w:val="BodyText"/>
      </w:pPr>
      <w:r>
        <w:t xml:space="preserve">I.</w:t>
      </w:r>
      <w:r>
        <w:rPr>
          <w:rStyle w:val="FootnoteReference"/>
        </w:rPr>
        <w:footnoteReference w:id="1931"/>
      </w:r>
      <w:r>
        <w:t xml:space="preserve"> From what has been said we may see great evidence of the truth of the Christian religion, and that the Scriptures are the word of God. There are three arguments of this that I shall take notice of that may be drawn from what has been said.</w:t>
      </w:r>
    </w:p>
    <w:p>
      <w:pPr>
        <w:pStyle w:val="BodyText"/>
      </w:pPr>
      <w:r>
        <w:t xml:space="preserve">1.</w:t>
      </w:r>
      <w:r>
        <w:rPr>
          <w:rStyle w:val="FootnoteReference"/>
        </w:rPr>
        <w:footnoteReference w:id="1932"/>
      </w:r>
      <w:r>
        <w:t xml:space="preserve"> It may be argued from that violent and inveterate opposition there has always appeared of the wickedness of the world against this religion. The religion that the church of God has professed, from the first founding of the church after the fall to this time, has always been the same. Though the dispensations have been altered, yet the religion that the church has professed has always as to its essentials</w:t>
      </w:r>
    </w:p>
    <w:p>
      <w:pPr>
        <w:pStyle w:val="SourcePage"/>
      </w:pPr>
      <w:r>
        <w:t xml:space="preserve">[p. 443]</w:t>
      </w:r>
    </w:p>
    <w:p>
      <w:pPr>
        <w:pStyle w:val="BodyText"/>
      </w:pPr>
      <w:r>
        <w:t xml:space="preserve">been the same. The church of God from the beginning has been one society; the Christian church that has been since Christ's ascension is</w:t>
      </w:r>
      <w:r>
        <w:rPr>
          <w:rStyle w:val="FootnoteReference"/>
        </w:rPr>
        <w:footnoteReference w:id="1933"/>
      </w:r>
      <w:r>
        <w:t xml:space="preserve"> manifestly the same society continued with the church that was before Christ came. The Christian church is grafted on to their root;</w:t>
      </w:r>
      <w:r>
        <w:rPr>
          <w:rStyle w:val="FootnoteReference"/>
        </w:rPr>
        <w:footnoteReference w:id="1934"/>
      </w:r>
      <w:r>
        <w:t xml:space="preserve"> they are built on the same foundation. The revelation that both have depended on is essentially the same, for as the Christian church is built on the holy Scriptures, so was the Jewish church, though now the Scriptures be enlarged by the addition of the New Testament. But still it is essentially the same revelation with that which was given in the Old Testament, but only the subjects of divine revelation are now more clearly revealed in the New Testament than they were in the Old. But the sum and substance of both the Old Testament and New is Christ and his redemption. The religion of the church of Israel was essentially the same religion with that of the Christian church, as abundantly appears from what has been said.</w:t>
      </w:r>
    </w:p>
    <w:p>
      <w:pPr>
        <w:pStyle w:val="BodyText"/>
      </w:pPr>
      <w:r>
        <w:t xml:space="preserve">The groundwork of the religion of the church of God, both before and since Christ has appeared, is the same great scheme of redemption by the Son of God. And so the church that was before the Israelitish church was still the same society, and it was essentially the same religion that was professed and practiced in it;</w:t>
      </w:r>
      <w:r>
        <w:rPr>
          <w:rStyle w:val="FootnoteReference"/>
        </w:rPr>
        <w:footnoteReference w:id="1935"/>
      </w:r>
      <w:r>
        <w:t xml:space="preserve"> thus it was from Noah to Abraham, and thus it was before the flood. And this society of men that is called the church has always been built on the foundation of those revelations that we have in the Scripture, which has always been essentially the same, though gradually increasing. The church before the flood was built on the foundation of those revelations of Christ that were given to Adam and Abel and Enoch, that we have an account of in the former chapters of Genesis, and others of the like import. The church after the flood was built on the foundation of ‹the revelations made› to Noah, and Abraham, Melchizedek, Isaac and Jacob and Joseph and Job, and other holy men which we have an account of in the Scriptures, or other revelations that were to the same purpose. And after this the church depended on the Scriptures themselves as they gradually increased. So that the church of God has always been built on the foundation of divine revelation, and always on those revelations that were essentially the same, and which are summarily comprehended in the holy Scriptures, and ever since about Moses' time have</w:t>
      </w:r>
      <w:r>
        <w:rPr>
          <w:rStyle w:val="FootnoteReference"/>
        </w:rPr>
        <w:footnoteReference w:id="1936"/>
      </w:r>
      <w:r>
        <w:t xml:space="preserve"> been built on the Scriptures themselves.</w:t>
      </w:r>
    </w:p>
    <w:p>
      <w:pPr>
        <w:pStyle w:val="SourcePage"/>
      </w:pPr>
      <w:r>
        <w:t xml:space="preserve">[p. 444]</w:t>
      </w:r>
    </w:p>
    <w:p>
      <w:pPr>
        <w:pStyle w:val="BodyText"/>
      </w:pPr>
      <w:r>
        <w:t xml:space="preserve">So that the opposition that has been made to the church of God in all ages has always been against the same religion and the same revelation. Now therefore, the violent and perpetual opposition that has ever been by the corruption and wickedness of mankind against this church, is a strong argument of the truth of this religion and this revelation that this church has always been built upon. Contraries are wel argued one from another; we may well and safely argue that a thing is good according to the degree of opposition in which it stands to evil, or the degree in which evil opposes it and is an enemy to it. We may well argue that a thing is light by the great enmity which darkness has to it. Now 'tis evident by those things that you have heard concerning the church of Christ and that holy religion of Jesus Christ that it has professed, that the wickedness of the world has had a perpetual hatred to it and has made most violent opposition.</w:t>
      </w:r>
    </w:p>
    <w:p>
      <w:pPr>
        <w:pStyle w:val="BodyText"/>
      </w:pPr>
      <w:r>
        <w:t xml:space="preserve">That the church of God has always met</w:t>
      </w:r>
      <w:r>
        <w:rPr>
          <w:rStyle w:val="FootnoteReference"/>
        </w:rPr>
        <w:footnoteReference w:id="1937"/>
      </w:r>
      <w:r>
        <w:t xml:space="preserve"> with great opposition in the world none can deny; this is plain by profane history as far as that reaches, and before that, divine history gives us the same account. The church of God and its religion and worship began to be opposed in Cain and Abel's time, and was so when the earth was filled with violence in Noah's time. And after this how was the church opposed in Egypt, and how was the church of Israel always hated by the nations round about, agreeable to that in Jeremiah 12:9, "Mine heritage is unto me as a speckled bird, the birds round about her are against her." And after the Babylonish captivity how was this church persecuted by Antiochus Epiphanes. And how was Christ persecuted when he was on earth, and how were the apostles persecuted, and other Christians, by the Jews before the destruction of Jerusalem by the Romans how violent were that people against it. And how dreadful was the opposition of the heathen world against the Christian church after this; before Constantine how great their spite against the true religion. And since that how yet more violent and spiteful</w:t>
      </w:r>
      <w:r>
        <w:rPr>
          <w:rStyle w:val="FootnoteReference"/>
        </w:rPr>
        <w:footnoteReference w:id="1938"/>
      </w:r>
      <w:r>
        <w:t xml:space="preserve"> and cruel has beer the opposition of Antichrist against the church.</w:t>
      </w:r>
    </w:p>
    <w:p>
      <w:pPr>
        <w:pStyle w:val="BodyText"/>
      </w:pPr>
      <w:r>
        <w:t xml:space="preserve">There is no other such instance of opposition. History gives no account of any other body of men that have been so hated and so maliciously and insatiably pursued and persecuted, nor anything like it. No other religion ever was so maligned age after age. The nations</w:t>
      </w:r>
    </w:p>
    <w:p>
      <w:pPr>
        <w:pStyle w:val="SourcePage"/>
      </w:pPr>
      <w:r>
        <w:t xml:space="preserve">[p. 445]</w:t>
      </w:r>
    </w:p>
    <w:p>
      <w:pPr>
        <w:pStyle w:val="BodyText"/>
      </w:pPr>
      <w:r>
        <w:t xml:space="preserve">of other professions have enjoyed their religions in peace and quietness, however they have differed from their neighbors. One nation has worshipped one sort of gods, and others another, without molesting or disturbing one another about it. All the spite and opposition has been against this religion that the church of Christ have professed. All other religions have seemed to show an implacable enmity to this. And men have seemed to have from one age to another such a spite against it, that they seemed as though they could never satisfy their cruelty. They put their inventions upon the rack to find out torments that should be cruel enough, and yet after all, never seemed to be satisfied. Their thirst</w:t>
      </w:r>
      <w:r>
        <w:rPr>
          <w:rStyle w:val="FootnoteReference"/>
        </w:rPr>
        <w:footnoteReference w:id="1939"/>
      </w:r>
      <w:r>
        <w:t xml:space="preserve"> has never been satisfied with blood.</w:t>
      </w:r>
    </w:p>
    <w:p>
      <w:pPr>
        <w:pStyle w:val="BodyText"/>
      </w:pPr>
      <w:r>
        <w:t xml:space="preserve">So that this is out of doubt that this religion and these Scriptures have always been malignantly opposed in the world; the only question that remains is, what it is that has made this opposition, whether or no it has been good or bad, whether it be the wickedness and corruption of the world or no that has done [this thing]. But of this there can be no greater doubt than [of the] other if we consider how baseless this cruelty has always been, who the opposers have been, and the manner in which they have opposed. The opposition has chiefly been from heathenism and popery, which things certainly are evil; they are both of them very evil, and the fruits of the blindness, corruption, and wickedness of men, as the very deists themselves confess.</w:t>
      </w:r>
      <w:r>
        <w:rPr>
          <w:rStyle w:val="FootnoteReference"/>
        </w:rPr>
        <w:footnoteReference w:id="1940"/>
      </w:r>
      <w:r>
        <w:t xml:space="preserve"> The light of nature shows that the religion of heathens, consisting in the worship of idols, and sacrificing their children to them, and obscene and abominable rites and ceremonies, is wickedness. And the superstitions and idolatries and usurpations of the church of Rome, are no less contrary to the light of nature.</w:t>
      </w:r>
      <w:r>
        <w:rPr>
          <w:rStyle w:val="FootnoteReference"/>
        </w:rPr>
        <w:footnoteReference w:id="1941"/>
      </w:r>
      <w:r>
        <w:t xml:space="preserve"> By this it appears that this opposition that has been made against the church of God has been made by wicked men.</w:t>
      </w:r>
    </w:p>
    <w:p>
      <w:pPr>
        <w:pStyle w:val="BodyText"/>
      </w:pPr>
      <w:r>
        <w:t xml:space="preserve">And with regard to the opposition of the Jews in Christ's and the apostles' times, it was in a most corrupt time in that nation, when the people were generally become exceeding wicked, as some of the Jewish writers themselves, as Josephus and others that lived about that time, do themselves expressly say.</w:t>
      </w:r>
      <w:r>
        <w:rPr>
          <w:rStyle w:val="FootnoteReference"/>
        </w:rPr>
        <w:footnoteReference w:id="1942"/>
      </w:r>
      <w:r>
        <w:t xml:space="preserve"> And that it has been mere wickedness that has made this opposition, is manifest from the manner of</w:t>
      </w:r>
    </w:p>
    <w:p>
      <w:pPr>
        <w:pStyle w:val="SourcePage"/>
      </w:pPr>
      <w:r>
        <w:t xml:space="preserve">[p. 446]</w:t>
      </w:r>
    </w:p>
    <w:p>
      <w:pPr>
        <w:pStyle w:val="BodyText"/>
      </w:pPr>
      <w:r>
        <w:t xml:space="preserve">opposition, the extreme violence, injustice, and cruelty with which the church of God has been treated; it seems to show the hand of malignant infernal spirits in it.</w:t>
      </w:r>
    </w:p>
    <w:p>
      <w:pPr>
        <w:pStyle w:val="BodyText"/>
      </w:pPr>
      <w:r>
        <w:t xml:space="preserve">Now what reason can be assigned why the corruption and wickedness of the world should so implacably set itself against this religion of Jesus Christ and those Scriptures, but only because they are contrary to wickedness, and consequently are good and holy. Why should the enemies of God for so many thousand years together manifest such a mortal hatred of this religion, but only because 'tis the cause of God. If the Scriptures ben't the word [of God], and the religion of the church of Christ ben't the</w:t>
      </w:r>
      <w:r>
        <w:rPr>
          <w:rStyle w:val="FootnoteReference"/>
        </w:rPr>
        <w:footnoteReference w:id="1943"/>
      </w:r>
      <w:r>
        <w:t xml:space="preserve"> true religion, then it must follow that 'tis a most wicked religion, nothing but a pack of lies and abominable delusions invented by the enemies of God themselves. And if this were so, 'tis not likely that the enemies of God and the wickedness of the world would have maintained such a perpetual and implacable enmity against it.</w:t>
      </w:r>
    </w:p>
    <w:p>
      <w:pPr>
        <w:pStyle w:val="BodyText"/>
      </w:pPr>
      <w:r>
        <w:t xml:space="preserve">2.</w:t>
      </w:r>
      <w:r>
        <w:rPr>
          <w:rStyle w:val="FootnoteReference"/>
        </w:rPr>
        <w:footnoteReference w:id="1944"/>
      </w:r>
      <w:r>
        <w:t xml:space="preserve"> 'Tis a great argument that the church and its religion is from God, that it has all been upheld hitherto through all the opposition and dangers it has passed through. That the church of God and the true religion, that has been so continually and violently opposed with so many great endeavors to overthrow it, and that has so often been brought to the brink of ruin, and almost swallowed up through the biggest part of six thousand years, has yet been upheld, does most remarkably show the hand of God in favor of the church. If we consider it, it will appear one of the greatest of wonders and miracles that ever came to pass. There is nothing else like it upon the face of the earth; there is no other society of men that has stood as the church has done. As to the old world that was before the flood, that was overthrown by a deluge of waters, but yet the church of God was preserved; Satan's visible kingdom on earth was then once entirely overthrown, but the</w:t>
      </w:r>
      <w:r>
        <w:rPr>
          <w:rStyle w:val="FootnoteReference"/>
        </w:rPr>
        <w:footnoteReference w:id="1945"/>
      </w:r>
      <w:r>
        <w:t xml:space="preserve"> visible kingdom of Christ never has been overthrown. All those ancient human kingdoms and monarchies that we read of that have been in former ages, they are long since come to an end. Those kingdoms that we read of in the Old Testament of the Moabites, [the Ammonites, the Edomites, and others, those]</w:t>
      </w:r>
      <w:r>
        <w:rPr>
          <w:rStyle w:val="FootnoteReference"/>
        </w:rPr>
        <w:footnoteReference w:id="1946"/>
      </w:r>
      <w:r>
        <w:t xml:space="preserve"> kingdoms are all long ago come to an end. Those four great monarchies</w:t>
      </w:r>
    </w:p>
    <w:p>
      <w:pPr>
        <w:pStyle w:val="SourcePage"/>
      </w:pPr>
      <w:r>
        <w:t xml:space="preserve">[p. 447]</w:t>
      </w:r>
    </w:p>
    <w:p>
      <w:pPr>
        <w:pStyle w:val="BodyText"/>
      </w:pPr>
      <w:r>
        <w:t xml:space="preserve">of the world that have been, have been overthrown one after another; the great empire of proud Babylon was overthrown by the Persians, and then ‹the Persian empire by the Greeks, the Grecian empire by the Romans, and then the Roman empire fell›. Here is a remarkable fulfillment of the words of the text with respect to other things, the greatest and most glorious of them they have all grown old and have vanished away. "The moth has eaten up as a garment and the worm has eaten 'em as wool,"</w:t>
      </w:r>
      <w:r>
        <w:rPr>
          <w:rStyle w:val="FootnoteReference"/>
        </w:rPr>
        <w:footnoteReference w:id="1947"/>
      </w:r>
      <w:r>
        <w:t xml:space="preserve"> but yet God's church remains.</w:t>
      </w:r>
    </w:p>
    <w:p>
      <w:pPr>
        <w:pStyle w:val="BodyText"/>
      </w:pPr>
      <w:r>
        <w:t xml:space="preserve">Never were there so many and so potent endeavors to destroy anything else as there has been to destroy the church. Other kingdoms and societies of men that have appeared ten times as strong as the church of God, have been destroyed with one hundredth part of the opposition</w:t>
      </w:r>
      <w:r>
        <w:rPr>
          <w:rStyle w:val="FootnoteReference"/>
        </w:rPr>
        <w:footnoteReference w:id="1948"/>
      </w:r>
      <w:r>
        <w:t xml:space="preserve"> that the church of God has met; which shows that it is God that has been her protector, for 'tis most plain that the church has not upheld itself by its own strength, for, for the most part, it has been a very weak society. They have been a little flock. So they were of old, the children of Israel were but a small handful of people in comparison of the many that often sought their overthrow. And so in Christ's time, and in the beginning of the Christian church after Christ's resurrection, they were but a remnant; but the whole multitude of the Jewish nation were against them. And so in the beginning of the Gentile church they were but a small number in comparison of the heathens that sought their overthrow. And so in the dark times of Antichrist before the Reformation, they were but a handful; and yet their enemies could not overthrow them.</w:t>
      </w:r>
    </w:p>
    <w:p>
      <w:pPr>
        <w:pStyle w:val="BodyText"/>
      </w:pPr>
      <w:r>
        <w:t xml:space="preserve">And it has commonly been so that the enemies of the church han't only had the greatest number of their side, but they have the strength of their side in other respects; they have commonly had all the civil authority of their side. So it was in Egypt; the civil authority was on the side of the Egyptians, and the church were only their slaves, and were in their hands; and yet they could not overthrow 'em. And so it was in the time of the persecution</w:t>
      </w:r>
      <w:r>
        <w:rPr>
          <w:rStyle w:val="FootnoteReference"/>
        </w:rPr>
        <w:footnoteReference w:id="1949"/>
      </w:r>
      <w:r>
        <w:t xml:space="preserve"> of Antiochus Epiphanes, the authority was all on the side of the persecutors, and the church was under their dominion; and yet all their cruelty could not extirpate it. And so it was afterwards, in the time of the heathen Roman government. So it was in the time of Julian the Apostate, who did his utmost to overthrow the Christian church and restore heathenism. And so</w:t>
      </w:r>
    </w:p>
    <w:p>
      <w:pPr>
        <w:pStyle w:val="SourcePage"/>
      </w:pPr>
      <w:r>
        <w:t xml:space="preserve">[p. 448]</w:t>
      </w:r>
    </w:p>
    <w:p>
      <w:pPr>
        <w:pStyle w:val="BodyText"/>
      </w:pPr>
      <w:r>
        <w:t xml:space="preserve">it has been for the most part since the rise of Antichrist; for a great many ages that the civil authority was all on the side of Antichrist, and the church seemed to be in their hands.</w:t>
      </w:r>
    </w:p>
    <w:p>
      <w:pPr>
        <w:pStyle w:val="BodyText"/>
      </w:pPr>
      <w:r>
        <w:t xml:space="preserve">And not only has the strength of the enemies of the church been greater than the strength of the church, but the church of Christ ordinarily han't used what strength they have had in their own defense, but committed themselves wholly to God. So it was in the times of the Jewish persecutions before the destruction of Jerusalem by the Romans, and so it was in the time of the heathen persecutions before Constantine. And the Christians did not rise up in arms to defend themselves; but they did not pretend to make only</w:t>
      </w:r>
      <w:r>
        <w:rPr>
          <w:rStyle w:val="FootnoteReference"/>
        </w:rPr>
        <w:footnoteReference w:id="1950"/>
      </w:r>
      <w:r>
        <w:t xml:space="preserve"> forcible resistance to their heathen persecutors. So it has for the most part been under the popish persecutions, and yet they have never been able to overthrow the</w:t>
      </w:r>
      <w:r>
        <w:rPr>
          <w:rStyle w:val="FootnoteReference"/>
        </w:rPr>
        <w:footnoteReference w:id="1951"/>
      </w:r>
      <w:r>
        <w:t xml:space="preserve"> church of God, but it stands still</w:t>
      </w:r>
      <w:r>
        <w:rPr>
          <w:rStyle w:val="FootnoteReference"/>
        </w:rPr>
        <w:footnoteReference w:id="1952"/>
      </w:r>
      <w:r>
        <w:t xml:space="preserve"> to this very day.</w:t>
      </w:r>
    </w:p>
    <w:p>
      <w:pPr>
        <w:pStyle w:val="BodyText"/>
      </w:pPr>
      <w:r>
        <w:t xml:space="preserve">And this is still the more exceeding wonderful if we consider how often the church has been approaching to the brink of ruin, and the case seemed to [be] lost, and all hope gone; they seemed to be swallowed up. In the time of the old world when wickedness so prevailed, as that but one family was left, and yet God wonderfully appeared and overthrew the wicked world with a flood and preserved his church. And so at the Red Sea, when Pharaoh and his host thought they were quite sure of their prey, yet God appeared and destroyed them, and delivered his church. And so it was from time to time in the church of Israel, as has been shown. So under the heathen persecution. In that tenth and last persecution their persecutors boasted that now they had done the business for the Christians, and had overthrown the Christian church; but yet in the midst of their triumph the Christian church all of a sudden rises out of the dust and prevails, and the heathen empire totally falls before it. So when the Christian church seemed ready to be swallowed up by the Arian heresy. So when Antichrist revived and all the world wondered after the beast.</w:t>
      </w:r>
      <w:r>
        <w:rPr>
          <w:rStyle w:val="FootnoteReference"/>
        </w:rPr>
        <w:footnoteReference w:id="1953"/>
      </w:r>
      <w:r>
        <w:t xml:space="preserve"> And the church for many hundred years was reduced to such a small number, and seemed to be hidden, and the power of the world</w:t>
      </w:r>
      <w:r>
        <w:rPr>
          <w:rStyle w:val="FootnoteReference"/>
        </w:rPr>
        <w:footnoteReference w:id="1954"/>
      </w:r>
      <w:r>
        <w:t xml:space="preserve"> was engaged to destroy those little remainders of the church;</w:t>
      </w:r>
    </w:p>
    <w:p>
      <w:pPr>
        <w:pStyle w:val="SourcePage"/>
      </w:pPr>
      <w:r>
        <w:t xml:space="preserve">[p. 449]</w:t>
      </w:r>
    </w:p>
    <w:p>
      <w:pPr>
        <w:pStyle w:val="BodyText"/>
      </w:pPr>
      <w:r>
        <w:t xml:space="preserve">yet they could never fully accomplish their design. And at last God wonderfully revived his church in the time of the Reformation, and made it to stand, as it were, up on its feet in the sight of its enemies, and carried it out of their reach. And so since when the popish powers have plotted the overthrow of the Reformed church, and have seemed just to bring their matters to a conclusion, and to have finished their design, then God wonderfully appeared for the deliverance of his church, as it was in the time of the revolution by King William. And so it has been from time to time; presently after the darkest times of the church God has made his church most gloriously to flourish.</w:t>
      </w:r>
    </w:p>
    <w:p>
      <w:pPr>
        <w:pStyle w:val="BodyText"/>
      </w:pPr>
      <w:r>
        <w:t xml:space="preserve">If such a preservation of the church of God from the beginning of the world, hitherto attended with such circumstances, is not sufficient to show a divine hand in favor of it, what can be devised that would? But if this be from the divine hand, then God owns the church, and owns her religion, and owns that revelation and those Scriptures on which she is built; and so it will follow that their religion is the true religion or God's religion, and the Scriptures that they make their rule his Word.</w:t>
      </w:r>
    </w:p>
    <w:p>
      <w:pPr>
        <w:pStyle w:val="BodyText"/>
      </w:pPr>
      <w:r>
        <w:rPr>
          <w:rStyle w:val="FootnoteReference"/>
        </w:rPr>
        <w:footnoteReference w:id="1955"/>
      </w:r>
      <w:r>
        <w:t xml:space="preserve">3.</w:t>
      </w:r>
      <w:r>
        <w:rPr>
          <w:rStyle w:val="FootnoteReference"/>
        </w:rPr>
        <w:footnoteReference w:id="1956"/>
      </w:r>
      <w:r>
        <w:t xml:space="preserve"> We may draw this further argument for the divine authority of the Scriptures from what has been said, that he has so fulfilled these things that are foretold in those Scriptures. I have already observed to you as I went along how the prophecies of Scripture were fulfilled, and I shall now therefore single out but two instances of the fulfillment of Scripture prophecy.</w:t>
      </w:r>
    </w:p>
    <w:p>
      <w:pPr>
        <w:pStyle w:val="BodyText"/>
      </w:pPr>
      <w:r>
        <w:t xml:space="preserve">1.</w:t>
      </w:r>
      <w:r>
        <w:rPr>
          <w:rStyle w:val="FootnoteReference"/>
        </w:rPr>
        <w:footnoteReference w:id="1957"/>
      </w:r>
      <w:r>
        <w:t xml:space="preserve"> One is in preserving his church from being ruined. I have just now shown what an evidence this is of the divine authority of the Scriptures in itself considered. I now speak of it as a fulfillment of Scripture prophecy. This is abundantly foretold and promised in the Scriptures, as it is in the text. There it is foretold that other things shall fall, other kingdoms and monarchies that set themselves in opposition should come to nothing, "The moth should eat [them up like a garment and the worm should eat them like wool]."</w:t>
      </w:r>
      <w:r>
        <w:rPr>
          <w:rStyle w:val="FootnoteReference"/>
        </w:rPr>
        <w:footnoteReference w:id="1958"/>
      </w:r>
      <w:r>
        <w:t xml:space="preserve"> And so it has come to pass. But it is here foretold that God's covenant mercy to his church should continue forever. And that it has proved hitherto: that it shall be continued forever, implying that being continued hitherto, though now it be so many ages afterward, and though the church</w:t>
      </w:r>
    </w:p>
    <w:p>
      <w:pPr>
        <w:pStyle w:val="SourcePage"/>
      </w:pPr>
      <w:r>
        <w:t xml:space="preserve">[p. 450]</w:t>
      </w:r>
    </w:p>
    <w:p>
      <w:pPr>
        <w:pStyle w:val="BodyText"/>
      </w:pPr>
      <w:r>
        <w:t xml:space="preserve">has passed through so many dangers. The same is promised, Isaiah 54:16–17 ["I have created the waster to destroy. No weapon that is formed against thee shall prosper; and every tongue that shall rise against thee in judgment thou shalt condemn"].</w:t>
      </w:r>
      <w:r>
        <w:rPr>
          <w:rStyle w:val="FootnoteReference"/>
        </w:rPr>
        <w:footnoteReference w:id="1959"/>
      </w:r>
      <w:r>
        <w:t xml:space="preserve"> And so, Isaiah 49:14–16 ["But Zion said, The Lord hath forsaken me, and my Lord hath forgotten me. Can a woman forget her suckling child, that she should not have compassion on the son of her womb? Yea, they may forget, yet will I not forget thee. Behold, I have graven thee upon the palms of my hands; thy walls are continually before me"]. The same is promised again, Isaiah 59:21 ["As for me, this is my covenant with them.… My spirit … shall not depart out of thy mouth, nor out of the mouth of thy seed … from henceforth and for ever"]. So Isaiah 43:1–2 ["Fear not: for I have redeemed thee … thou art mine. When thou passest through the waters, I will be with thee … when thou walkest through the fire, thou shalt not be burned"]. So Zechariah 12:2–3 ["Behold, I will make Jerusalem a cup of trembling unto all the people round about.… And in that day will I make Jerusalem a burdensome stone for all people"]. So Christ promises, "On this rock will I build [my church; and the gates of hell shall not prevail against it]."</w:t>
      </w:r>
      <w:r>
        <w:rPr>
          <w:rStyle w:val="FootnoteReference"/>
        </w:rPr>
        <w:footnoteReference w:id="1960"/>
      </w:r>
    </w:p>
    <w:p>
      <w:pPr>
        <w:pStyle w:val="BodyText"/>
      </w:pPr>
      <w:r>
        <w:t xml:space="preserve">Now if this was not from God, and the Scriptures ben't the word of God, and the church of Christ built on the foundation of this word ben't of God, how could the persons that foretold this know this; for if the church was not of God it was a very unlikely thing ever to come to pass. For they foretold the great opposition, and the great dangers, and also foretold that other kingdoms should come to nought, and foretold that the church should often be almost swallowed up, as it were easy to show, and yet foretold that the church should remain. Now how could</w:t>
      </w:r>
      <w:r>
        <w:rPr>
          <w:rStyle w:val="FootnoteReference"/>
        </w:rPr>
        <w:footnoteReference w:id="1961"/>
      </w:r>
      <w:r>
        <w:t xml:space="preserve"> they foresee so unlikely a thing but by divine inspiration?</w:t>
      </w:r>
    </w:p>
    <w:p>
      <w:pPr>
        <w:pStyle w:val="BodyText"/>
      </w:pPr>
      <w:r>
        <w:t xml:space="preserve">2.</w:t>
      </w:r>
      <w:r>
        <w:rPr>
          <w:rStyle w:val="FootnoteReference"/>
        </w:rPr>
        <w:footnoteReference w:id="1962"/>
      </w:r>
      <w:r>
        <w:t xml:space="preserve"> The other remarkable instance that I shall mention of the fulfillment of Scripture prophecy, is in fulfilling what is foretold concerning Antichrist. It is foretold in Scripture that Antichrist, a certain great opposer of Christ and his kingdom, [should arise]. And the way that this Antichrist should arise is foretold, viz. not among the heathens, those nations that never professed Christianity, but that he should arise by the apostasy and falling away of the Christian church</w:t>
      </w:r>
    </w:p>
    <w:p>
      <w:pPr>
        <w:pStyle w:val="SourcePage"/>
      </w:pPr>
      <w:r>
        <w:t xml:space="preserve">[p. 451]</w:t>
      </w:r>
    </w:p>
    <w:p>
      <w:pPr>
        <w:pStyle w:val="BodyText"/>
      </w:pPr>
      <w:r>
        <w:t xml:space="preserve">into a corrupt state, 2 Thessalonians 2:3 ["For that day shall not come, except there come a falling away first, and that man of sin be revealed, the son of perdition"]. And 'tis prophesied that this Antichrist, or man of sin, should be one that should set himself up in the temple as lord of God's temple, or visible church, pretending to be vested with the power of God himself, as head of the church, as there [in the] 2 Thessalonians 2:4 ["Who opposeth and exalteth himself above all that is called God … so that he as God sitteth in the temple of God"]. And all this is exactly come to pass in the church of Rome.</w:t>
      </w:r>
    </w:p>
    <w:p>
      <w:pPr>
        <w:pStyle w:val="BodyText"/>
      </w:pPr>
      <w:r>
        <w:t xml:space="preserve">Again, 'tis further intimated that the rise of Antichrist should be gradual, as there 2 Thessalonians 2:7 ["For the mystery of iniquity doth already work: only he who now letteth will let, until he be taken out of the way"]. ‹This also is› come to pass.</w:t>
      </w:r>
      <w:r>
        <w:rPr>
          <w:rStyle w:val="FootnoteReference"/>
        </w:rPr>
        <w:footnoteReference w:id="1963"/>
      </w:r>
      <w:r>
        <w:t xml:space="preserve"> Again, 'tis also prophesied of, such a great and mighty enemy of the Christian church should be a great prince or monarch of the Roman empire; so he is represented as an horn of the fourth beast in Daniel—[the] fourth kingdom or monarchy upon earth, as the angel himself explains it. See Daniel, as you may see of the little horn in the Daniel 7.</w:t>
      </w:r>
      <w:r>
        <w:rPr>
          <w:rStyle w:val="FootnoteReference"/>
        </w:rPr>
        <w:footnoteReference w:id="1964"/>
      </w:r>
      <w:r>
        <w:t xml:space="preserve"> This also is come to pass.</w:t>
      </w:r>
    </w:p>
    <w:p>
      <w:pPr>
        <w:pStyle w:val="BodyText"/>
      </w:pPr>
      <w:r>
        <w:t xml:space="preserve">Yea, 'tis prophesied that the seat of this great prince or pretend vicar of God and head of his church should be in the city of Rome itself. In the Revelation 17, 'tis said expressly that the spiritual whore or false church should have her seat on seven mountains or hills, Revelation 17:9, "The seven heads are seven mountains, where the woman sitteth." And in the last verse of the chapter, 'tis said expressly, "The woman which thou sawest is that great city, [which reigneth over the kings of the earth]," which it is certain was at that time the city of Rome.</w:t>
      </w:r>
      <w:r>
        <w:rPr>
          <w:rStyle w:val="FootnoteReference"/>
        </w:rPr>
        <w:footnoteReference w:id="1965"/>
      </w:r>
      <w:r>
        <w:t xml:space="preserve"> [This prophecy also is] come to pass [in the church of Rome]. Further [it was prophesied] that this Antichrist should reign over "peoples, and multitudes, and nations, and tongues," Revelation 17:15, </w:t>
      </w:r>
      <w:r>
        <w:rPr>
          <w:rStyle w:val="FootnoteReference"/>
        </w:rPr>
        <w:footnoteReference w:id="1966"/>
      </w:r>
      <w:r>
        <w:t xml:space="preserve"> and that "all the world should wonder after the beast," Revelation 13:3. [This also is] come to pass.</w:t>
      </w:r>
    </w:p>
    <w:p>
      <w:pPr>
        <w:pStyle w:val="BodyText"/>
      </w:pPr>
      <w:r>
        <w:t xml:space="preserve">[It was foretold] that [this Antichrist should be] eminent and remarkable</w:t>
      </w:r>
    </w:p>
    <w:p>
      <w:pPr>
        <w:pStyle w:val="SourcePage"/>
      </w:pPr>
      <w:r>
        <w:t xml:space="preserve">[p. 452]</w:t>
      </w:r>
    </w:p>
    <w:p>
      <w:pPr>
        <w:pStyle w:val="BodyText"/>
      </w:pPr>
      <w:r>
        <w:t xml:space="preserve">for the sin of pride, pretending to great things, and assuming very much to himself; so in the forementioned [place in II] Thessalonians, "[who opposes and] exalts himself above all [that is called God]."</w:t>
      </w:r>
      <w:r>
        <w:rPr>
          <w:rStyle w:val="FootnoteReference"/>
        </w:rPr>
        <w:footnoteReference w:id="1967"/>
      </w:r>
      <w:r>
        <w:t xml:space="preserve"> So Revelation 13:5, "And there was given to him a mouth speaking great [things and blasphemies]"; Daniel 7:20, the little horn is said to have a mouth speaking very great things and his look to be more stout than his fellows.</w:t>
      </w:r>
      <w:r>
        <w:rPr>
          <w:rStyle w:val="FootnoteReference"/>
        </w:rPr>
        <w:footnoteReference w:id="1968"/>
      </w:r>
      <w:r>
        <w:t xml:space="preserve"> [This is also] come to pass. [It was foretold that Antichrist should] excel in craft and policy, Daniel 7:8, [the] horn had "eyes as the eyes of a man"; Daniel 7:20, "[even of that] horn that had eyes." [This is also] come to pass. [It was also prophesied that Antichrist should be] an exceeding cruel persecutor, Daniel 7:21, "[The] same horn made war with the saints and prevailed against them"; Revelation 13:7, "And it was given to him to make war with [the saints, and to overcome them]"; Revelation 17:6, "And I saw the woman drunk [with the blood of the saints, and with the blood of the martyrs of Jesus]." [This is also] come to pass.</w:t>
      </w:r>
    </w:p>
    <w:p>
      <w:pPr>
        <w:pStyle w:val="BodyText"/>
      </w:pPr>
      <w:r>
        <w:rPr>
          <w:rStyle w:val="FootnoteReference"/>
        </w:rPr>
        <w:footnoteReference w:id="1969"/>
      </w:r>
      <w:r>
        <w:t xml:space="preserve">[It was] foretold [that the] kings of Christendom should be subject [to Antichrist], Revelation 17:12–13, "[And the] ten horns" are said to be "ten kings" of the Roman empire that should "have one mind, and give their power and strength unto the beast." [This is also] come to pass. [It was also foretold that he should perform] pretended miracles and lying wonders, 2 Thessalonians 2:9, "Whose coming is after the working of Satan with all power and signs and lying wonders"; Revelation 13:13–14 ["And he doeth great wonders, so that he maketh fire come down from heaven on the earth in the sight of men, And deceiveth them that dwell on the earth by the means of those miracles which he had power to do in the sight of the beast"]. [This is also] come to pass. "Fire come down from heaven" seems to have relation to their excommunication.</w:t>
      </w:r>
    </w:p>
    <w:p>
      <w:pPr>
        <w:pStyle w:val="BodyText"/>
      </w:pPr>
      <w:r>
        <w:t xml:space="preserve">[It was foretold that Antichrist shall] forbid to marry and [will have] caused [them] to abstain from meats, 1 Timothy 4:3.</w:t>
      </w:r>
      <w:r>
        <w:rPr>
          <w:rStyle w:val="FootnoteReference"/>
        </w:rPr>
        <w:footnoteReference w:id="1970"/>
      </w:r>
      <w:r>
        <w:t xml:space="preserve"> [This is also] come to pass. [It was foretold that he] should be very rich, and arrive at a great degree of earthly splendor and glory, Revelation 17:4 ["And the</w:t>
      </w:r>
    </w:p>
    <w:p>
      <w:pPr>
        <w:pStyle w:val="SourcePage"/>
      </w:pPr>
      <w:r>
        <w:t xml:space="preserve">[p. 453]</w:t>
      </w:r>
    </w:p>
    <w:p>
      <w:pPr>
        <w:pStyle w:val="BodyText"/>
      </w:pPr>
      <w:r>
        <w:t xml:space="preserve">woman was arrayed in purple and scarlet colour, and decked with gold and precious stones and pearls, having a golden cup in her hand"].</w:t>
      </w:r>
      <w:r>
        <w:rPr>
          <w:rStyle w:val="FootnoteReference"/>
        </w:rPr>
        <w:footnoteReference w:id="1971"/>
      </w:r>
      <w:r>
        <w:t xml:space="preserve"> And so Revelation 18:7 ["How much she hath glorified herself, and lived deliciously"]; Revelation 18:12 [She sold "merchandise of gold, and silver, and precious stones, and of pearls"]; Revelation 18:16 ["Alas, alas that great city, that was clothed in fine linen, and purple … and decked with gold"]. [This also is] come to pass. [It was foretold that Antichrist] should forbid any to buy or sell, Revelation 13:17. [This also is] come to pass. [It was foretold that he should] sell souls of men, Revelation 18:13.</w:t>
      </w:r>
      <w:r>
        <w:rPr>
          <w:rStyle w:val="FootnoteReference"/>
        </w:rPr>
        <w:footnoteReference w:id="1972"/>
      </w:r>
      <w:r>
        <w:t xml:space="preserve"> [This is also] come to pass. [It was foretold that Antichrist would] not suffer the bodies of God's people to be put in graves, Revelation 11:8–9 ["And their dead bodies shall lie in the street of the great city.… And they … shall not suffer their dead bodies to be put in graves"].</w:t>
      </w:r>
      <w:r>
        <w:rPr>
          <w:rStyle w:val="FootnoteReference"/>
        </w:rPr>
        <w:footnoteReference w:id="1973"/>
      </w:r>
      <w:r>
        <w:t xml:space="preserve"> [This also has] come to pass.</w:t>
      </w:r>
    </w:p>
    <w:p>
      <w:pPr>
        <w:pStyle w:val="BodyText"/>
      </w:pPr>
      <w:r>
        <w:t xml:space="preserve">I might mention many other things. How strong an argument is this that the Scriptures are the word of God.</w:t>
      </w:r>
    </w:p>
    <w:p>
      <w:pPr>
        <w:pStyle w:val="BodyText"/>
      </w:pPr>
      <w:r>
        <w:t xml:space="preserve">But I come now to a,</w:t>
      </w:r>
    </w:p>
    <w:p>
      <w:pPr>
        <w:pStyle w:val="BodyText"/>
      </w:pPr>
      <w:r>
        <w:t xml:space="preserve">II.</w:t>
      </w:r>
      <w:r>
        <w:rPr>
          <w:rStyle w:val="FootnoteReference"/>
        </w:rPr>
        <w:footnoteReference w:id="1974"/>
      </w:r>
      <w:r>
        <w:t xml:space="preserve"> [second] inference, which is this: from what has [been] said we may learn what the spirit of true Christians is, viz. a suffering [spirit]. Seeing that God has so ordered it in his providence that his church should for so long</w:t>
      </w:r>
      <w:r>
        <w:rPr>
          <w:rStyle w:val="FootnoteReference"/>
        </w:rPr>
        <w:footnoteReference w:id="1975"/>
      </w:r>
      <w:r>
        <w:t xml:space="preserve"> a time, for the bigger part of so many ages, be in a suffering state, yea and often in a state of such extreme suffering, we may conclude that the spirit of the true church is a suffering spirit. Otherwise God never would have ordered so much suffering for the church; for doubtless God accommodates the state and circumstances of the church to the spirit that he has given them.</w:t>
      </w:r>
    </w:p>
    <w:p>
      <w:pPr>
        <w:pStyle w:val="BodyText"/>
      </w:pPr>
      <w:r>
        <w:t xml:space="preserve">We see by what has been said how many and great sufferings the Christian church for the most part has been under for these seventeen hundred years. No wonder, therefore, that Christ was so much in telling his disciples that it was necessary that, if any would be his disciple, ["let him deny himself, and take up his cross, and follow" him].</w:t>
      </w:r>
      <w:r>
        <w:rPr>
          <w:rStyle w:val="FootnoteReference"/>
        </w:rPr>
        <w:footnoteReference w:id="1976"/>
      </w:r>
      <w:r>
        <w:t xml:space="preserve"> And we may argue that the spirit of the true church of Christ is a suffering spirit by the spirit the church has shown and exercised</w:t>
      </w:r>
    </w:p>
    <w:p>
      <w:pPr>
        <w:pStyle w:val="SourcePage"/>
      </w:pPr>
      <w:r>
        <w:t xml:space="preserve">[p. 454]</w:t>
      </w:r>
    </w:p>
    <w:p>
      <w:pPr>
        <w:pStyle w:val="BodyText"/>
      </w:pPr>
      <w:r>
        <w:t xml:space="preserve">under her sufferings. She has actually, under those terrible persecuting rulers, chosen to undergo those dreadful torments—to sell all, to suffer all.</w:t>
      </w:r>
      <w:r>
        <w:rPr>
          <w:rStyle w:val="FootnoteReference"/>
        </w:rPr>
        <w:footnoteReference w:id="1977"/>
      </w:r>
      <w:r>
        <w:t xml:space="preserve"> History furnishes us with great numbers of remarkable instances, and</w:t>
      </w:r>
      <w:r>
        <w:rPr>
          <w:rStyle w:val="FootnoteReference"/>
        </w:rPr>
        <w:footnoteReference w:id="1978"/>
      </w:r>
      <w:r>
        <w:t xml:space="preserve"> sets in view a great cloud of witnesses. This abundantly confirms the necessity of being of a spirit to sell all for Christ, to renounce our own ease, our worldly profit and honor, and our all, and [to have] a spirit of readiness to undergo hardship.</w:t>
      </w:r>
    </w:p>
    <w:p>
      <w:pPr>
        <w:pStyle w:val="BodyText"/>
      </w:pPr>
      <w:r>
        <w:t xml:space="preserve">Let us inquire whether we are of such a spirit. How does it prove ‹upon trial›. Alas, how small are our trials. And I would on this occasion apply that [verse], Jeremiah 12:5, "If thou hast run with [the] footmen, [and they have wearied thee, then how canst thou contend with horses?]." Every true Christian has the spirit of a martyr.</w:t>
      </w:r>
    </w:p>
    <w:p>
      <w:pPr>
        <w:pStyle w:val="BodyText"/>
      </w:pPr>
      <w:r>
        <w:t xml:space="preserve">III.</w:t>
      </w:r>
      <w:r>
        <w:rPr>
          <w:rStyle w:val="FootnoteReference"/>
        </w:rPr>
        <w:footnoteReference w:id="1979"/>
      </w:r>
      <w:r>
        <w:t xml:space="preserve"> Hence we learn what great reason we have assuredly to expect the fulfillment of what yet remains to be fulfilled of what the Scriptures have</w:t>
      </w:r>
      <w:r>
        <w:rPr>
          <w:rStyle w:val="FootnoteReference"/>
        </w:rPr>
        <w:footnoteReference w:id="1980"/>
      </w:r>
      <w:r>
        <w:t xml:space="preserve"> foretold. [There] still remain great things to be fulfilled. There seem to be great difficulties in the way. We seem at present to be far off. But we have abundant reason to expect ‹that these things will yet be accomplished›. We see the faithfulness of God to his promises. How true has God been to his church, and remembered his mercy from generation to generation.</w:t>
      </w:r>
      <w:r>
        <w:rPr>
          <w:rStyle w:val="FootnoteReference"/>
        </w:rPr>
        <w:footnoteReference w:id="1981"/>
      </w:r>
      <w:r>
        <w:t xml:space="preserve"> We may say concerning what God has done hitherto, as Joshua said to the children of Israel, Joshua 23:14, "That not one thing hath failed of all that the Lord our God has spoken" concerning his church.</w:t>
      </w:r>
      <w:r>
        <w:rPr>
          <w:rStyle w:val="FootnoteReference"/>
        </w:rPr>
        <w:footnoteReference w:id="1982"/>
      </w:r>
      <w:r>
        <w:t xml:space="preserve"> But all things are hitherto come to pass agreeable to the divine prediction. This should strengthen our faith in those promises, and encourage [and] stir us up to earnest prayer to God for the accomplishment of these great and glorious things that yet remain to be fulfilled.</w:t>
      </w:r>
    </w:p>
    <w:p>
      <w:pPr>
        <w:pStyle w:val="SourcePage"/>
      </w:pPr>
      <w:r>
        <w:t xml:space="preserve">[p. 455]</w:t>
      </w:r>
    </w:p>
    <w:p>
      <w:pPr>
        <w:pStyle w:val="Heading2"/>
      </w:pPr>
      <w:bookmarkStart w:name="heading_no_11_sermon_twenty_six" w:id="81"/>
      <w:r>
        <w:t xml:space="preserve">No. 11: SERMON TWENTY-SIX</w:t>
      </w:r>
      <w:bookmarkEnd w:id="81"/>
    </w:p>
    <w:p>
      <w:pPr>
        <w:pStyle w:val="BodyText"/>
      </w:pPr>
      <w:r>
        <w:rPr>
          <w:rStyle w:val="FootnoteReference"/>
        </w:rPr>
        <w:footnoteReference w:id="1983"/>
      </w:r>
    </w:p>
    <w:p>
      <w:pPr>
        <w:pStyle w:val="BodyText"/>
      </w:pPr>
      <w:r>
        <w:rPr>
          <w:rStyle w:val="FootnoteReference"/>
        </w:rPr>
        <w:footnoteReference w:id="1984"/>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5" w:id="82"/>
      <w:r>
        <w:t xml:space="preserve">DOCTRINE</w:t>
      </w:r>
      <w:bookmarkEnd w:id="82"/>
    </w:p>
    <w:p>
      <w:pPr>
        <w:pStyle w:val="BlockQuote"/>
      </w:pPr>
      <w:r>
        <w:rPr>
          <w:i/>
          <w:iCs/>
        </w:rPr>
        <w:t xml:space="preserve">[The Work of Redemption is a work that God carries on from the fall of man to the end of the world.]</w:t>
      </w:r>
    </w:p>
    <w:p>
      <w:pPr>
        <w:pStyle w:val="Heading3"/>
      </w:pPr>
      <w:bookmarkStart w:name="heading_proposition" w:id="83"/>
      <w:r>
        <w:t xml:space="preserve">PROPOSITION</w:t>
      </w:r>
      <w:bookmarkEnd w:id="83"/>
    </w:p>
    <w:p>
      <w:pPr>
        <w:pStyle w:val="BlockQuote"/>
      </w:pPr>
      <w:r>
        <w:rPr>
          <w:i/>
          <w:iCs/>
        </w:rPr>
        <w:t xml:space="preserve">[That the space of time from the end of Christ's humiliation to the end of the world is all taken up in bringing about the great effect or success of Christ's purchase.]</w:t>
      </w:r>
      <w:r>
        <w:rPr>
          <w:rStyle w:val="FootnoteReference"/>
        </w:rPr>
        <w:footnoteReference w:id="1985"/>
      </w:r>
    </w:p>
    <w:p>
      <w:pPr>
        <w:pStyle w:val="BodyText"/>
      </w:pPr>
      <w:r>
        <w:t xml:space="preserve">YOU may remember that to show how the Work of Redemption was carried on during the suffering state of the Christian church, which reaches from Christ's resurrection to the fall of Antichrist, we divided this time of the church's suffering into three periods: the first reaching from Christ's resurrection to the destruction of Jerusalem, when ended the first dispensation of providence that is called in Scripture, Christ's coming in his kingdom, and is compared to the day of judgment; the second, ‹reaching to the end of the heathen Roman empire›, the second dispensation that is compared to the day of judgment;</w:t>
      </w:r>
    </w:p>
    <w:p>
      <w:pPr>
        <w:pStyle w:val="SourcePage"/>
      </w:pPr>
      <w:r>
        <w:t xml:space="preserve">[p. 456]</w:t>
      </w:r>
    </w:p>
    <w:p>
      <w:pPr>
        <w:pStyle w:val="BodyText"/>
      </w:pPr>
      <w:r>
        <w:t xml:space="preserve">the third, from thence till Antichrist is fallen and Satan's visible kingdom on earth destroyed, which is the third. We are now in the third of these periods, viz. that from the destruction of the heathen Roman empire till Antichrist is fallen and Satan's visible ‹kingdom on earth destroyed›. For the more distinctly showing how the success of Christ's purchase</w:t>
      </w:r>
      <w:r>
        <w:rPr>
          <w:rStyle w:val="FootnoteReference"/>
        </w:rPr>
        <w:footnoteReference w:id="1986"/>
      </w:r>
      <w:r>
        <w:t xml:space="preserve"> is carried on through this last period, we divided it into four parts: the first reaching from the fall ‹of the heathen Roman empire› to the rise of Antichrist; the second from the rise of Antichrist till the Reformation; the third from the Reformation to the present time; the fourth from the present time till Antichrist is fallen. It has already been showed how the success of Christ's redemption was carried on through the three former of these. I now come</w:t>
      </w:r>
      <w:r>
        <w:rPr>
          <w:rStyle w:val="FootnoteReference"/>
        </w:rPr>
        <w:footnoteReference w:id="1987"/>
      </w:r>
      <w:r>
        <w:t xml:space="preserve"> in the,</w:t>
      </w:r>
    </w:p>
    <w:p>
      <w:pPr>
        <w:pStyle w:val="BodyText"/>
      </w:pPr>
      <w:r>
        <w:t xml:space="preserve">fourth</w:t>
      </w:r>
      <w:r>
        <w:rPr>
          <w:rStyle w:val="FootnoteReference"/>
        </w:rPr>
        <w:footnoteReference w:id="1988"/>
      </w:r>
      <w:r>
        <w:t xml:space="preserve"> place, to show how the success of Christ's redemption will be carried through the fourth and last part of this space, viz. that part which is from the present time till Antichrist is fallen and Satan's visible kingdom on earth destroyed. And with respect to this space of time, we have nothing to guide us but the prophecies of Scripture. Through most of the time from the fall of man to the destruction of Jerusalem by the Romans we had Scripture history to guide us, and from thence to the present time we had prophecy together with the accomplishment of it in providence, as related in human histories. But henceforward we have only Scripture prophecy to guide us. And here I would pass by those things that are only conjectural, or that are supposed by some from those prophecies that are doubtful in their interpretation, and shall insist only on those things that are more clear and evident. We know not what particular events are to come to pass before that glorious work of God's Spirit begins by which Satan's kingdom is to be overthrown.</w:t>
      </w:r>
    </w:p>
    <w:p>
      <w:pPr>
        <w:pStyle w:val="BodyText"/>
      </w:pPr>
      <w:r>
        <w:t xml:space="preserve">By the consent of most divines there are</w:t>
      </w:r>
      <w:r>
        <w:rPr>
          <w:rStyle w:val="FootnoteReference"/>
        </w:rPr>
        <w:footnoteReference w:id="1989"/>
      </w:r>
      <w:r>
        <w:t xml:space="preserve"> but few things if any at all that are foretold to be accomplished before the beginning of that glorious work of God. Some think the slaying of the witnesses in the Revelation 11:7–8, is not yet accomplished. So divines differ with respect to the pouring out of the seven vials that we have an account of in the Revelation 16</w:t>
      </w:r>
    </w:p>
    <w:p>
      <w:pPr>
        <w:pStyle w:val="SourcePage"/>
      </w:pPr>
      <w:r>
        <w:t xml:space="preserve">[p. 457]</w:t>
      </w:r>
    </w:p>
    <w:p>
      <w:pPr>
        <w:pStyle w:val="BodyText"/>
      </w:pPr>
      <w:r>
        <w:t xml:space="preserve">Revelation 16, how many are already poured out, and how many yet remain to be poured out; though a very late expositor that I have before mentioned to you</w:t>
      </w:r>
      <w:r>
        <w:rPr>
          <w:rStyle w:val="FootnoteReference"/>
        </w:rPr>
        <w:footnoteReference w:id="1990"/>
      </w:r>
      <w:r>
        <w:t xml:space="preserve"> seems to make it very plain and evident that all are already poured out but two, viz. the sixth on the river Euphrates and the seventh into the air.</w:t>
      </w:r>
      <w:r>
        <w:rPr>
          <w:rStyle w:val="FootnoteReference"/>
        </w:rPr>
        <w:footnoteReference w:id="1991"/>
      </w:r>
      <w:r>
        <w:t xml:space="preserve"> But I will not now stand to inquire what is intended by the pouring out of the sixth vial on the river Euphrates, "that the way of the kings of the east may be prepared,"</w:t>
      </w:r>
      <w:r>
        <w:rPr>
          <w:rStyle w:val="FootnoteReference"/>
        </w:rPr>
        <w:footnoteReference w:id="1992"/>
      </w:r>
      <w:r>
        <w:t xml:space="preserve"> but only would say that it seems to be something immediately preparing the way for the destruction of the spiritual Babylon, as the drying up of the river Euphrates that run through the midst of old Babylon, was what prepared the way for the kings of the Medes and Persians, the kings of the east, to come in under the walls and destroy that city. But whatever this be, it don't appear this</w:t>
      </w:r>
      <w:r>
        <w:rPr>
          <w:rStyle w:val="FootnoteReference"/>
        </w:rPr>
        <w:footnoteReference w:id="1993"/>
      </w:r>
      <w:r>
        <w:t xml:space="preserve"> 'tis anything that shall be accomplished before the work of God's Spirit is begun, by which as it goes on Satan's visible kingdom on earth shall be utterly overthrown.</w:t>
      </w:r>
    </w:p>
    <w:p>
      <w:pPr>
        <w:pStyle w:val="BodyText"/>
      </w:pPr>
      <w:r>
        <w:t xml:space="preserve">And therefore I would proceed directly to consider what the Scripture reveals concerning the work of God itself by which he will bring about this great event, as being the next thing that is to be accomplished that we are certain of from the prophecies of Scripture. And first</w:t>
      </w:r>
      <w:r>
        <w:rPr>
          <w:rStyle w:val="FootnoteReference"/>
        </w:rPr>
        <w:footnoteReference w:id="1994"/>
      </w:r>
      <w:r>
        <w:t xml:space="preserve"> I would observe two things in general concerning it.</w:t>
      </w:r>
    </w:p>
    <w:p>
      <w:pPr>
        <w:pStyle w:val="BodyText"/>
      </w:pPr>
      <w:r>
        <w:t xml:space="preserve">1.</w:t>
      </w:r>
      <w:r>
        <w:rPr>
          <w:rStyle w:val="FootnoteReference"/>
        </w:rPr>
        <w:footnoteReference w:id="1995"/>
      </w:r>
      <w:r>
        <w:t xml:space="preserve"> We have all reason from the Scripture to conclude that just before this work of God begins it will be a very dark time with respect to the interests of religion in the world. It has been so before those glorious revivals of religion that have been hitherto. So it was when Christ came, it was an exceeding degenerate time among the Jews, and so it was a very dark time before the Reformation. And not only, but it seems to be foretold in Scripture that it shall be a time of but little religion when Christ shall come to set up his kingdom in the world. Thus when Christ spake of his coming to encourage his elect that cry</w:t>
      </w:r>
      <w:r>
        <w:rPr>
          <w:rStyle w:val="FootnoteReference"/>
        </w:rPr>
        <w:footnoteReference w:id="1996"/>
      </w:r>
      <w:r>
        <w:t xml:space="preserve"> to him day and night in the Luke 18:7–8, he adds this, "Nevertheless when the Son of man cometh, shall he find faith on earth," which seems to denote</w:t>
      </w:r>
    </w:p>
    <w:p>
      <w:pPr>
        <w:pStyle w:val="SourcePage"/>
      </w:pPr>
      <w:r>
        <w:t xml:space="preserve">[p. 458]</w:t>
      </w:r>
    </w:p>
    <w:p>
      <w:pPr>
        <w:pStyle w:val="BodyText"/>
      </w:pPr>
      <w:r>
        <w:t xml:space="preserve">a great prevailing of infidelity just before Christ's coming to avenge his suffering church. Though Christ's coming at the last judgment is not here to be excluded, yet here seems to be a special respect to his coming to deliver his church from their long-continued, suffering, persecuted, state, which is accomplished only at his coming at the destruction of Antichrist: that time that the elect cry to God as in the Revelation 6:10, "How long, Lord, holy and true, [dost thou not judge and avenge our blood on them that dwell on the earth?]";</w:t>
      </w:r>
      <w:r>
        <w:rPr>
          <w:rStyle w:val="FootnoteReference"/>
        </w:rPr>
        <w:footnoteReference w:id="1997"/>
      </w:r>
      <w:r>
        <w:t xml:space="preserve"> and the time spoken of in the Revelation 18:20, "Rejoice over her, thou heaven, and ye holy apostles and prophets; for God [hath avenged you on her]."</w:t>
      </w:r>
    </w:p>
    <w:p>
      <w:pPr>
        <w:pStyle w:val="BodyText"/>
      </w:pPr>
      <w:r>
        <w:t xml:space="preserve">It is now a very dark time with respect to the interests of religion, and such a time as this prophesied of in this place wherein there is but a little faith and a great prevailing of infidelity on the earth. There is now a remarkable fulfillment of that in the 2 Peter 3:3, "Knowing this, that there shall come in the last days scoffers, walking after their own lusts"; and so Jude 17, Jude 18, "But, beloved, remember ye the words which were spoken before of the apostles of our Lord Jesus Christ; How that they told you there should be mockers in the</w:t>
      </w:r>
      <w:r>
        <w:rPr>
          <w:rStyle w:val="FootnoteReference"/>
        </w:rPr>
        <w:footnoteReference w:id="1998"/>
      </w:r>
      <w:r>
        <w:t xml:space="preserve"> last time, who should walk after their own ungodly lusts." Whether the times shall be any darker still, or how much darker before the beginning of this glorious work of God, we can't tell.</w:t>
      </w:r>
    </w:p>
    <w:p>
      <w:pPr>
        <w:pStyle w:val="BodyText"/>
      </w:pPr>
      <w:r>
        <w:t xml:space="preserve">2.</w:t>
      </w:r>
      <w:r>
        <w:rPr>
          <w:rStyle w:val="FootnoteReference"/>
        </w:rPr>
        <w:footnoteReference w:id="1999"/>
      </w:r>
      <w:r>
        <w:t xml:space="preserve"> There is not</w:t>
      </w:r>
      <w:r>
        <w:rPr>
          <w:rStyle w:val="FootnoteReference"/>
        </w:rPr>
        <w:footnoteReference w:id="2000"/>
      </w:r>
      <w:r>
        <w:t xml:space="preserve"> reason from God's Word to think any other than that this great work of God will be gradually wrought, though very swiftly, yet gradually. As the children of Israel were gradually brought out of the Babylonish captivity, first one company and then another, and gradually rebuilt their city and temple, and as the heathen Roman empire was destroyed by a gradual though a very swift prevailing of the gospel, so though there are many things that seem to hold forth as though the work of God would be exceeding swift, and many great and wonderful events should very suddenly be brought to pass, some great parts of Satan's visible kingdom shall have a very sudden fall, yet all will not be accomplished at once, as by some great miracle, as the resurrection of the dead at the end of the world will be all at</w:t>
      </w:r>
    </w:p>
    <w:p>
      <w:pPr>
        <w:pStyle w:val="SourcePage"/>
      </w:pPr>
      <w:r>
        <w:t xml:space="preserve">[p. 459]</w:t>
      </w:r>
    </w:p>
    <w:p>
      <w:pPr>
        <w:pStyle w:val="BodyText"/>
      </w:pPr>
      <w:r>
        <w:t xml:space="preserve">once.</w:t>
      </w:r>
      <w:r>
        <w:rPr>
          <w:rStyle w:val="FootnoteReference"/>
        </w:rPr>
        <w:footnoteReference w:id="2001"/>
      </w:r>
      <w:r>
        <w:t xml:space="preserve"> But this is a work that will be accomplished by means, by the preaching of the</w:t>
      </w:r>
      <w:r>
        <w:rPr>
          <w:rStyle w:val="FootnoteReference"/>
        </w:rPr>
        <w:footnoteReference w:id="2002"/>
      </w:r>
      <w:r>
        <w:t xml:space="preserve"> gospel, and the use of the ordinary means of grace, and so shall be gradually brought to pass.</w:t>
      </w:r>
      <w:r>
        <w:rPr>
          <w:rStyle w:val="FootnoteReference"/>
        </w:rPr>
        <w:footnoteReference w:id="2003"/>
      </w:r>
      <w:r>
        <w:t xml:space="preserve"> Some shall be converted and be the means of others' conversion; God's Spirit shall be poured out, first to raise up instruments, and then those instruments shall be improved and succeeded. And doubtless one nation shall be enlightened and converted after another, one false religion and false way of worship exploded after another, by the representation in Daniel 2:34, the stone cut out of the mountain without hands gradually grows.</w:t>
      </w:r>
      <w:r>
        <w:rPr>
          <w:rStyle w:val="FootnoteReference"/>
        </w:rPr>
        <w:footnoteReference w:id="2004"/>
      </w:r>
      <w:r>
        <w:t xml:space="preserve"> So Christ teaches us that the kingdom of heaven is like a grain of mustard seed, Matthew 13:31–32; [and] leaven hid in three measures of meal, Matthew 13:33; and in Mark 4:26–28 ["So is the kingdom of God, as if a man should cast seed into the ground; … the seed should spring and grow up, he knoweth not how. For the earth bringeth forth fruit of herself"]; Ezekiel 47, the waters of the sanctuary.</w:t>
      </w:r>
      <w:r>
        <w:rPr>
          <w:rStyle w:val="FootnoteReference"/>
        </w:rPr>
        <w:footnoteReference w:id="2005"/>
      </w:r>
      <w:r>
        <w:t xml:space="preserve"> The Scriptures hold forth as though there should be several successive great and glorious events by which this glorious work shall be accomplished. The angel, speaking to the prophet Daniel of those glorious times, mentioned two glorious periods at the end of which glorious things shall be accomplished, Daniel 12:11 ["And from the time that the daily sacrifice shall be taken away, and the abomination that maketh desolate set up, there shall be a thousand two hundred and ninety days"]. But then he adds in the next verse, "Blessed is he that waiteth, and cometh to the thousand three hundred and five and thirty days"; intimating that something very glorious should be accomplished at the end of the former period, but something much more glorious at the end of the latter.</w:t>
      </w:r>
    </w:p>
    <w:p>
      <w:pPr>
        <w:pStyle w:val="SourcePage"/>
      </w:pPr>
      <w:r>
        <w:t xml:space="preserve">[p. 460]</w:t>
      </w:r>
    </w:p>
    <w:p>
      <w:pPr>
        <w:pStyle w:val="BodyText"/>
      </w:pPr>
      <w:r>
        <w:t xml:space="preserve">But I proceed now</w:t>
      </w:r>
      <w:r>
        <w:rPr>
          <w:rStyle w:val="FootnoteReference"/>
        </w:rPr>
        <w:footnoteReference w:id="2006"/>
      </w:r>
      <w:r>
        <w:t xml:space="preserve"> to show how this glorious work shall be accomplished.</w:t>
      </w:r>
    </w:p>
    <w:p>
      <w:pPr>
        <w:pStyle w:val="BodyText"/>
      </w:pPr>
      <w:r>
        <w:rPr>
          <w:rStyle w:val="FootnoteReference"/>
        </w:rPr>
        <w:footnoteReference w:id="2007"/>
      </w:r>
      <w:r>
        <w:t xml:space="preserve">1.</w:t>
      </w:r>
      <w:r>
        <w:rPr>
          <w:rStyle w:val="FootnoteReference"/>
        </w:rPr>
        <w:footnoteReference w:id="2008"/>
      </w:r>
      <w:r>
        <w:t xml:space="preserve"> [God's]</w:t>
      </w:r>
      <w:r>
        <w:rPr>
          <w:rStyle w:val="FootnoteReference"/>
        </w:rPr>
        <w:footnoteReference w:id="2009"/>
      </w:r>
      <w:r>
        <w:t xml:space="preserve"> Spirit shall be gloriously poured out for the wonderful revival and propagation of religion. This great work</w:t>
      </w:r>
      <w:r>
        <w:rPr>
          <w:rStyle w:val="FootnoteReference"/>
        </w:rPr>
        <w:footnoteReference w:id="2010"/>
      </w:r>
      <w:r>
        <w:t xml:space="preserve"> shall be accomplished, not by the authority of princes, nor by the wisdom of learned men, but by God's Holy Spirit, Zechariah 4:6–7, "Not by might, nor by power, but by my spirit, saith the Lord of hosts. Who art thou, O great mountain? before Zerubbabel thou shalt become a plain: and he shall bring forth the headstone thereof with shoutings, crying, Grace, grace unto it." So the prophet Ezekiel, speaking of this great work of God says, Ezekiel 39:29, "Neither will I hide my face any more from them: for I have poured out my spirit on the house of Israel, saith the Lord God." We know not where this pouring out of the Spirit shall begin, or whether at many places at once, or whether what has already been ben't some forerunner and beginning of it.</w:t>
      </w:r>
    </w:p>
    <w:p>
      <w:pPr>
        <w:pStyle w:val="BodyText"/>
      </w:pPr>
      <w:r>
        <w:t xml:space="preserve">This pouring out of the Spirit of God, when it is begun, shall soon bring great multitudes to forsake that vice and profaneness that now so abundantly prevails, and shall cause that vital religion that is now so despised and laughed at in the world to revive. The work of conversion shall break forth and go on in such a manner as never has been like to, agreeable to that in the Isaiah 44:3–5 ["For I will pour water upon him that is thirsty … I will pour my spirit upon thy seed.… And they shall spring up … as willows by the water courses. One shall say, I am the Lord's"].</w:t>
      </w:r>
      <w:r>
        <w:rPr>
          <w:rStyle w:val="FootnoteReference"/>
        </w:rPr>
        <w:footnoteReference w:id="2011"/>
      </w:r>
      <w:r>
        <w:t xml:space="preserve"> God, by pouring out his Holy Spirit, shall furnish</w:t>
      </w:r>
      <w:r>
        <w:rPr>
          <w:rStyle w:val="FootnoteReference"/>
        </w:rPr>
        <w:footnoteReference w:id="2012"/>
      </w:r>
      <w:r>
        <w:t xml:space="preserve"> men to be glorious instruments of carrying on his</w:t>
      </w:r>
      <w:r>
        <w:rPr>
          <w:rStyle w:val="FootnoteReference"/>
        </w:rPr>
        <w:footnoteReference w:id="2013"/>
      </w:r>
      <w:r>
        <w:t xml:space="preserve"> work; shall fill them with knowledge and wisdom</w:t>
      </w:r>
      <w:r>
        <w:rPr>
          <w:rStyle w:val="FootnoteReference"/>
        </w:rPr>
        <w:footnoteReference w:id="2014"/>
      </w:r>
      <w:r>
        <w:t xml:space="preserve"> and a fervent zeal for the promoting the kingdom of Christ and the salvation of souls and propagating the gospel in the world. So that the gospel shall begin to be preached with abundantly greater clearness and power than had heretofore been; for this great work of God shall be brought to pass by the preaching of the gospel, as it is represented in the Revelation 14:6–8</w:t>
      </w:r>
    </w:p>
    <w:p>
      <w:pPr>
        <w:pStyle w:val="SourcePage"/>
      </w:pPr>
      <w:r>
        <w:t xml:space="preserve">[p. 461]</w:t>
      </w:r>
    </w:p>
    <w:p>
      <w:pPr>
        <w:pStyle w:val="BodyText"/>
      </w:pPr>
      <w:r>
        <w:t xml:space="preserve">Revelation 14:6–8: that before Babylon falls the gospel will be powerfully preached and propagated in the world ["And I saw another angel fly in the midst of heaven, having the everlasting gospel to preach unto them that dwell on the earth … saying with a loud voice, Fear God.… And there followed another angel, saying, Babylon is fallen"].</w:t>
      </w:r>
    </w:p>
    <w:p>
      <w:pPr>
        <w:pStyle w:val="BodyText"/>
      </w:pPr>
      <w:r>
        <w:t xml:space="preserve">This was typified of old by the sounding of the silver trumpet in Israel in the beginning of their jubilee, Leviticus 25:9, "Then shalt thou cause the trumpet of the jubilee to sound on the tenth day of the seventh month, on the day of atonement shall ye make the trumpet sound throughout all your land." The glorious times that are approaching are, as it were, the church's year of jubilee, which shall be introduced by the sounding of the silver trumpet of the gospel, as is foretold in</w:t>
      </w:r>
      <w:r>
        <w:rPr>
          <w:rStyle w:val="FootnoteReference"/>
        </w:rPr>
        <w:footnoteReference w:id="2015"/>
      </w:r>
      <w:r>
        <w:t xml:space="preserve"> Isaiah 27:13, "And it shall come to pass in that day, that the great trumpet shall be blown, and they shall come which were ready to perish in the land of Assyria, and the outcasts of the land of Egypt, and shall worship the Lord in the holy mount at Jerusalem." And there shall be a glorious pouring out of the Spirit with this clear and powerful preaching of the gospel, to make it successful for reviving those holy doctrines of religion that are now chiefly ridiculed in the world, and turning multitudes from heresy, and from popery, and from other false religion, and also for turning many from their vice and profaneness, and for bringing vast multitudes savingly home to Christ. The work of conversion shall go on in a wonderful manner, and spread more and more; more shall flow together to the goodness of the Lord and shall come, as it were, in flocks, one flock and multitude after another, continually flowing in, as in Isaiah 60:4–5, "Lift up thine eyes round about, and see: all they gather themselves together, they come to thee: thy sons shall come from far, and thy daughters shall be nursed at thy side. Then [thou] shalt see, and flow together."</w:t>
      </w:r>
      <w:r>
        <w:rPr>
          <w:rStyle w:val="FootnoteReference"/>
        </w:rPr>
        <w:footnoteReference w:id="2016"/>
      </w:r>
      <w:r>
        <w:t xml:space="preserve"> And so Isaiah 60:8, "Who are these that fly as a cloud, and as the doves to their windows?" And it being represented in the forementioned place in the Revelation that the gospel shall be preached to every tongue and kindred and [nation and people]</w:t>
      </w:r>
      <w:r>
        <w:rPr>
          <w:rStyle w:val="FootnoteReference"/>
        </w:rPr>
        <w:footnoteReference w:id="2017"/>
      </w:r>
      <w:r>
        <w:t xml:space="preserve"> before [the] fall of Antichrist, so we may suppose that it will soon be gloriously successful to bring in multitudes, and from many nations. And it shall proceed more and more with wonderful swiftness, and vast numbers shall</w:t>
      </w:r>
    </w:p>
    <w:p>
      <w:pPr>
        <w:pStyle w:val="SourcePage"/>
      </w:pPr>
      <w:r>
        <w:t xml:space="preserve">[p. 462]</w:t>
      </w:r>
    </w:p>
    <w:p>
      <w:pPr>
        <w:pStyle w:val="BodyText"/>
      </w:pPr>
      <w:r>
        <w:t xml:space="preserve">suddenly be brought in, as it were, at once, as you may see, Isaiah 66:7–9 ["Before she travailed, she brought forth; before her pain came, she was delivered of a man child. Who hath heard such a thing?…Shall a nation be born at once? for as soon as Zion travailed, she brought forth her children. Shall I bring to the birth, and not cause to bring forth? saith the Lord"]. But,</w:t>
      </w:r>
    </w:p>
    <w:p>
      <w:pPr>
        <w:pStyle w:val="BodyText"/>
      </w:pPr>
      <w:r>
        <w:t xml:space="preserve">2.</w:t>
      </w:r>
      <w:r>
        <w:rPr>
          <w:rStyle w:val="FootnoteReference"/>
        </w:rPr>
        <w:footnoteReference w:id="2018"/>
      </w:r>
      <w:r>
        <w:t xml:space="preserve"> This pouring out of the spirit of God shall not effect the overthrow of Satan's visible kingdom till there has first been a violent and mighty opposition made. In this the Scripture is plain, that when Christ is thus gloriously coming forth, and the destruction of Antichrist is ready at hand, and Satan's kingdom begins to totter and to appear to be</w:t>
      </w:r>
      <w:r>
        <w:rPr>
          <w:rStyle w:val="FootnoteReference"/>
        </w:rPr>
        <w:footnoteReference w:id="2019"/>
      </w:r>
      <w:r>
        <w:t xml:space="preserve"> eminently threatened, the powers of the kingdom of darkness will rise up and mightily exert themselves to prevent their kingdom's being overthrown.</w:t>
      </w:r>
    </w:p>
    <w:p>
      <w:pPr>
        <w:pStyle w:val="BodyText"/>
      </w:pPr>
      <w:r>
        <w:t xml:space="preserve">Thus after the pouring out of the sixth vial, which was to dry up the river Euphrates to prepare the way for the destruction of the spiritual Babylon, 'tis represented in the Revelation 16 as though the powers of hell would be mightily alarmed, and should stir up themselves to oppose the kingdom of Christ before the seventh and last vial shall be poured out that shall do their business for 'em and give 'em a final overthrow. We have an account of the pouring out of the sixth vial in [the] Revelation 16:12; and then upon this the beloved disciple says in the following verses ["I saw three unclean spirits like frogs … go forth unto the kings of the earth …, to gather them to the battle of that great day of God Almighty"].</w:t>
      </w:r>
      <w:r>
        <w:rPr>
          <w:rStyle w:val="FootnoteReference"/>
        </w:rPr>
        <w:footnoteReference w:id="2020"/>
      </w:r>
      <w:r>
        <w:t xml:space="preserve"> This seems to be the last and greatest effort of Satan that ever he makes to save his kingdom from being overthrown, though perhaps he may make as great towards the end of the world to regain it.</w:t>
      </w:r>
    </w:p>
    <w:p>
      <w:pPr>
        <w:pStyle w:val="BodyText"/>
      </w:pPr>
      <w:r>
        <w:t xml:space="preserve">When the Spirit of God begins so gloriously</w:t>
      </w:r>
      <w:r>
        <w:rPr>
          <w:rStyle w:val="FootnoteReference"/>
        </w:rPr>
        <w:footnoteReference w:id="2021"/>
      </w:r>
      <w:r>
        <w:t xml:space="preserve"> to be poured forth, and the devil sees such multitudes flocking to Christ in one nation and another, and the foundations of his kingdom daily undermining, and the pillars of it breaking, and the whole ready to come to swift and sudden destruction, it greatly alarms all hell.</w:t>
      </w:r>
      <w:r>
        <w:rPr>
          <w:rStyle w:val="FootnoteReference"/>
        </w:rPr>
        <w:footnoteReference w:id="2022"/>
      </w:r>
      <w:r>
        <w:t xml:space="preserve"> Satan has ever had a dread of having his kingdom overthrown, and he has been opposing</w:t>
      </w:r>
    </w:p>
    <w:p>
      <w:pPr>
        <w:pStyle w:val="SourcePage"/>
      </w:pPr>
      <w:r>
        <w:t xml:space="preserve">[p. 463]</w:t>
      </w:r>
    </w:p>
    <w:p>
      <w:pPr>
        <w:pStyle w:val="BodyText"/>
      </w:pPr>
      <w:r>
        <w:t xml:space="preserve">of it ever since Christ's ascension, and has been doing great works to fortify his kingdom to prevent it ever since the days of Constantine the Great. To this end he has set up those two mighty kingdoms of Antichrist and Mohammed, and brought in all the heresies, and superstitions, and corrupt opinions there are in the world. But when he sees all begins to fail, it will rouse him up exceedingly. If Satan dreaded being cast out of the Roman empire, how much more does he dread being cast out of the whole world.</w:t>
      </w:r>
    </w:p>
    <w:p>
      <w:pPr>
        <w:pStyle w:val="BodyText"/>
      </w:pPr>
      <w:r>
        <w:t xml:space="preserve">It seems as though in this last great opposition that should be made against the church to defend the kingdom of Satan, all the forces of Antichrist, and also Mohammedanism and heathenism, should be united, all the forces of</w:t>
      </w:r>
      <w:r>
        <w:rPr>
          <w:rStyle w:val="FootnoteReference"/>
        </w:rPr>
        <w:footnoteReference w:id="2023"/>
      </w:r>
      <w:r>
        <w:t xml:space="preserve"> Satan's visible kingdom through the whole world of mankind. And therefore 'tis said that the "spirits of devils shall go forth unto the kings of the earth and of the whole world, to gather them together to the battle of the great day of God Almighty."</w:t>
      </w:r>
      <w:r>
        <w:rPr>
          <w:rStyle w:val="FootnoteReference"/>
        </w:rPr>
        <w:footnoteReference w:id="2024"/>
      </w:r>
      <w:r>
        <w:t xml:space="preserve"> And these spirits are said to come "out of the mouth of the dragon, and out [of the mouth of the] beast, [and out of the mouth of the] false prophet,"</w:t>
      </w:r>
      <w:r>
        <w:rPr>
          <w:rStyle w:val="FootnoteReference"/>
        </w:rPr>
        <w:footnoteReference w:id="2025"/>
      </w:r>
      <w:r>
        <w:t xml:space="preserve"> i.e. there shall be the spirit of popery and the spirit of Mohammedanism and the spirit of heathenism all united. By the beast is meant Antichrist; by the dragon in this book is commonly meant the devil as he reigns in his heathen kingdom; by the false prophet in this book is sometimes meant the Pope and his clergy, but here an eye also seems to be had to Mohammed whom his followers call the great prophet of God. This will be, as it were, the dying struggles of the old serpent, a battle wherein he will fight as one that is almost desperate.</w:t>
      </w:r>
    </w:p>
    <w:p>
      <w:pPr>
        <w:pStyle w:val="BodyText"/>
      </w:pPr>
      <w:r>
        <w:t xml:space="preserve">We know not particularly in what manner this opposition shall be made. 'Tis represented as a battle, 'tis called the "battle of the great day of God Almighty." There will be some way or other a mighty struggle</w:t>
      </w:r>
      <w:r>
        <w:rPr>
          <w:rStyle w:val="FootnoteReference"/>
        </w:rPr>
        <w:footnoteReference w:id="2026"/>
      </w:r>
      <w:r>
        <w:t xml:space="preserve"> between Satan's kingdom and the church, and probably all ways of opposition that can be; and doubtless great opposition by external force wherein the princes of the world that are on the devil's side shall join hand in hand, for 'tis said, "The kings of the earth are gathered together to battle."</w:t>
      </w:r>
      <w:r>
        <w:rPr>
          <w:rStyle w:val="FootnoteReference"/>
        </w:rPr>
        <w:footnoteReference w:id="2027"/>
      </w:r>
      <w:r>
        <w:t xml:space="preserve"> Revelation 19:19 ["And I saw the beast, and the kings of the earth, and their armies, gathered together to make</w:t>
      </w:r>
    </w:p>
    <w:p>
      <w:pPr>
        <w:pStyle w:val="SourcePage"/>
      </w:pPr>
      <w:r>
        <w:t xml:space="preserve">[p. 464]</w:t>
      </w:r>
    </w:p>
    <w:p>
      <w:pPr>
        <w:pStyle w:val="BodyText"/>
      </w:pPr>
      <w:r>
        <w:t xml:space="preserve">war against him that sat on the horse, and against his army"]. And probably withal there will be great opposition of subtile disputers, and carnal reasoning, and great persecution in many places, and great opposition by virulent reproaches, and also great opposition by craft and subtilty. That devil now doubtless will ply his skill as well as strength to the utmost. The devils and those that belong to his kingdom will everywhere be stirred up, and engaged to make united and violent opposition against this holy religion that they see prevailing so mightily in the world. But,</w:t>
      </w:r>
    </w:p>
    <w:p>
      <w:pPr>
        <w:pStyle w:val="BodyText"/>
      </w:pPr>
      <w:r>
        <w:t xml:space="preserve">3.</w:t>
      </w:r>
      <w:r>
        <w:rPr>
          <w:rStyle w:val="FootnoteReference"/>
        </w:rPr>
        <w:footnoteReference w:id="2028"/>
      </w:r>
      <w:r>
        <w:t xml:space="preserve"> Christ and his church shall in this battle obtain a complete and entire victory over their enemies; they shall be totally routed and overthrown in this their last effort. When the powers of hell and earth are thus gathered together against Christ, Christ and his armies shall come forth against them by his word and</w:t>
      </w:r>
      <w:r>
        <w:rPr>
          <w:rStyle w:val="FootnoteReference"/>
        </w:rPr>
        <w:footnoteReference w:id="2029"/>
      </w:r>
      <w:r>
        <w:t xml:space="preserve"> Spirit to fight with them.</w:t>
      </w:r>
      <w:r>
        <w:rPr>
          <w:rStyle w:val="FootnoteReference"/>
        </w:rPr>
        <w:footnoteReference w:id="2030"/>
      </w:r>
      <w:r>
        <w:t xml:space="preserve"> In how august and glorious a manner is this coming forth of Christ and his church to this battle described in the Revelation 19, beginning with the Revelation 19:11 ["And I saw heaven opened, and behold a white horse; and he that sat upon him was called Faithful and True, and in righteousness he doth judge and make war"]. And to represent to us how great the victory should be that they should obtain, and how mighty the overthrow of their enemies, 'tis said in the Revelation 19:17 ["all the fowls … of heaven, … gather yourselves together unto the supper of the great God; that ye may eat the flesh of kings, and the flesh of captains, and the flesh of mighty men"]. And then in the following verses we have an account of the victory and overthrow ["And the beast was taken, and with him the false prophet … and them that worshipped his image. These both were cast alive into a lake of fire burning with brimstone. And the remnant were slain with the sword of him that sat upon the horse … and all the fowls were filled with their flesh"].</w:t>
      </w:r>
      <w:r>
        <w:rPr>
          <w:rStyle w:val="FootnoteReference"/>
        </w:rPr>
        <w:footnoteReference w:id="2031"/>
      </w:r>
    </w:p>
    <w:p>
      <w:pPr>
        <w:pStyle w:val="BodyText"/>
      </w:pPr>
      <w:r>
        <w:t xml:space="preserve">In this victory the seventh vial shall be poured out. It is said, Revelation 16:16, of the great army that should be gathered together against Christ, "And he gathered them together into a place called in the Hebrew tongue Armageddon"; and then it is said, "And the seventh angel poured out his vial</w:t>
      </w:r>
      <w:r>
        <w:rPr>
          <w:rStyle w:val="FootnoteReference"/>
        </w:rPr>
        <w:footnoteReference w:id="2032"/>
      </w:r>
      <w:r>
        <w:t xml:space="preserve"> into the</w:t>
      </w:r>
    </w:p>
    <w:p>
      <w:pPr>
        <w:pStyle w:val="SourcePage"/>
      </w:pPr>
      <w:r>
        <w:t xml:space="preserve">[p. 465]</w:t>
      </w:r>
    </w:p>
    <w:p>
      <w:pPr>
        <w:pStyle w:val="BodyText"/>
      </w:pPr>
      <w:r>
        <w:t xml:space="preserve">air; and there came a great voice out of the temple of heaven, from the throne, saying, It is done."</w:t>
      </w:r>
      <w:r>
        <w:rPr>
          <w:rStyle w:val="FootnoteReference"/>
        </w:rPr>
        <w:footnoteReference w:id="2033"/>
      </w:r>
      <w:r>
        <w:t xml:space="preserve"> Now the business is done for Satan and his adherents; when this victory is obtained all is in effect done. Satan's last and greatest opposition is conquered; all his measures are broke, the pillars of his kingdom are fragments in sunder and will fall of course. The devil is utterly baffled and confounded, and knows not what else to do; he now sees his Antichristian and Mohammedan and heathenish kingdoms through the world all tumbling about his ears. He and his most powerful instruments are now taken captives. Now that is in effect done that the church of God had been so long waiting for, and hoping for, and so earnestly crying to God for, saying, "How long, Lord, holy and true?"</w:t>
      </w:r>
      <w:r>
        <w:rPr>
          <w:rStyle w:val="FootnoteReference"/>
        </w:rPr>
        <w:footnoteReference w:id="2034"/>
      </w:r>
      <w:r>
        <w:t xml:space="preserve"> Now the time is come.</w:t>
      </w:r>
    </w:p>
    <w:p>
      <w:pPr>
        <w:pStyle w:val="BodyText"/>
      </w:pPr>
      <w:r>
        <w:t xml:space="preserve">The angel</w:t>
      </w:r>
      <w:r>
        <w:rPr>
          <w:rStyle w:val="FootnoteReference"/>
        </w:rPr>
        <w:footnoteReference w:id="2035"/>
      </w:r>
      <w:r>
        <w:t xml:space="preserve"> that set his right foot on the sea [and his left foot on the earth] lift up his hand to heaven and swore by him that liveth [for ever and ever] who created heaven and all things that are</w:t>
      </w:r>
      <w:r>
        <w:rPr>
          <w:rStyle w:val="FootnoteReference"/>
        </w:rPr>
        <w:footnoteReference w:id="2036"/>
      </w:r>
      <w:r>
        <w:t xml:space="preserve"> therein, and the earth and the things that therein are, and the sea and the things that are therein, that when the seventh angel come to sound, the time should be no longer. And now the time is coming, now the seventh trumpet sounds, and the seventh vial are poured out, both together intimating that now all is finished as to the overthrow of Satan's visible kingdom on earth.</w:t>
      </w:r>
    </w:p>
    <w:p>
      <w:pPr>
        <w:pStyle w:val="BodyText"/>
      </w:pPr>
      <w:r>
        <w:t xml:space="preserve">This victory shall be far the greatest that ever was obtained over Satan and his adherents. By this blow with which the stone cut out of the mountain without hands shall strike the image of gold and silver and brass and iron and clay, it shall all be broken in pieces; this will be a finishing blow to the image so that it shall become the chaff of the summer threshing floor.</w:t>
      </w:r>
      <w:r>
        <w:rPr>
          <w:rStyle w:val="FootnoteReference"/>
        </w:rPr>
        <w:footnoteReference w:id="2037"/>
      </w:r>
      <w:r>
        <w:t xml:space="preserve"> It shall be with a glorious manifestation of divine power. Christ shall therein especially appear</w:t>
      </w:r>
      <w:r>
        <w:rPr>
          <w:rStyle w:val="FootnoteReference"/>
        </w:rPr>
        <w:footnoteReference w:id="2038"/>
      </w:r>
      <w:r>
        <w:t xml:space="preserve"> in the character of "King of Kings, and Lord of Lords," as Revelation 19:16. Now Christ shall dash his enemies, even the strongest and proudest of them, in pieces as a potter's vessel; and they shall be broken all in</w:t>
      </w:r>
    </w:p>
    <w:p>
      <w:pPr>
        <w:pStyle w:val="SourcePage"/>
      </w:pPr>
      <w:r>
        <w:t xml:space="preserve">[p. 466]</w:t>
      </w:r>
    </w:p>
    <w:p>
      <w:pPr>
        <w:pStyle w:val="BodyText"/>
      </w:pPr>
      <w:r>
        <w:t xml:space="preserve">shivers.</w:t>
      </w:r>
      <w:r>
        <w:rPr>
          <w:rStyle w:val="FootnoteReference"/>
        </w:rPr>
        <w:footnoteReference w:id="2039"/>
      </w:r>
      <w:r>
        <w:t xml:space="preserve"> Then shall strength be shown out of weakness,</w:t>
      </w:r>
      <w:r>
        <w:rPr>
          <w:rStyle w:val="FootnoteReference"/>
        </w:rPr>
        <w:footnoteReference w:id="2040"/>
      </w:r>
      <w:r>
        <w:t xml:space="preserve"> and Christ shall cause his church, as it were, to thresh the mountains, as Isaiah 41:15–16, "Behold, I will make thee a new sharp threshing instrument having teeth: and thou shalt thresh the mountains, and beat them small, and make the hills as chaff." And then shall be fulfilled that in Isaiah 41:13–15 ["For I the Lord thy God will hold thy right hand … I will help thee. Fear not.… Behold, I will make thee a new sharp threshing instrument"].</w:t>
      </w:r>
      <w:r>
        <w:rPr>
          <w:rStyle w:val="FootnoteReference"/>
        </w:rPr>
        <w:footnoteReference w:id="2041"/>
      </w:r>
    </w:p>
    <w:p>
      <w:pPr>
        <w:pStyle w:val="BodyText"/>
      </w:pPr>
      <w:r>
        <w:t xml:space="preserve">4.</w:t>
      </w:r>
      <w:r>
        <w:rPr>
          <w:rStyle w:val="FootnoteReference"/>
        </w:rPr>
        <w:footnoteReference w:id="2042"/>
      </w:r>
      <w:r>
        <w:t xml:space="preserve"> Consequent on this victory, Satan's visible kingdom on earth shall be destroyed. When Satan is conquered in this last battle, the church</w:t>
      </w:r>
      <w:r>
        <w:rPr>
          <w:rStyle w:val="FootnoteReference"/>
        </w:rPr>
        <w:footnoteReference w:id="2043"/>
      </w:r>
      <w:r>
        <w:t xml:space="preserve"> of Christ shall have easy work of it, as Joshua and the children [of Israel] had obtained that great victory over the five kings of the Amorites when the sun stood still, and God sent great hail stones ‹on their enemies›</w:t>
      </w:r>
      <w:r>
        <w:rPr>
          <w:rStyle w:val="FootnoteReference"/>
        </w:rPr>
        <w:footnoteReference w:id="2044"/>
      </w:r>
      <w:r>
        <w:t xml:space="preserve"> they after that went to one city and another and burnt them with fire.</w:t>
      </w:r>
      <w:r>
        <w:rPr>
          <w:rStyle w:val="FootnoteReference"/>
        </w:rPr>
        <w:footnoteReference w:id="2045"/>
      </w:r>
      <w:r>
        <w:t xml:space="preserve"> They had easy work of subduing the cities and country they belonged to. So it was also after that other great battle that Joshua had with that great multitude at the waters of Merom.</w:t>
      </w:r>
      <w:r>
        <w:rPr>
          <w:rStyle w:val="FootnoteReference"/>
        </w:rPr>
        <w:footnoteReference w:id="2046"/>
      </w:r>
      <w:r>
        <w:t xml:space="preserve"> So after this glorious victory of Christ and his church over their enemies, over the chief powers of Satan's kingdom, they shall destroy that kingdom in all those cities and country they belonged to. After this victory, the word of God shall have a speedy and swift progress through the earth, as it is said that on the pouring out of the seventh vial, "the cities of the nations fell, and every island fled away, and the mountains were not found," Revelation 16:19–20.</w:t>
      </w:r>
      <w:r>
        <w:rPr>
          <w:rStyle w:val="FootnoteReference"/>
        </w:rPr>
        <w:footnoteReference w:id="2047"/>
      </w:r>
      <w:r>
        <w:t xml:space="preserve"> When once the stone cut out [of the mountain without hands]</w:t>
      </w:r>
      <w:r>
        <w:rPr>
          <w:rStyle w:val="FootnoteReference"/>
        </w:rPr>
        <w:footnoteReference w:id="2048"/>
      </w:r>
      <w:r>
        <w:t xml:space="preserve"> had broken the image in pieces,</w:t>
      </w:r>
    </w:p>
    <w:p>
      <w:pPr>
        <w:pStyle w:val="SourcePage"/>
      </w:pPr>
      <w:r>
        <w:t xml:space="preserve">[p. 467]</w:t>
      </w:r>
    </w:p>
    <w:p>
      <w:pPr>
        <w:pStyle w:val="BodyText"/>
      </w:pPr>
      <w:r>
        <w:t xml:space="preserve">it was easy to abolish all remains of it; the very wind will carry it away as the chaff of the summer threshing</w:t>
      </w:r>
      <w:r>
        <w:rPr>
          <w:rStyle w:val="FootnoteReference"/>
        </w:rPr>
        <w:footnoteReference w:id="2049"/>
      </w:r>
      <w:r>
        <w:t xml:space="preserve"> floor. Because Satan's visible kingdom on earth shall now be destroyed, therefore 'tis said that the seventh vial by which this be done shall be poured out into the air,</w:t>
      </w:r>
      <w:r>
        <w:rPr>
          <w:rStyle w:val="FootnoteReference"/>
        </w:rPr>
        <w:footnoteReference w:id="2050"/>
      </w:r>
      <w:r>
        <w:t xml:space="preserve"> which is represented in Scripture as the special seat of his kingdom, for he is called the prince of the power of the air, Ephesians 2:2. Now is come the time for punishing leviathan, that piercing serpent of which we read, Isaiah 27:1, "In that day the Lord with his sore and great and strong sword shall punish leviathan the piercing serpent, even leviathan that crooked serpent; he shall slay the dragon that is in the sea."</w:t>
      </w:r>
    </w:p>
    <w:p>
      <w:pPr>
        <w:pStyle w:val="BodyText"/>
      </w:pPr>
      <w:r>
        <w:t xml:space="preserve">Concerning this overthrow of Satan's visible kingdom on earth I would, 1. show wherein this overthrow of Satan's visible kingdom shall chiefly consist, 2. the extent and universality of this overthrow.</w:t>
      </w:r>
    </w:p>
    <w:p>
      <w:pPr>
        <w:pStyle w:val="BodyText"/>
      </w:pPr>
      <w:r>
        <w:t xml:space="preserve">1.</w:t>
      </w:r>
      <w:r>
        <w:rPr>
          <w:rStyle w:val="FootnoteReference"/>
        </w:rPr>
        <w:footnoteReference w:id="2051"/>
      </w:r>
      <w:r>
        <w:t xml:space="preserve"> I would show wherein this overthrow of ‹Satan's kingdom› shall chiefly consist. I shall mention the particular things that it shall consist of without pretending to determine</w:t>
      </w:r>
      <w:r>
        <w:rPr>
          <w:rStyle w:val="FootnoteReference"/>
        </w:rPr>
        <w:footnoteReference w:id="2052"/>
      </w:r>
      <w:r>
        <w:t xml:space="preserve"> in what order they shall come to pass, or which shall be accomplished first, or whether they shall be accomplished together.</w:t>
      </w:r>
      <w:r>
        <w:rPr>
          <w:rStyle w:val="FootnoteReference"/>
        </w:rPr>
        <w:footnoteReference w:id="2053"/>
      </w:r>
    </w:p>
    <w:p>
      <w:pPr>
        <w:pStyle w:val="BodyText"/>
      </w:pPr>
      <w:r>
        <w:rPr>
          <w:rStyle w:val="FootnoteReference"/>
        </w:rPr>
        <w:footnoteReference w:id="2054"/>
      </w:r>
      <w:r>
        <w:t xml:space="preserve">1.</w:t>
      </w:r>
      <w:r>
        <w:rPr>
          <w:rStyle w:val="FootnoteReference"/>
        </w:rPr>
        <w:footnoteReference w:id="2055"/>
      </w:r>
      <w:r>
        <w:t xml:space="preserve"> Heresies and infidelity and superstition among those that have been brought up under the light of the gospel will then be abolished: [an] end to Socinianism and Arianism and Quakerism and Arminianism. Deism that is now so bold shall be crushed and driven away and vanish to nothing. And all shall agree in the sure, great and important doctrines of the gospel, agreeable to that in Zechariah 14:9, "And the Lord shall be king over all the earth: in that day shall there be one Lord, and his name one."</w:t>
      </w:r>
      <w:r>
        <w:rPr>
          <w:rStyle w:val="FootnoteReference"/>
        </w:rPr>
        <w:footnoteReference w:id="2056"/>
      </w:r>
      <w:r>
        <w:t xml:space="preserve"> [Then shall be] abolished all superstitious ways of worship; [all] shall agree in worshipping God in his own way, Jeremiah 32:39, "And I will give them one heart, and one way, that they may fear me for ever, for the good of them, and their children after them."</w:t>
      </w:r>
    </w:p>
    <w:p>
      <w:pPr>
        <w:pStyle w:val="SourcePage"/>
      </w:pPr>
      <w:r>
        <w:t xml:space="preserve">[p. 468]</w:t>
      </w:r>
    </w:p>
    <w:p>
      <w:pPr>
        <w:pStyle w:val="BodyText"/>
      </w:pPr>
      <w:r>
        <w:rPr>
          <w:rStyle w:val="FootnoteReference"/>
        </w:rPr>
        <w:footnoteReference w:id="2057"/>
      </w:r>
      <w:r>
        <w:t xml:space="preserve">2.</w:t>
      </w:r>
      <w:r>
        <w:rPr>
          <w:rStyle w:val="FootnoteReference"/>
        </w:rPr>
        <w:footnoteReference w:id="2058"/>
      </w:r>
      <w:r>
        <w:t xml:space="preserve"> The kingdom of Antichrist shall be utterly overthrown. His kingdom and dominion has been much brought down already by the vial poured out on his throne in the Reformation;</w:t>
      </w:r>
      <w:r>
        <w:rPr>
          <w:rStyle w:val="FootnoteReference"/>
        </w:rPr>
        <w:footnoteReference w:id="2059"/>
      </w:r>
      <w:r>
        <w:t xml:space="preserve"> but then it shall be utterly destroyed. Then shall it be proclaimed, "Babylon is fallen, is fallen."</w:t>
      </w:r>
      <w:r>
        <w:rPr>
          <w:rStyle w:val="FootnoteReference"/>
        </w:rPr>
        <w:footnoteReference w:id="2060"/>
      </w:r>
      <w:r>
        <w:t xml:space="preserve"> When the seventh angel sounds, "the time, times, and half"</w:t>
      </w:r>
      <w:r>
        <w:rPr>
          <w:rStyle w:val="FootnoteReference"/>
        </w:rPr>
        <w:footnoteReference w:id="2061"/>
      </w:r>
      <w:r>
        <w:t xml:space="preserve"> shall be out, "and the time shall be no longer."</w:t>
      </w:r>
      <w:r>
        <w:rPr>
          <w:rStyle w:val="FootnoteReference"/>
        </w:rPr>
        <w:footnoteReference w:id="2062"/>
      </w:r>
      <w:r>
        <w:t xml:space="preserve"> Then shall be accomplished concerning Antichrist the things that are written in the Revelation 18, of the spiritual Babylon, that great city Rome, or the idolatrous Roman government that has for so many ages been the great enemy of the Christian church, first under heathenism and then under popery; that proud city that lifted herself up to heaven, and above God himself in her pride and haughtiness, that cruel bloody city</w:t>
      </w:r>
      <w:r>
        <w:rPr>
          <w:rStyle w:val="FootnoteReference"/>
        </w:rPr>
        <w:footnoteReference w:id="2063"/>
      </w:r>
      <w:r>
        <w:t xml:space="preserve"> shall come down to the ground. Then shall that be fulfilled, Isaiah 26:5, "For he bringeth down them that dwell on high; the lofty city, he layeth it low; he layeth it low, even to the ground; he bringeth it even to the dust." She shall be thrown down with violence, "like a great millstone cast into the sea," and "shall be found no more" at all, and shall become an "habitation of devils, and the hold of every foul spirit, and a cage of every unclean and hateful bird."</w:t>
      </w:r>
      <w:r>
        <w:rPr>
          <w:rStyle w:val="FootnoteReference"/>
        </w:rPr>
        <w:footnoteReference w:id="2064"/>
      </w:r>
      <w:r>
        <w:t xml:space="preserve"> Now shall she be stripped of all her glory, and riches, and ornaments, and shall be cast out as an abominable branch,</w:t>
      </w:r>
      <w:r>
        <w:rPr>
          <w:rStyle w:val="FootnoteReference"/>
        </w:rPr>
        <w:footnoteReference w:id="2065"/>
      </w:r>
      <w:r>
        <w:t xml:space="preserve"> and shall be "trodden down as the mire of the streets."</w:t>
      </w:r>
      <w:r>
        <w:rPr>
          <w:rStyle w:val="FootnoteReference"/>
        </w:rPr>
        <w:footnoteReference w:id="2066"/>
      </w:r>
      <w:r>
        <w:t xml:space="preserve"> All her policy and craft that she so abounded in shall not save her. And God will make his people that have been so persecuted by her to come and put their foot on the neck of Antichrist;</w:t>
      </w:r>
      <w:r>
        <w:rPr>
          <w:rStyle w:val="FootnoteReference"/>
        </w:rPr>
        <w:footnoteReference w:id="2067"/>
      </w:r>
      <w:r>
        <w:t xml:space="preserve"> and he shall be their footstool.</w:t>
      </w:r>
      <w:r>
        <w:rPr>
          <w:rStyle w:val="FootnoteReference"/>
        </w:rPr>
        <w:footnoteReference w:id="2068"/>
      </w:r>
      <w:r>
        <w:t xml:space="preserve"> All strength and wisdom of this great whore shall fail her, and there shall be none to help her; the kings of the earth that before gave their power and strength</w:t>
      </w:r>
      <w:r>
        <w:rPr>
          <w:rStyle w:val="FootnoteReference"/>
        </w:rPr>
        <w:footnoteReference w:id="2069"/>
      </w:r>
      <w:r>
        <w:t xml:space="preserve"> [to] the beast shall now "hate the whore, and</w:t>
      </w:r>
    </w:p>
    <w:p>
      <w:pPr>
        <w:pStyle w:val="SourcePage"/>
      </w:pPr>
      <w:r>
        <w:t xml:space="preserve">[p. 469]</w:t>
      </w:r>
    </w:p>
    <w:p>
      <w:pPr>
        <w:pStyle w:val="BodyText"/>
      </w:pPr>
      <w:r>
        <w:t xml:space="preserve">shall make [her desolate and naked, and shall eat her flesh, and burn her with fire]," Revelation 17:16.</w:t>
      </w:r>
    </w:p>
    <w:p>
      <w:pPr>
        <w:pStyle w:val="BodyText"/>
      </w:pPr>
      <w:r>
        <w:t xml:space="preserve">3.</w:t>
      </w:r>
      <w:r>
        <w:rPr>
          <w:rStyle w:val="FootnoteReference"/>
        </w:rPr>
        <w:footnoteReference w:id="2070"/>
      </w:r>
      <w:r>
        <w:t xml:space="preserve"> That other great kingdom that Satan has set up in opposition to the Christian church, viz. his Mohammedan kingdom, shall be utterly overthrown. The locusts and horsemen in the Revelation 9 have their appointed and limited time set them there, and the false prophet shall be taken and destroyed.</w:t>
      </w:r>
      <w:r>
        <w:rPr>
          <w:rStyle w:val="FootnoteReference"/>
        </w:rPr>
        <w:footnoteReference w:id="2071"/>
      </w:r>
      <w:r>
        <w:t xml:space="preserve"> And then, though Mohammedanism has been so vastly propagated in the world, and is upheld by such great empire, this smoke that has ascended out of the bottomless pit shall be utterly scattered before the light of that glorious day, and the Mohammedan empire shall fall at the sound of the great trumpet that then shall be blown.</w:t>
      </w:r>
      <w:r>
        <w:rPr>
          <w:rStyle w:val="FootnoteReference"/>
        </w:rPr>
        <w:footnoteReference w:id="2072"/>
      </w:r>
    </w:p>
    <w:p>
      <w:pPr>
        <w:pStyle w:val="BodyText"/>
      </w:pPr>
      <w:r>
        <w:t xml:space="preserve">4.</w:t>
      </w:r>
      <w:r>
        <w:rPr>
          <w:rStyle w:val="FootnoteReference"/>
        </w:rPr>
        <w:footnoteReference w:id="2073"/>
      </w:r>
      <w:r>
        <w:t xml:space="preserve"> Jewish infidelity shall then be overthrown. However obstinate they have now been for above seventeen hundred years in their rejecting Christ, and instances of conversion of any of</w:t>
      </w:r>
      <w:r>
        <w:rPr>
          <w:rStyle w:val="FootnoteReference"/>
        </w:rPr>
        <w:footnoteReference w:id="2074"/>
      </w:r>
      <w:r>
        <w:t xml:space="preserve"> that nation have been so very rare ever since the destruction of Jerusalem, but they have against the plain teachings of their own prophets continued to approve of the cruelty of their forefathers in crucifying [Christ]; yet when this day comes the thick veil that blinds their eyes shall be removed, 2 Corinthians 3:16, and divine grace shall melt and renew their hard hearts, "And they shall look on him whom they [have pierced, and they shall mourn for him, as one mourneth for his only son, and shall be in bitterness for him, as one that is in bitterness for his firstborn]," Zechariah 12:10 etc.</w:t>
      </w:r>
      <w:r>
        <w:rPr>
          <w:rStyle w:val="FootnoteReference"/>
        </w:rPr>
        <w:footnoteReference w:id="2075"/>
      </w:r>
      <w:r>
        <w:t xml:space="preserve"> And then shall all Israel be saved.</w:t>
      </w:r>
      <w:r>
        <w:rPr>
          <w:rStyle w:val="FootnoteReference"/>
        </w:rPr>
        <w:footnoteReference w:id="2076"/>
      </w:r>
      <w:r>
        <w:t xml:space="preserve"> The Jews in all their dispersions shall cast away their old infidelity, and shall wonderfully have their hearts changed, and abhor themselves for their past unbelief and obstinacy; and shall flow together to the blessed Jesus, penitently, humbly, and joyfully owning him as their glorious king and only savior, and shall with all their hearts as with one heart and voice declare his praises unto other nations.</w:t>
      </w:r>
      <w:r>
        <w:rPr>
          <w:rStyle w:val="FootnoteReference"/>
        </w:rPr>
        <w:footnoteReference w:id="2077"/>
      </w:r>
    </w:p>
    <w:p>
      <w:pPr>
        <w:pStyle w:val="BodyText"/>
      </w:pPr>
      <w:r>
        <w:t xml:space="preserve">Nothing is more certainly foretold than this national conversion of the Jews is in the Romans 11</w:t>
      </w:r>
      <w:r>
        <w:rPr>
          <w:rStyle w:val="FootnoteReference"/>
        </w:rPr>
        <w:footnoteReference w:id="2078"/>
      </w:r>
      <w:r>
        <w:t xml:space="preserve"> Romans 11. And there are also</w:t>
      </w:r>
    </w:p>
    <w:p>
      <w:pPr>
        <w:pStyle w:val="SourcePage"/>
      </w:pPr>
      <w:r>
        <w:t xml:space="preserve">[p. 470]</w:t>
      </w:r>
    </w:p>
    <w:p>
      <w:pPr>
        <w:pStyle w:val="BodyText"/>
      </w:pPr>
      <w:r>
        <w:t xml:space="preserve">many passages of the Old Testament that can't be interpreted in any other sense, that I can't now stand to mention. Besides the prophecies of the calling of the Jews, we have a remarkable seal of the fulfillment of this great event in providence by a thing that is a kind of continual miracle, viz. the preserving them a distinct [nation] when in such a dispersed condition for above sixteen hundred years. The world affords nothing else like it—a remarkable hand of providence. When they shall be called, then shall that ancient people that were alone God's people for so long a time be God's people again, never to be rejected more, one fold with the Gentiles; and then also shall the remains of the ten tribes wherever they are, and though they have been rejected much longer than [the Jews], be brought in with their brethren, the Jews. The prophecies of Hosea especially seem to hold this forth, that in the future glorious times of the church both Judah and Ephraim, or Judah</w:t>
      </w:r>
      <w:r>
        <w:rPr>
          <w:rStyle w:val="FootnoteReference"/>
        </w:rPr>
        <w:footnoteReference w:id="2079"/>
      </w:r>
      <w:r>
        <w:t xml:space="preserve"> and the ten tribes, shall be brought in together, and shall be united as one people as they formerly were under David and Solomon, as Hosea 1:11, and so in the last chapter of Hosea, and other parts of his prophecy.</w:t>
      </w:r>
      <w:r>
        <w:rPr>
          <w:rStyle w:val="FootnoteReference"/>
        </w:rPr>
        <w:footnoteReference w:id="2080"/>
      </w:r>
    </w:p>
    <w:p>
      <w:pPr>
        <w:pStyle w:val="BodyText"/>
      </w:pPr>
      <w:r>
        <w:t xml:space="preserve">Though we don't know the time in which this conversion of the nation of Israel will come to pass, yet this much we may determine by Scripture, that it will [be] before [the] glory of the Gentile part of the church shall be fully accomplished, because it is said that their coming in shall be life from the dead to the Gentiles, Romans 11:12, Romans 11:15 ["Now if the fall of them be the riches of the world … how much more their fulness? … For if the casting away of them be the reconciling of the world, what shall the receiving of them be, but life from the dead?"].</w:t>
      </w:r>
    </w:p>
    <w:p>
      <w:pPr>
        <w:pStyle w:val="SourcePage"/>
      </w:pPr>
      <w:r>
        <w:t xml:space="preserve">[p. 471]</w:t>
      </w:r>
    </w:p>
    <w:p>
      <w:pPr>
        <w:pStyle w:val="Heading2"/>
      </w:pPr>
      <w:bookmarkStart w:name="heading_sermon_twenty_seven" w:id="84"/>
      <w:r>
        <w:t xml:space="preserve">SERMON TWENTY-SEVEN</w:t>
      </w:r>
      <w:bookmarkEnd w:id="84"/>
    </w:p>
    <w:p>
      <w:pPr>
        <w:pStyle w:val="BodyText"/>
      </w:pPr>
      <w:r>
        <w:rPr>
          <w:rStyle w:val="FootnoteReference"/>
        </w:rPr>
        <w:footnoteReference w:id="2081"/>
      </w:r>
    </w:p>
    <w:p>
      <w:pPr>
        <w:pStyle w:val="BodyText"/>
      </w:pPr>
      <w:r>
        <w:rPr>
          <w:rStyle w:val="FootnoteReference"/>
        </w:rPr>
        <w:footnoteReference w:id="2082"/>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6" w:id="85"/>
      <w:r>
        <w:t xml:space="preserve">[DOCTRINE]</w:t>
      </w:r>
      <w:bookmarkEnd w:id="85"/>
    </w:p>
    <w:p>
      <w:pPr>
        <w:pStyle w:val="BlockQuote"/>
      </w:pPr>
      <w:r>
        <w:rPr>
          <w:i/>
          <w:iCs/>
        </w:rPr>
        <w:t xml:space="preserve">[The Work of Redemption is a work that God carries on from the fall of man to the end of the world.]</w:t>
      </w:r>
    </w:p>
    <w:p>
      <w:pPr>
        <w:pStyle w:val="BodyText"/>
      </w:pPr>
      <w:r>
        <w:t xml:space="preserve">5.</w:t>
      </w:r>
      <w:r>
        <w:rPr>
          <w:rStyle w:val="FootnoteReference"/>
        </w:rPr>
        <w:footnoteReference w:id="2083"/>
      </w:r>
      <w:r>
        <w:t xml:space="preserve"> Then shall also Satan's heathenish kingdom be overthrown. Gross heathenism now possesses great part of the earth, and there are supposed to be more heathens now in the world than of all professions put together, Jews, Mohammedans and Christians. But then the heathen nations shall be enlightened with the glorious gospel.</w:t>
      </w:r>
      <w:r>
        <w:rPr>
          <w:rStyle w:val="FootnoteReference"/>
        </w:rPr>
        <w:footnoteReference w:id="2084"/>
      </w:r>
      <w:r>
        <w:t xml:space="preserve"> There will be a</w:t>
      </w:r>
      <w:r>
        <w:rPr>
          <w:rStyle w:val="FootnoteReference"/>
        </w:rPr>
        <w:footnoteReference w:id="2085"/>
      </w:r>
      <w:r>
        <w:t xml:space="preserve"> wonderful spirit of pity towards them, and zeal for their instruction and conversion put into multitudes, and many shall go forth and carry the gospel unto them. And then shall the joyful sound be heard among them, and the sun of righteousness shall then arise, with his glorious light shining on those many vast regions of the earth that have been covered with heathenish darkness for many thousand years, many of them doubtless ever since the times of Moses and Abraham, and have lain thus long in a miserable condition under the cruel tyranny of the devil, that has all this while blinded and befooled them, and domineered over them, and made a prey of them from</w:t>
      </w:r>
    </w:p>
    <w:p>
      <w:pPr>
        <w:pStyle w:val="SourcePage"/>
      </w:pPr>
      <w:r>
        <w:t xml:space="preserve">[p. 472]</w:t>
      </w:r>
    </w:p>
    <w:p>
      <w:pPr>
        <w:pStyle w:val="BodyText"/>
      </w:pPr>
      <w:r>
        <w:t xml:space="preserve">generation to generation. Now the glad tidings of the gospel shall be proclaimed among them, the joyful trumpet shall sound there, and they shall be brought out of darkness into marvelous light.</w:t>
      </w:r>
    </w:p>
    <w:p>
      <w:pPr>
        <w:pStyle w:val="BodyText"/>
      </w:pPr>
      <w:r>
        <w:t xml:space="preserve">It is promised that heathenism shall thus be destroyed in many places. God has</w:t>
      </w:r>
      <w:r>
        <w:rPr>
          <w:rStyle w:val="FootnoteReference"/>
        </w:rPr>
        <w:footnoteReference w:id="2086"/>
      </w:r>
      <w:r>
        <w:t xml:space="preserve"> said it, that "the gods that han't made these heavens [and the earth, even they shall perish from the earth, and from under these heavens]," Jeremiah 10:11, and that he will utterly abolish idols Isaiah 2:18. Then shall the many nations of Africa, the nations of Negroes and others—heathens that chiefly fill that quarter of the world, that now seem to be in a state but little above the beasts in many respects and as much below them in many others</w:t>
      </w:r>
      <w:r>
        <w:rPr>
          <w:rStyle w:val="FootnoteReference"/>
        </w:rPr>
        <w:footnoteReference w:id="2087"/>
      </w:r>
      <w:r>
        <w:t xml:space="preserve">—be enlightened with glorious light, and delivered from all their darkness, and shall become a civil, Christian and an understanding and holy people. Then shall this vast continent of America, that now in so great part of it is covered with barbarous ignorance and cruelty, be everywhere covered with glorious gospel light and Christian love, and instead of worshipping the devil as now, they now shall serve the true God and praises shall be sung to the Lord Jesus Christ, the blessed savior of the world, everywhere. So may we expect it will be in that great and populous part of the world, the East Indies that are now mostly worshippers of the devil, and so throughout</w:t>
      </w:r>
      <w:r>
        <w:rPr>
          <w:rStyle w:val="FootnoteReference"/>
        </w:rPr>
        <w:footnoteReference w:id="2088"/>
      </w:r>
      <w:r>
        <w:t xml:space="preserve"> that vast country, cruel Turkey. And then the kingdom of Christ will be also established in those continents that have more lately been discovered towards the north and south poles, where now men differ very little from the wild beasts—excepting that they worship the devil and beasts do not—and in many countries that never yet have been discovered.</w:t>
      </w:r>
      <w:r>
        <w:rPr>
          <w:rStyle w:val="FootnoteReference"/>
        </w:rPr>
        <w:footnoteReference w:id="2089"/>
      </w:r>
      <w:r>
        <w:t xml:space="preserve"> Thus will be gloriously fulfilled that in the Isaiah 35:1 ["The wilderness and the solitary place shall be glad for them; and the desert shall rejoice, and blossom as the rose"], and verses six and seven ["in the wilderness shall waters break out, and streams in the desert. And the parched ground shall become a pool, and the thirsty land springs of water"].</w:t>
      </w:r>
    </w:p>
    <w:p>
      <w:pPr>
        <w:pStyle w:val="BodyText"/>
      </w:pPr>
      <w:r>
        <w:t xml:space="preserve">Having thus shown wherein this overthrow of Satan's visible kingdom consists, I come now to the second thing</w:t>
      </w:r>
      <w:r>
        <w:rPr>
          <w:rStyle w:val="FootnoteReference"/>
        </w:rPr>
        <w:footnoteReference w:id="2090"/>
      </w:r>
      <w:r>
        <w:t xml:space="preserve"> to be observed concerning</w:t>
      </w:r>
    </w:p>
    <w:p>
      <w:pPr>
        <w:pStyle w:val="SourcePage"/>
      </w:pPr>
      <w:r>
        <w:t xml:space="preserve">[p. 473]</w:t>
      </w:r>
    </w:p>
    <w:p>
      <w:pPr>
        <w:pStyle w:val="BodyText"/>
      </w:pPr>
      <w:r>
        <w:t xml:space="preserve">it, viz. its universal extent. The visible kingdom of Satan shall be overthrown and the kingdom of Christ set up on the ruins of it everywhere, throughout the whole habitable globe. Now shall the promise made to Abraham be fulfilled, that "In him and in his seed all the families [of the earth shall be blessed]."</w:t>
      </w:r>
      <w:r>
        <w:rPr>
          <w:rStyle w:val="FootnoteReference"/>
        </w:rPr>
        <w:footnoteReference w:id="2091"/>
      </w:r>
      <w:r>
        <w:t xml:space="preserve"> And Christ now shall become the desire of all nations, agreeable to Haggai 2:7.</w:t>
      </w:r>
      <w:r>
        <w:rPr>
          <w:rStyle w:val="FootnoteReference"/>
        </w:rPr>
        <w:footnoteReference w:id="2092"/>
      </w:r>
    </w:p>
    <w:p>
      <w:pPr>
        <w:pStyle w:val="BodyText"/>
      </w:pPr>
      <w:r>
        <w:t xml:space="preserve">Now the kingdom of Christ shall in the most strict and literal sense extend to all nations and the whole earth. There are many passages of Scripture that can be understood in no other sense. What can be more universal than that in Isaiah 11:9, "For the earth shall be full of the knowledge of the Lord, as the waters cover the sea," as much as to say, as there is no part of the channel or cavity of sea anywhere but that</w:t>
      </w:r>
      <w:r>
        <w:rPr>
          <w:rStyle w:val="FootnoteReference"/>
        </w:rPr>
        <w:footnoteReference w:id="2093"/>
      </w:r>
      <w:r>
        <w:t xml:space="preserve"> is covered with water, so there shall be no part of the world of mankind but that shall be covered with the knowledge of God. So it is foretold in the Isaiah 45:22, that all the ends of the earth shall look to Christ and be saved. And to show that these words are to be understood in the most universal sense, it is said in the next verse, "I have sworn by my self, the word is gone out of my mouth …, and shall not return, That unto me every knee shall bow, every tongue shall swear."</w:t>
      </w:r>
      <w:r>
        <w:rPr>
          <w:rStyle w:val="FootnoteReference"/>
        </w:rPr>
        <w:footnoteReference w:id="2094"/>
      </w:r>
      <w:r>
        <w:t xml:space="preserve"> So the most universal expression is used, Dan. 7.27, "And the kingdom and dominion, and the greatness of the kingdom under the whole heaven, shall be given</w:t>
      </w:r>
    </w:p>
    <w:p>
      <w:pPr>
        <w:pStyle w:val="SourcePage"/>
      </w:pPr>
      <w:r>
        <w:t xml:space="preserve">[p. 474]</w:t>
      </w:r>
    </w:p>
    <w:p>
      <w:pPr>
        <w:pStyle w:val="BodyText"/>
      </w:pPr>
      <w:r>
        <w:t xml:space="preserve">to the people of the saints of the most High God":</w:t>
      </w:r>
      <w:r>
        <w:rPr>
          <w:rStyle w:val="FootnoteReference"/>
        </w:rPr>
        <w:footnoteReference w:id="2095"/>
      </w:r>
      <w:r>
        <w:t xml:space="preserve"> all under the whole heaven.</w:t>
      </w:r>
      <w:r>
        <w:rPr>
          <w:rStyle w:val="FootnoteReference"/>
        </w:rPr>
        <w:footnoteReference w:id="2096"/>
      </w:r>
    </w:p>
    <w:p>
      <w:pPr>
        <w:pStyle w:val="BodyText"/>
      </w:pPr>
      <w:r>
        <w:t xml:space="preserve">When the devil was cast out of the Roman empire because that was the highest and principal part of the world and the other nations that were left were low and mean in comparison of them, it was represented as Satan's being cast out of heaven to the earth, Revelation 12:9. But now 'tis represented</w:t>
      </w:r>
      <w:r>
        <w:rPr>
          <w:rStyle w:val="FootnoteReference"/>
        </w:rPr>
        <w:footnoteReference w:id="2097"/>
      </w:r>
      <w:r>
        <w:t xml:space="preserve"> as though he should be cast out of the earth too, and shut up in hell, Revelation 20:1–3 ["And I saw an angel … having the key of the bottomless pit.… And he laid hold on the dragon … and Satan, and bound him a thousand years, And cast him into the bottomless pit, and shut him up … that he should deceive the nations no more, till the thousand years should be fulfilled"].</w:t>
      </w:r>
      <w:r>
        <w:rPr>
          <w:rStyle w:val="FootnoteReference"/>
        </w:rPr>
        <w:footnoteReference w:id="2098"/>
      </w:r>
      <w:r>
        <w:t xml:space="preserve"> This is the greatest revolution by far that ever came to pass; therefore it is said in [the] Romans 16:17–18, that on the pouring out of the seventh vial "there was a great earthquake, such as was not since men were upon earth, so mighty an earthquake, and so great."</w:t>
      </w:r>
    </w:p>
    <w:p>
      <w:pPr>
        <w:pStyle w:val="BodyText"/>
      </w:pPr>
      <w:r>
        <w:t xml:space="preserve">And this is the third great dispensation of providence that is in Scripture compared to Christ's coming to judgment. So it is in Revelation 16:15. There after the sixth vial, after the devil's armies were gathered together to their great battle, and just before Christ's glorious victory over them, "Behold,</w:t>
      </w:r>
      <w:r>
        <w:rPr>
          <w:rStyle w:val="FootnoteReference"/>
        </w:rPr>
        <w:footnoteReference w:id="2099"/>
      </w:r>
      <w:r>
        <w:t xml:space="preserve"> I come quickly. Blessed is he that watcheth, and keepeth his garments."</w:t>
      </w:r>
      <w:r>
        <w:rPr>
          <w:rStyle w:val="FootnoteReference"/>
        </w:rPr>
        <w:footnoteReference w:id="2100"/>
      </w:r>
      <w:r>
        <w:t xml:space="preserve"> So it is called Christ's coming in the 2 Thessalonians 2:8. Speaking of Antichrist, it is said, "And then shall that Wicked be revealed, whom the Lord shall consume with the spirit</w:t>
      </w:r>
    </w:p>
    <w:p>
      <w:pPr>
        <w:pStyle w:val="SourcePage"/>
      </w:pPr>
      <w:r>
        <w:t xml:space="preserve">[p. 475]</w:t>
      </w:r>
    </w:p>
    <w:p>
      <w:pPr>
        <w:pStyle w:val="BodyText"/>
      </w:pPr>
      <w:r>
        <w:t xml:space="preserve">of his mouth, and shall destroy with the brightness of his coming." So Christ's coming to set up his kingdom on earth made heaven as 'tis here expressed.</w:t>
      </w:r>
      <w:r>
        <w:rPr>
          <w:rStyle w:val="FootnoteReference"/>
        </w:rPr>
        <w:footnoteReference w:id="2101"/>
      </w:r>
      <w:r>
        <w:t xml:space="preserve"> And to destroy Antichrist is called his coming with "clouds of heaven" to judgment. And this is more like Christ's last coming to judgment than any of the preceding dispensations that are so called on these accounts.</w:t>
      </w:r>
    </w:p>
    <w:p>
      <w:pPr>
        <w:pStyle w:val="BodyText"/>
      </w:pPr>
      <w:r>
        <w:t xml:space="preserve">1.</w:t>
      </w:r>
      <w:r>
        <w:rPr>
          <w:rStyle w:val="FootnoteReference"/>
        </w:rPr>
        <w:footnoteReference w:id="2102"/>
      </w:r>
      <w:r>
        <w:t xml:space="preserve"> That the dispensation is so much greater and more universal, and so more like the day of judgment that respects the whole world.</w:t>
      </w:r>
    </w:p>
    <w:p>
      <w:pPr>
        <w:pStyle w:val="BodyText"/>
      </w:pPr>
      <w:r>
        <w:t xml:space="preserve">2</w:t>
      </w:r>
      <w:r>
        <w:rPr>
          <w:rStyle w:val="FootnoteReference"/>
        </w:rPr>
        <w:footnoteReference w:id="2103"/>
      </w:r>
      <w:r>
        <w:t xml:space="preserve"> On the account of the great spiritual resurrection there will be of the church of God accompanying [it] more resembling the general resurrection at the end of the world than any other. This spiritual resurrection is the resurrection spoken of as attended with judgment, Revelation 20:4 ["And I saw thrones, and they sat upon them, and judgment was given unto them: and I saw the souls of them that were beheaded for the witness of Jesus"].</w:t>
      </w:r>
    </w:p>
    <w:p>
      <w:pPr>
        <w:pStyle w:val="BodyText"/>
      </w:pPr>
      <w:r>
        <w:rPr>
          <w:rStyle w:val="FootnoteReference"/>
        </w:rPr>
        <w:footnoteReference w:id="2104"/>
      </w:r>
      <w:r>
        <w:t xml:space="preserve">3.</w:t>
      </w:r>
      <w:r>
        <w:rPr>
          <w:rStyle w:val="FootnoteReference"/>
        </w:rPr>
        <w:footnoteReference w:id="2105"/>
      </w:r>
      <w:r>
        <w:t xml:space="preserve"> Because of the terrible judgments and fearful destruction which shall now be executed on God's enemies, there will doubtless at the introducing of this dispensation be a visible and awful hand of God against blasphemers, deists, and obstinate heretics, and other enemies of Christ, terribly destroying them with remarkable tokens of wrath and vengeance. And especially will that dispensation be attended with terrible judgments on Antichrist. And the cruel persecutors that belong to the church of Rome shall in a most awful manner be destroyed, which is compared to a casting Antichrist into the burning flame in Daniel 7:11, and casting him alive into the lake that burns with fire and brimstone, Revelation 19:20. Then shall this cruel persecuting church suffer those judgments from God that shall be far more dreadful than her cruelest persecutions of the saints, agreeable to Revelation 18:6–7 ["Reward her even as she rewarded you, and double unto her double according to her works.… How much she hath glorified herself … so much torment and sorrow give her"]. The judgments of God that he</w:t>
      </w:r>
      <w:r>
        <w:rPr>
          <w:rStyle w:val="FootnoteReference"/>
        </w:rPr>
        <w:footnoteReference w:id="2106"/>
      </w:r>
      <w:r>
        <w:t xml:space="preserve"> shall execute on the enemies of the church are so great that they are compared to God's sending great</w:t>
      </w:r>
    </w:p>
    <w:p>
      <w:pPr>
        <w:pStyle w:val="SourcePage"/>
      </w:pPr>
      <w:r>
        <w:t xml:space="preserve">[p. 476]</w:t>
      </w:r>
    </w:p>
    <w:p>
      <w:pPr>
        <w:pStyle w:val="BodyText"/>
      </w:pPr>
      <w:r>
        <w:t xml:space="preserve">hailstones from heaven upon them, every one of the weight of a talent, as 'tis said on the pouring out of the seventh vial, Revelation 16:21, "And there fell upon [men] a great hail out of heaven, every stone about the weight of a talent: and men blasphemed God because of the plague of the hail; for the plague thereof was exceeding great."</w:t>
      </w:r>
      <w:r>
        <w:rPr>
          <w:rStyle w:val="FootnoteReference"/>
        </w:rPr>
        <w:footnoteReference w:id="2107"/>
      </w:r>
      <w:r>
        <w:t xml:space="preserve"> And now shall be that treading of the wine press spoken of, Revelation 14:19–20 ["And the angel thrust in his sickle into the earth, and gathered the vine of the earth, and cast it into the great winepress of the wrath of God. And the winepress was trodden without the city, and blood came out of the winepress"].</w:t>
      </w:r>
    </w:p>
    <w:p>
      <w:pPr>
        <w:pStyle w:val="BodyText"/>
      </w:pPr>
      <w:r>
        <w:t xml:space="preserve">4.</w:t>
      </w:r>
      <w:r>
        <w:rPr>
          <w:rStyle w:val="FootnoteReference"/>
        </w:rPr>
        <w:footnoteReference w:id="2108"/>
      </w:r>
      <w:r>
        <w:t xml:space="preserve"> This shall put an end to the church's suffering state, and shall be attended with their glorious and joyful praises. The church's afflicted state is long being continued,</w:t>
      </w:r>
      <w:r>
        <w:rPr>
          <w:rStyle w:val="FootnoteReference"/>
        </w:rPr>
        <w:footnoteReference w:id="2109"/>
      </w:r>
      <w:r>
        <w:t xml:space="preserve"> excepting some short intermissions from Christ's resurrection to this time, but now shall be a final end to her suffering state. Indeed after this, near the end of the world, the church shall be greatly threatened; but 'tis said it shall be but for a little season, Revelation 20:3.</w:t>
      </w:r>
      <w:r>
        <w:rPr>
          <w:rStyle w:val="FootnoteReference"/>
        </w:rPr>
        <w:footnoteReference w:id="2110"/>
      </w:r>
      <w:r>
        <w:t xml:space="preserve"> For as the times of the church's rest are but short</w:t>
      </w:r>
      <w:r>
        <w:rPr>
          <w:rStyle w:val="FootnoteReference"/>
        </w:rPr>
        <w:footnoteReference w:id="2111"/>
      </w:r>
      <w:r>
        <w:t xml:space="preserve"> before the long day of her afflictions are at an end, so whatever afflictions she may suffer after this it will be very short. But otherwise the day of the church's affliction and persecution shall now come to a final end.</w:t>
      </w:r>
      <w:r>
        <w:rPr>
          <w:rStyle w:val="FootnoteReference"/>
        </w:rPr>
        <w:footnoteReference w:id="2112"/>
      </w:r>
      <w:r>
        <w:t xml:space="preserve"> The Scripture in many places speaks of this time as the end of the church's suffering state.</w:t>
      </w:r>
      <w:r>
        <w:rPr>
          <w:rStyle w:val="FootnoteReference"/>
        </w:rPr>
        <w:footnoteReference w:id="2113"/>
      </w:r>
      <w:r>
        <w:t xml:space="preserve"> And so Isaiah 51:22, God says to his church at this time, "Behold, I have taken out of thine hand the cup of trembling, even the dregs of the cup of my fury; thou shalt no more drink it again." Then shall that be proclaimed to the church, Isaiah 40:1–2, "Comfort ye, [comfort ye my people, saith your God]. Speak ye comfortably to Jerusalem, [and] cry unto her, that her warfare</w:t>
      </w:r>
      <w:r>
        <w:rPr>
          <w:rStyle w:val="FootnoteReference"/>
        </w:rPr>
        <w:footnoteReference w:id="2114"/>
      </w:r>
      <w:r>
        <w:t xml:space="preserve"> is accomplished, [that her iniquity is pardoned: for she hath received of the Lord's hand double for all her sins]." Also</w:t>
      </w:r>
    </w:p>
    <w:p>
      <w:pPr>
        <w:pStyle w:val="SourcePage"/>
      </w:pPr>
      <w:r>
        <w:t xml:space="preserve">[p. 477]</w:t>
      </w:r>
    </w:p>
    <w:p>
      <w:pPr>
        <w:pStyle w:val="BodyText"/>
      </w:pPr>
      <w:r>
        <w:t xml:space="preserve">that in the Isaiah 54:8–9, belongs to this time ["I hid my face from thee for a moment; but with everlasting kindness will I have mercy on thee.… So have I sworn that I would not be wroth with thee, nor rebuke thee"]. And so Isaiah 60:20,</w:t>
      </w:r>
      <w:r>
        <w:rPr>
          <w:rStyle w:val="FootnoteReference"/>
        </w:rPr>
        <w:footnoteReference w:id="2115"/>
      </w:r>
      <w:r>
        <w:t xml:space="preserve"> "The Lord shall be thine everlasting light, and the days of thy mourning shall be ended." And so Zephaniah 3:15, "The Lord hath taken away thy judgments, he hath cast out thine enemy: the king of Israel, even the Lord, is in the midst of thee: thou shalt not see evil any more."</w:t>
      </w:r>
    </w:p>
    <w:p>
      <w:pPr>
        <w:pStyle w:val="BodyText"/>
      </w:pPr>
      <w:r>
        <w:t xml:space="preserve">The time that had been before this has been the church's sowing time, wherein she sowed in tears and in blood; but now is her harvest, wherein she will come again, rejoicing, bringing her sheaves with her.</w:t>
      </w:r>
      <w:r>
        <w:rPr>
          <w:rStyle w:val="FootnoteReference"/>
        </w:rPr>
        <w:footnoteReference w:id="2116"/>
      </w:r>
      <w:r>
        <w:t xml:space="preserve"> Now the time of the travail of the woman clothed with the sun is at an end, now she has brought forth her son;</w:t>
      </w:r>
      <w:r>
        <w:rPr>
          <w:rStyle w:val="FootnoteReference"/>
        </w:rPr>
        <w:footnoteReference w:id="2117"/>
      </w:r>
      <w:r>
        <w:t xml:space="preserve"> for this glorious setting up the kingdom of Christ through the world is what the church had been in travail for, with such terrible pangs, for so many ages, Isaiah 26:17, </w:t>
      </w:r>
      <w:r>
        <w:rPr>
          <w:rStyle w:val="FootnoteReference"/>
        </w:rPr>
        <w:footnoteReference w:id="2118"/>
      </w:r>
      <w:r>
        <w:t xml:space="preserve"> "Like as a woman with child, that draweth near the time of her delivery, is in pain, and crieth out in her pangs; so have we been in thy sight, O Lord."</w:t>
      </w:r>
      <w:r>
        <w:rPr>
          <w:rStyle w:val="FootnoteReference"/>
        </w:rPr>
        <w:footnoteReference w:id="2119"/>
      </w:r>
      <w:r>
        <w:t xml:space="preserve"> And now the church shall forget her sorrows, since a man child is born into the world; now succeeds her joyful praise and triumph.</w:t>
      </w:r>
      <w:r>
        <w:rPr>
          <w:rStyle w:val="FootnoteReference"/>
        </w:rPr>
        <w:footnoteReference w:id="2120"/>
      </w:r>
      <w:r>
        <w:t xml:space="preserve"> These praises shall go up to God then from all parts of the earth, as Isaiah 42:10–12 ["Sing unto the Lord a new song, and his praise from the end of the earth.… Let the wilderness and the cities thereof lift up their voice.… Let them give glory unto the Lord, and declare his praise in the islands"].</w:t>
      </w:r>
    </w:p>
    <w:p>
      <w:pPr>
        <w:pStyle w:val="BodyText"/>
      </w:pPr>
      <w:r>
        <w:t xml:space="preserve">And praise shall not only fill the earth but also heaven. The church on earth and the church in heaven shall both gloriously rejoice and praise God as with one heart on that occasion. Without doubt then it will be a time of very distinguishing</w:t>
      </w:r>
      <w:r>
        <w:rPr>
          <w:rStyle w:val="FootnoteReference"/>
        </w:rPr>
        <w:footnoteReference w:id="2121"/>
      </w:r>
      <w:r>
        <w:t xml:space="preserve"> joy and praise among the holy prophets and apostles and other saints in heaven, Revelation 18:20, "Rejoice over her, thou heaven, and ye holy apostles and prophets; for God</w:t>
      </w:r>
    </w:p>
    <w:p>
      <w:pPr>
        <w:pStyle w:val="SourcePage"/>
      </w:pPr>
      <w:r>
        <w:t xml:space="preserve">[p. 478]</w:t>
      </w:r>
    </w:p>
    <w:p>
      <w:pPr>
        <w:pStyle w:val="BodyText"/>
      </w:pPr>
      <w:r>
        <w:t xml:space="preserve">hath</w:t>
      </w:r>
      <w:r>
        <w:rPr>
          <w:rStyle w:val="FootnoteReference"/>
        </w:rPr>
        <w:footnoteReference w:id="2122"/>
      </w:r>
      <w:r>
        <w:t xml:space="preserve"> avenged you of her." See how universal these praises will be in Isaiah 44:23, "Sing, O ye heavens; for the Lord hath done it: shout, ye lower parts of the earth; break forth into singing, ye mountains, O forest, and every tree therein: For the Lord hath redeemed Jacob and glorified himself in Israel." See what joyful praises are sung to God on this occasion by the universal church in heaven and earth in the beginning of the Revelation 19 ["And I heard as it were the voice of a great multitude … saying, Alleluia.… Let us be glad and rejoice, and give honour to him"].</w:t>
      </w:r>
      <w:r>
        <w:rPr>
          <w:rStyle w:val="FootnoteReference"/>
        </w:rPr>
        <w:footnoteReference w:id="2123"/>
      </w:r>
    </w:p>
    <w:p>
      <w:pPr>
        <w:pStyle w:val="BodyText"/>
      </w:pPr>
      <w:r>
        <w:t xml:space="preserve">5.</w:t>
      </w:r>
      <w:r>
        <w:rPr>
          <w:rStyle w:val="FootnoteReference"/>
        </w:rPr>
        <w:footnoteReference w:id="2124"/>
      </w:r>
      <w:r>
        <w:t xml:space="preserve"> This dispensation is above all preceding ones like Christ's coming to judgment in that it so puts an end to the former state of the world and introduces the everlasting kingdom of Christ. Now Satan's visible kingdom shall be overthrown after it had stood ever since the building of Babel. And the old heavens and the old earth shall in a greater measure be passed</w:t>
      </w:r>
      <w:r>
        <w:rPr>
          <w:rStyle w:val="FootnoteReference"/>
        </w:rPr>
        <w:footnoteReference w:id="2125"/>
      </w:r>
      <w:r>
        <w:t xml:space="preserve"> away than ever before, and the new heavens and new earth set up in a far more glorious manner than ever before.</w:t>
      </w:r>
      <w:r>
        <w:rPr>
          <w:rStyle w:val="FootnoteReference"/>
        </w:rPr>
        <w:footnoteReference w:id="2126"/>
      </w:r>
    </w:p>
    <w:p>
      <w:pPr>
        <w:pStyle w:val="BodyText"/>
      </w:pPr>
      <w:r>
        <w:t xml:space="preserve">Thus I have shown how the success of Christ's purchase has been carried on through the times of the afflicted state of the Christian church, from Christ's resurrection till Antichrist is fallen and Satan's visible kingdom on earth is overthrown.</w:t>
      </w:r>
      <w:r>
        <w:rPr>
          <w:rStyle w:val="FootnoteReference"/>
        </w:rPr>
        <w:footnoteReference w:id="2127"/>
      </w:r>
      <w:r>
        <w:t xml:space="preserve"> [I come now,]</w:t>
      </w:r>
    </w:p>
    <w:p>
      <w:pPr>
        <w:pStyle w:val="SourcePage"/>
      </w:pPr>
      <w:r>
        <w:t xml:space="preserve">[p. 479]</w:t>
      </w:r>
    </w:p>
    <w:p>
      <w:pPr>
        <w:pStyle w:val="BodyText"/>
      </w:pPr>
      <w:r>
        <w:t xml:space="preserve">Secondly,</w:t>
      </w:r>
      <w:r>
        <w:rPr>
          <w:rStyle w:val="FootnoteReference"/>
        </w:rPr>
        <w:footnoteReference w:id="2128"/>
      </w:r>
      <w:r>
        <w:t xml:space="preserve"> to show how the success ‹of redemption will be carried on› through that space wherein the Christian church shall for the most part [be] in a state of peace and prosperity.</w:t>
      </w:r>
      <w:r>
        <w:rPr>
          <w:rStyle w:val="FootnoteReference"/>
        </w:rPr>
        <w:footnoteReference w:id="2129"/>
      </w:r>
      <w:r>
        <w:t xml:space="preserve"> And in order to this I would 1. speak of the prosperous state of the church through the bigger part of this period, and 2. of the great apostasy there shall be towards the close of it, and how greatly then the church shall be threatened by her enemies for a short time.</w:t>
      </w:r>
    </w:p>
    <w:p>
      <w:pPr>
        <w:pStyle w:val="BodyText"/>
      </w:pPr>
      <w:r>
        <w:t xml:space="preserve">I.</w:t>
      </w:r>
      <w:r>
        <w:rPr>
          <w:rStyle w:val="FootnoteReference"/>
        </w:rPr>
        <w:footnoteReference w:id="2130"/>
      </w:r>
      <w:r>
        <w:t xml:space="preserve"> I would speak of the prosperous state of the church through the bigger part of this period. And in doing this, 1. I would describe this state of the church, and 2. say something of its duration.</w:t>
      </w:r>
    </w:p>
    <w:p>
      <w:pPr>
        <w:pStyle w:val="BodyText"/>
      </w:pPr>
      <w:r>
        <w:t xml:space="preserve">1.</w:t>
      </w:r>
      <w:r>
        <w:rPr>
          <w:rStyle w:val="FootnoteReference"/>
        </w:rPr>
        <w:footnoteReference w:id="2131"/>
      </w:r>
      <w:r>
        <w:t xml:space="preserve"> I would describe the prosperous state the, church shall be in.</w:t>
      </w:r>
      <w:r>
        <w:rPr>
          <w:rStyle w:val="FootnoteReference"/>
        </w:rPr>
        <w:footnoteReference w:id="2132"/>
      </w:r>
      <w:r>
        <w:t xml:space="preserve"> And in the general I would observe two things:</w:t>
      </w:r>
    </w:p>
    <w:p>
      <w:pPr>
        <w:pStyle w:val="BodyText"/>
      </w:pPr>
      <w:r>
        <w:t xml:space="preserve">1.</w:t>
      </w:r>
      <w:r>
        <w:rPr>
          <w:rStyle w:val="FootnoteReference"/>
        </w:rPr>
        <w:footnoteReference w:id="2133"/>
      </w:r>
      <w:r>
        <w:t xml:space="preserve"> That this is most properly the time of the kingdom of heaven upon earth, though the kingdom of heaven was in a degree set up soon after Christ's resurrection, and in a further degree in Constantine's time, and the Christian church in all ages of it is called the kingdom of heaven; yet this time that we are upon is the principal time of the kingdom of heaven on earth principally intended by the prophecies of Daniel that speak of the kingdom of heaven, whence the Jews took [the name, the kingdom of heaven].</w:t>
      </w:r>
      <w:r>
        <w:rPr>
          <w:rStyle w:val="FootnoteReference"/>
        </w:rPr>
        <w:footnoteReference w:id="2134"/>
      </w:r>
    </w:p>
    <w:p>
      <w:pPr>
        <w:pStyle w:val="BodyText"/>
      </w:pPr>
      <w:r>
        <w:t xml:space="preserve">2.</w:t>
      </w:r>
      <w:r>
        <w:rPr>
          <w:rStyle w:val="FootnoteReference"/>
        </w:rPr>
        <w:footnoteReference w:id="2135"/>
      </w:r>
      <w:r>
        <w:t xml:space="preserve"> Now is the principal fulfillment of all the prophecies of the Old Testament that speak of the glorious times of the gospel that shall be in the latter days. Though [there has been a] glorious fulfillment [of those prophecies] before, yet the</w:t>
      </w:r>
      <w:r>
        <w:rPr>
          <w:rStyle w:val="FootnoteReference"/>
        </w:rPr>
        <w:footnoteReference w:id="2136"/>
      </w:r>
      <w:r>
        <w:t xml:space="preserve"> expressions used are most of them too high for any other time. This is most properly the glorious gospel</w:t>
      </w:r>
    </w:p>
    <w:p>
      <w:pPr>
        <w:pStyle w:val="SourcePage"/>
      </w:pPr>
      <w:r>
        <w:t xml:space="preserve">[p. 480]</w:t>
      </w:r>
    </w:p>
    <w:p>
      <w:pPr>
        <w:pStyle w:val="BodyText"/>
      </w:pPr>
      <w:r>
        <w:t xml:space="preserve">day. Other times are only forerunners and preparatories to this; other times were the seed time but this is the harvest. But more particularly,</w:t>
      </w:r>
    </w:p>
    <w:p>
      <w:pPr>
        <w:pStyle w:val="BodyText"/>
      </w:pPr>
      <w:r>
        <w:rPr>
          <w:rStyle w:val="FootnoteReference"/>
        </w:rPr>
        <w:footnoteReference w:id="2137"/>
      </w:r>
      <w:r>
        <w:t xml:space="preserve">1.</w:t>
      </w:r>
      <w:r>
        <w:rPr>
          <w:rStyle w:val="FootnoteReference"/>
        </w:rPr>
        <w:footnoteReference w:id="2138"/>
      </w:r>
      <w:r>
        <w:t xml:space="preserve"> It will be a time of great light and knowledge. The present days are days of darkness in comparison of those days. The light of that glorious time shall be so great that 'tis represented as though there should then be no night but only day, no evening nor darkness.</w:t>
      </w:r>
      <w:r>
        <w:rPr>
          <w:rStyle w:val="FootnoteReference"/>
        </w:rPr>
        <w:footnoteReference w:id="2139"/>
      </w:r>
      <w:r>
        <w:t xml:space="preserve"> So</w:t>
      </w:r>
      <w:r>
        <w:rPr>
          <w:rStyle w:val="FootnoteReference"/>
        </w:rPr>
        <w:footnoteReference w:id="2140"/>
      </w:r>
      <w:r>
        <w:t xml:space="preserve"> Zechariah 14:6–7 ["And it shall come to pass in that day, that the light shall not be clear, nor dark: But it shall be one day which shall be known to the Lord, not day, nor night: but it shall come to pass, that at evening time it shall be light"]. 'Tis further represented as though God would then give such light to his church, that should so much exceed the glory of the light of the light of the sun and moon, that they should be ashamed, Isaiah 24:23, "Then the moon shall be confounded, and the sun ashamed, when the Lord of hosts shall reign in Mount Zion, [and in Jerusalem, and] before his [ancients gloriously]."</w:t>
      </w:r>
    </w:p>
    <w:p>
      <w:pPr>
        <w:pStyle w:val="BodyText"/>
      </w:pPr>
      <w:r>
        <w:t xml:space="preserve">There is a kind of a veil now cast over the bigger part of the world that keeps 'em in darkness; but then this veil shall be destroyed, Isaiah 25:7, "And he will destroy in this mountain the face of the covering cast over all people, and the veil that is spread over all nations." And then all countries and nations, even those that are now most ignorant, shall be full of light and knowledge. Great knowledge shall prevail everywhere. It may be hoped that then many of the Negroes and Indians will be divines, and that excellent books will be published in Africa, in Ethiopia, in Turkey—and not only very learned men, but others that are more ordinary men, shall then be very knowing in religion, Isaiah 32:3–4, "The eyes of them that see shall</w:t>
      </w:r>
      <w:r>
        <w:rPr>
          <w:rStyle w:val="FootnoteReference"/>
        </w:rPr>
        <w:footnoteReference w:id="2141"/>
      </w:r>
      <w:r>
        <w:t xml:space="preserve"> not be dim, and the ears [of them that hear shall hearken]. The heart also of the rash shall understand knowledge."</w:t>
      </w:r>
      <w:r>
        <w:rPr>
          <w:rStyle w:val="FootnoteReference"/>
        </w:rPr>
        <w:footnoteReference w:id="2142"/>
      </w:r>
      <w:r>
        <w:t xml:space="preserve"> Knowledge then shall be very universal among all sorts of persons, agreeable to Jeremiah 31:34, "And they shall teach no more every man his neighbor, and every man his brother, [saying, Know the Lord: for they shall all know me, from the least of them unto the greatest of them]."</w:t>
      </w:r>
    </w:p>
    <w:p>
      <w:pPr>
        <w:pStyle w:val="BodyText"/>
      </w:pPr>
      <w:r>
        <w:t xml:space="preserve">There shall then be a wonderful unraveling the difficulties in the</w:t>
      </w:r>
    </w:p>
    <w:p>
      <w:pPr>
        <w:pStyle w:val="SourcePage"/>
      </w:pPr>
      <w:r>
        <w:t xml:space="preserve">[p. 481]</w:t>
      </w:r>
    </w:p>
    <w:p>
      <w:pPr>
        <w:pStyle w:val="BodyText"/>
      </w:pPr>
      <w:r>
        <w:t xml:space="preserve">doctrines of religion, and clearing up seeming inconsistencies; "so crooked things shall be made straight, and rough places shall be made plain," and darkness shall become light before God's people.</w:t>
      </w:r>
      <w:r>
        <w:rPr>
          <w:rStyle w:val="FootnoteReference"/>
        </w:rPr>
        <w:footnoteReference w:id="2143"/>
      </w:r>
      <w:r>
        <w:t xml:space="preserve"> Difficulties in Scripture shall then be cleared up, and wonderful things shall be discovered in the word of God that were never discovered before. The great discovery of those things in religion that had been</w:t>
      </w:r>
      <w:r>
        <w:rPr>
          <w:rStyle w:val="FootnoteReference"/>
        </w:rPr>
        <w:footnoteReference w:id="2144"/>
      </w:r>
      <w:r>
        <w:t xml:space="preserve"> before kept hid seems to [be] compared to removing the veiling and discovering the ark of the testimony to the people that</w:t>
      </w:r>
      <w:r>
        <w:rPr>
          <w:rStyle w:val="FootnoteReference"/>
        </w:rPr>
        <w:footnoteReference w:id="2145"/>
      </w:r>
      <w:r>
        <w:t xml:space="preserve"> used to be kept in the secret of the temple and never seen by them. Thus at the sounding of the seventh angel, when 'tis proclaimed "that the kingdoms of this world [are become the kingdoms of our Lord, and of his Christ],"</w:t>
      </w:r>
      <w:r>
        <w:rPr>
          <w:rStyle w:val="FootnoteReference"/>
        </w:rPr>
        <w:footnoteReference w:id="2146"/>
      </w:r>
      <w:r>
        <w:t xml:space="preserve"> 'tis added that, "the temple of God was opened in heaven, and there was seen in his temple the ark of his testament."</w:t>
      </w:r>
      <w:r>
        <w:rPr>
          <w:rStyle w:val="FootnoteReference"/>
        </w:rPr>
        <w:footnoteReference w:id="2147"/>
      </w:r>
      <w:r>
        <w:t xml:space="preserve"> So great shall be the increase of knowledge in this time that heaven shall be, as it were, opened to the church of God on earth.</w:t>
      </w:r>
    </w:p>
    <w:p>
      <w:pPr>
        <w:pStyle w:val="BodyText"/>
      </w:pPr>
      <w:r>
        <w:t xml:space="preserve">2.</w:t>
      </w:r>
      <w:r>
        <w:rPr>
          <w:rStyle w:val="FootnoteReference"/>
        </w:rPr>
        <w:footnoteReference w:id="2148"/>
      </w:r>
      <w:r>
        <w:t xml:space="preserve"> It shall be a time of great holiness; now vital religion shall everywhere prevail and reign. Religion shall not be an empty profession as it now mostly is, but holiness of heart and life shall abundantly prevail. Those times shall be an exception from what Christ says of the ordinary state of the church, viz. that there shall be but</w:t>
      </w:r>
      <w:r>
        <w:rPr>
          <w:rStyle w:val="FootnoteReference"/>
        </w:rPr>
        <w:footnoteReference w:id="2149"/>
      </w:r>
      <w:r>
        <w:t xml:space="preserve"> few [saved],</w:t>
      </w:r>
      <w:r>
        <w:rPr>
          <w:rStyle w:val="FootnoteReference"/>
        </w:rPr>
        <w:footnoteReference w:id="2150"/>
      </w:r>
      <w:r>
        <w:t xml:space="preserve"> for now holiness shall become general, Isaiah 60:21, </w:t>
      </w:r>
      <w:r>
        <w:rPr>
          <w:rStyle w:val="FootnoteReference"/>
        </w:rPr>
        <w:footnoteReference w:id="2151"/>
      </w:r>
      <w:r>
        <w:t xml:space="preserve"> "Thy people also shall be all righteous." Not that there will be none remaining in a Christianless condition, but that visible wickedness shall be suppressed everywhere, and true holiness shall become general, though not universal. And it shall be a wonderful time, not only for the multitude of godly men, but for eminency of grace, Isaiah 65:20, "There shall be no more thence an infant of days, [nor an old man that hath not filled his days: for the child shall die an hundred years old; but the sinner being an hundred years old shall be accursed]." And Zechariah 12:8, "He that is feeble among them at that day shall be as David; and the house of David shall be as God, as the angel of the</w:t>
      </w:r>
    </w:p>
    <w:p>
      <w:pPr>
        <w:pStyle w:val="SourcePage"/>
      </w:pPr>
      <w:r>
        <w:t xml:space="preserve">[p. 482]</w:t>
      </w:r>
    </w:p>
    <w:p>
      <w:pPr>
        <w:pStyle w:val="BodyText"/>
      </w:pPr>
      <w:r>
        <w:t xml:space="preserve">Lord before them." And holiness shall then be, as it were, inscribed on everything, on all men's common business and employments, and the common utensils of life, all shall be, as it were, dedicated to God and improved for holy purposes; everything shall then be done to the glory of God, Isaiah 23:18, "And her merchandise and her hire shall be holiness to the Lord." And so Zechariah 14:20–21 ["In that day shall there be upon the bells of the horses, HOLINESS UNTO THE LORD.… Yea, every pot in Jerusalem and in Judah shall be holiness unto the Lord"].</w:t>
      </w:r>
      <w:r>
        <w:rPr>
          <w:rStyle w:val="FootnoteReference"/>
        </w:rPr>
        <w:footnoteReference w:id="2152"/>
      </w:r>
      <w:r>
        <w:t xml:space="preserve"> And so God's people then, as they shall be eminent for holiness of heart, so they shall also be for holiness of life and practice.</w:t>
      </w:r>
    </w:p>
    <w:p>
      <w:pPr>
        <w:pStyle w:val="BodyText"/>
      </w:pPr>
      <w:r>
        <w:t xml:space="preserve">3.</w:t>
      </w:r>
      <w:r>
        <w:rPr>
          <w:rStyle w:val="FootnoteReference"/>
        </w:rPr>
        <w:footnoteReference w:id="2153"/>
      </w:r>
      <w:r>
        <w:t xml:space="preserve"> It shall be a time wherein religion shall in every respect be uppermost in the world. It shall be had in great esteem and honor. The saints have hitherto for the most part been kept under, and wicked men have governed; but now they will be uppermost. The kingdom "shall be given into the hands of the saints of the most High" God, Daniel 7:27. And they "shall reign on earth," Revelation 5:10, "And hast made us unto our God kings." [They]</w:t>
      </w:r>
      <w:r>
        <w:rPr>
          <w:rStyle w:val="FootnoteReference"/>
        </w:rPr>
        <w:footnoteReference w:id="2154"/>
      </w:r>
      <w:r>
        <w:t xml:space="preserve"> shall live and reign with Christ [a thousand years], Revelation 20:4. [In that day] such persons shall be chiefly promoted. Vital religion then shall take the possession of kings' palaces and thrones, and those that [are] in highest advancement shall generally be holy men, Isaiah 49:23, "And kings shall be thy nursing fathers, [and their queens thy nursing mothers]." Kings shall then improve all their power and glory and riches for the advancement</w:t>
      </w:r>
      <w:r>
        <w:rPr>
          <w:rStyle w:val="FootnoteReference"/>
        </w:rPr>
        <w:footnoteReference w:id="2155"/>
      </w:r>
      <w:r>
        <w:t xml:space="preserve"> of the honor and glory of Christ and the good of his church, Isaiah 60:16, "Thou shalt also suck the milk of the Gentiles, and shalt suck the breasts of kings." And the great men of the world, the rich merchants and others that have great wealth and influence, shall devote all to Christ and his church, Psalms 45:12, "The daughter of Tyre shall be there with a gift; … the rich among the people shall intreat thy favor."</w:t>
      </w:r>
    </w:p>
    <w:p>
      <w:pPr>
        <w:pStyle w:val="BodyText"/>
      </w:pPr>
      <w:r>
        <w:t xml:space="preserve">4.</w:t>
      </w:r>
      <w:r>
        <w:rPr>
          <w:rStyle w:val="FootnoteReference"/>
        </w:rPr>
        <w:footnoteReference w:id="2156"/>
      </w:r>
      <w:r>
        <w:t xml:space="preserve"> These will be times of great peace and love. There shall then be universal peace and good understanding among all the nations of the world, instead of such confusion, wars, and bloodshed as has hitherto been from one age to another, Isaiah 2:4, "And he shall judge</w:t>
      </w:r>
    </w:p>
    <w:p>
      <w:pPr>
        <w:pStyle w:val="SourcePage"/>
      </w:pPr>
      <w:r>
        <w:t xml:space="preserve">[p. 483]</w:t>
      </w:r>
    </w:p>
    <w:p>
      <w:pPr>
        <w:pStyle w:val="BodyText"/>
      </w:pPr>
      <w:r>
        <w:t xml:space="preserve">among the nations, and [shall] rebuke many people: and they shall beat [their swords into ploughshares, and their spears into pruning-hooks: nation shall not lift up sword against nation, neither shall they learn war any more]." So it is represented as if all instruments of war should be destroyed as having become useless, in Psalms 46:9, </w:t>
      </w:r>
      <w:r>
        <w:rPr>
          <w:rStyle w:val="FootnoteReference"/>
        </w:rPr>
        <w:footnoteReference w:id="2157"/>
      </w:r>
      <w:r>
        <w:t xml:space="preserve"> "He maketh wars to cease to the ends of the earth; he breaketh the bow, and cutteth the spear in sunder; and burneth the chariot in the fire."</w:t>
      </w:r>
      <w:r>
        <w:rPr>
          <w:rStyle w:val="FootnoteReference"/>
        </w:rPr>
        <w:footnoteReference w:id="2158"/>
      </w:r>
      <w:r>
        <w:t xml:space="preserve"> Then shall all nations dwell quietly and safely without the fear of any enemy; Isaiah 32:18, "And my people shall dwell in a peaceable habitation, and in sure dwellings, and in quiet resting places."</w:t>
      </w:r>
      <w:r>
        <w:rPr>
          <w:rStyle w:val="FootnoteReference"/>
        </w:rPr>
        <w:footnoteReference w:id="2159"/>
      </w:r>
      <w:r>
        <w:t xml:space="preserve"> And then shall malice and envy and wrath and revenge be suppressed everywhere, and peace and love shall prevail between one man and another. Which is most elegantly set forth in the Isaiah 11:6–9 ["The wolf also shall dwell with the lamb … and a little child shall lead them. And the cow and the bear shall feed.… And the sucking child shall play on the hole of the asp.… They shall not hurt nor destroy in all my holy mountain. For the earth shall be full of the knowledge of the Lord"]. Then shall there be peace and love between rulers and ruled. Rulers shall love their people, and with all their might seek their best good; and the people shall love their rulers, and shall joyfully submit to them, and give 'em that honor that is their due. And so shall there be an happy love and peace everywhere between ministers</w:t>
      </w:r>
      <w:r>
        <w:rPr>
          <w:rStyle w:val="FootnoteReference"/>
        </w:rPr>
        <w:footnoteReference w:id="2160"/>
      </w:r>
      <w:r>
        <w:t xml:space="preserve"> and people, Malachi 4:6, "[And he shall] turn the heart of [the] fathers to the children, [and the heart of the children to their fathers]." Then shall flourish in an eminent manner those Christian virtues of meekness, forgiveness, long-suffering, gentleness, goodness, brotherly kindness, those excellent fruits of the Spirit.</w:t>
      </w:r>
      <w:r>
        <w:rPr>
          <w:rStyle w:val="FootnoteReference"/>
        </w:rPr>
        <w:footnoteReference w:id="2161"/>
      </w:r>
      <w:r>
        <w:t xml:space="preserve"> Men in their temper and disposition shall then be like the lamb of God, the lovely Jesus. The body shall be conformed to the head.</w:t>
      </w:r>
      <w:r>
        <w:rPr>
          <w:rStyle w:val="FootnoteReference"/>
        </w:rPr>
        <w:footnoteReference w:id="2162"/>
      </w:r>
    </w:p>
    <w:p>
      <w:pPr>
        <w:pStyle w:val="BodyText"/>
      </w:pPr>
      <w:r>
        <w:t xml:space="preserve">And then shall all the world be united in peace and love in one amiable society; all nations, in all parts, on every side of the globe, shall then be knit together in sweet harmony, all parts of God's church assisting and promoting the knowledge and spiritual good one of</w:t>
      </w:r>
    </w:p>
    <w:p>
      <w:pPr>
        <w:pStyle w:val="SourcePage"/>
      </w:pPr>
      <w:r>
        <w:t xml:space="preserve">[p. 484]</w:t>
      </w:r>
    </w:p>
    <w:p>
      <w:pPr>
        <w:pStyle w:val="BodyText"/>
      </w:pPr>
      <w:r>
        <w:t xml:space="preserve">another. A communication shall be then upheld between all parts of the world to that end, and the art of navigation that is now improved so much in fear, with covetousness</w:t>
      </w:r>
      <w:r>
        <w:rPr>
          <w:rStyle w:val="FootnoteReference"/>
        </w:rPr>
        <w:footnoteReference w:id="2163"/>
      </w:r>
      <w:r>
        <w:t xml:space="preserve"> and pride, and is used so much by wicked, debauched men, shall then be consecrated to God, and improved for holy uses, as we read in the Isaiah 60:5 ["the abundance of the sea shall be converted unto thee"], Isaiah 60:9, ["Surely the isles shall wait for me, and the ships of Tarshish … to bring thy sons from far"]. And it shall then be a time wherein men will be abundant in expressing their love one to another, not only in words but in deeds of charity, as we learn, Isaiah 32:5, and "the vile person shall no more be called liberal, nor the churl be said to be bountiful" and Isaiah 32:8, "But the liberal deviseth liberal things; and by liberal things shall he stand."</w:t>
      </w:r>
    </w:p>
    <w:p>
      <w:pPr>
        <w:pStyle w:val="BodyText"/>
      </w:pPr>
      <w:r>
        <w:t xml:space="preserve">5.</w:t>
      </w:r>
      <w:r>
        <w:rPr>
          <w:rStyle w:val="FootnoteReference"/>
        </w:rPr>
        <w:footnoteReference w:id="2164"/>
      </w:r>
      <w:r>
        <w:t xml:space="preserve"> A time of excellent order in the church discipline and government [shall]</w:t>
      </w:r>
      <w:r>
        <w:rPr>
          <w:rStyle w:val="FootnoteReference"/>
        </w:rPr>
        <w:footnoteReference w:id="2165"/>
      </w:r>
      <w:r>
        <w:t xml:space="preserve"> be settled in his church; all the world [shall then be] as one church, one orderly, regular, beautiful society, one body, all the members in beautiful proportion.</w:t>
      </w:r>
      <w:r>
        <w:rPr>
          <w:rStyle w:val="FootnoteReference"/>
        </w:rPr>
        <w:footnoteReference w:id="2166"/>
      </w:r>
      <w:r>
        <w:t xml:space="preserve"> Then [shall] that [be] verified [in] Psalms 122:3, </w:t>
      </w:r>
      <w:r>
        <w:rPr>
          <w:rStyle w:val="FootnoteReference"/>
        </w:rPr>
        <w:footnoteReference w:id="2167"/>
      </w:r>
      <w:r>
        <w:t xml:space="preserve"> "Jerusalem is builded</w:t>
      </w:r>
      <w:r>
        <w:rPr>
          <w:rStyle w:val="FootnoteReference"/>
        </w:rPr>
        <w:footnoteReference w:id="2168"/>
      </w:r>
      <w:r>
        <w:t xml:space="preserve"> as a city compact together."</w:t>
      </w:r>
    </w:p>
    <w:p>
      <w:pPr>
        <w:pStyle w:val="BodyText"/>
      </w:pPr>
      <w:r>
        <w:t xml:space="preserve">6.</w:t>
      </w:r>
      <w:r>
        <w:rPr>
          <w:rStyle w:val="FootnoteReference"/>
        </w:rPr>
        <w:footnoteReference w:id="2169"/>
      </w:r>
      <w:r>
        <w:t xml:space="preserve"> [The] church of God shall be beautiful and glorious on these accounts, [yea it will appear in] perfection of beauty, Isaiah 60:1, "Arise, shine; [for thy light is come, and the glory of the Lord is risen upon thee]." And Isaiah 61:10 ["He hath covered me with the robe of righteousness, as a bridegroom decketh himself with ornaments, and as a bride adorneth herself with her jewels"]. As a bride adorned for her husband,</w:t>
      </w:r>
      <w:r>
        <w:rPr>
          <w:rStyle w:val="FootnoteReference"/>
        </w:rPr>
        <w:footnoteReference w:id="2170"/>
      </w:r>
      <w:r>
        <w:t xml:space="preserve"> [the church will then be] the greatest image of heaven.</w:t>
      </w:r>
    </w:p>
    <w:p>
      <w:pPr>
        <w:pStyle w:val="BodyText"/>
      </w:pPr>
      <w:r>
        <w:t xml:space="preserve">7.</w:t>
      </w:r>
      <w:r>
        <w:rPr>
          <w:rStyle w:val="FootnoteReference"/>
        </w:rPr>
        <w:footnoteReference w:id="2171"/>
      </w:r>
      <w:r>
        <w:t xml:space="preserve"> [That will be a time] of great temporal [prosperity]. [Such a] spiritual state [will] have a natural tendency to it: to health, Zechariah 8:4; ease,</w:t>
      </w:r>
      <w:r>
        <w:rPr>
          <w:rStyle w:val="FootnoteReference"/>
        </w:rPr>
        <w:footnoteReference w:id="2172"/>
      </w:r>
      <w:r>
        <w:t xml:space="preserve"> quietness, pleasantness, wealth, great increase of children, Zechariah 8:5. Through the remarkable blessing of heaven, Isaiah 65:21, "[They shall] build houses, [and inhabit them; and they shall] plant</w:t>
      </w:r>
    </w:p>
    <w:p>
      <w:pPr>
        <w:pStyle w:val="SourcePage"/>
      </w:pPr>
      <w:r>
        <w:t xml:space="preserve">[p. 485]</w:t>
      </w:r>
    </w:p>
    <w:p>
      <w:pPr>
        <w:pStyle w:val="BodyText"/>
      </w:pPr>
      <w:r>
        <w:t xml:space="preserve">vineyards, [and eat the fruit of them]."</w:t>
      </w:r>
      <w:r>
        <w:rPr>
          <w:rStyle w:val="FootnoteReference"/>
        </w:rPr>
        <w:footnoteReference w:id="2173"/>
      </w:r>
      <w:r>
        <w:t xml:space="preserve"> Elsewhere: [Micah 4:4, "But they shall sit every man] under his vine and under his fig tree; [and none shall make them afraid]"; Zechariah 8:12; Jeremiah 31:12–13 ["Therefore they shall come and sing in the height of Zion, and shall flow together to the goodness of the Lord, for wheat, and for wine …; and they shall not sorrow any more at all. Then shall the virgin rejoice in the dance …: for I will turn their mourning into joy"];</w:t>
      </w:r>
      <w:r>
        <w:rPr>
          <w:rStyle w:val="FootnoteReference"/>
        </w:rPr>
        <w:footnoteReference w:id="2174"/>
      </w:r>
      <w:r>
        <w:t xml:space="preserve"> and Amos 9:13 ["Behold, the days come … that the plowman shall overtake the reaper … and the mountains shall drop sweet wine, and all the hills shall melt"].</w:t>
      </w:r>
      <w:r>
        <w:rPr>
          <w:rStyle w:val="FootnoteReference"/>
        </w:rPr>
        <w:footnoteReference w:id="2175"/>
      </w:r>
      <w:r>
        <w:t xml:space="preserve"> [Then they shall receive] all manner of tokens of God's presence, and acceptance, and favor, Jeremiah 33:9. [They shall] call on God, and he will answer.</w:t>
      </w:r>
      <w:r>
        <w:rPr>
          <w:rStyle w:val="FootnoteReference"/>
        </w:rPr>
        <w:footnoteReference w:id="2176"/>
      </w:r>
      <w:r>
        <w:t xml:space="preserve"> [The] days of Solomon [were] but an image of those days.</w:t>
      </w:r>
    </w:p>
    <w:p>
      <w:pPr>
        <w:pStyle w:val="BodyText"/>
      </w:pPr>
      <w:r>
        <w:rPr>
          <w:rStyle w:val="FootnoteReference"/>
        </w:rPr>
        <w:footnoteReference w:id="2177"/>
      </w:r>
      <w:r>
        <w:t xml:space="preserve">8.</w:t>
      </w:r>
      <w:r>
        <w:rPr>
          <w:rStyle w:val="FootnoteReference"/>
        </w:rPr>
        <w:footnoteReference w:id="2178"/>
      </w:r>
      <w:r>
        <w:t xml:space="preserve"> [It shall also be a] time of great rejoicing: Isaiah 35:10, "[And the] ransomed of the Lord [shall] return, [and come to Zion with songs and] everlasting joy [upon their heads: they shall obtain joy and gladness, and sorrow and sighing shall flee away]"; Isaiah 55:12, "For ye shall go out with joy, and be led forth with peace: [the] mountains and [the] hills shall break forth before you into singing"; Isaiah 66:11, "[That ye may suck, and be satisfied with the breasts of her consolations; that ye may] milk out, and be delighted with the abundance of her glory"; Isaiah 12:3, "With joy [shall ye] draw water [out of the wells of salvation]." [This shall be] a time of feasting, the church's glorious wedding day so far as her wedding with Christ shall ever be on earth: Revelation 19:7, "Let us be glad and rejoice [and give honour to him: for the marriage of the Lamb is come, and his wife hath made herself ready]"; Revelation 19:9, "Blessed is he that shall be called to the marriage supper [of the Lamb]."</w:t>
      </w:r>
      <w:r>
        <w:rPr>
          <w:rStyle w:val="FootnoteReference"/>
        </w:rPr>
        <w:footnoteReference w:id="2179"/>
      </w:r>
    </w:p>
    <w:p>
      <w:pPr>
        <w:pStyle w:val="BodyText"/>
      </w:pPr>
      <w:r>
        <w:t xml:space="preserve">Secondly,</w:t>
      </w:r>
      <w:r>
        <w:rPr>
          <w:rStyle w:val="FootnoteReference"/>
        </w:rPr>
        <w:footnoteReference w:id="2180"/>
      </w:r>
      <w:r>
        <w:t xml:space="preserve"> [I will speak briefly of the] duration [of the prosperous state of the church. It will be] a long time, Revelation 20:4, "[And I saw the souls of them that were beheaded for the witness of Jesus … and</w:t>
      </w:r>
    </w:p>
    <w:p>
      <w:pPr>
        <w:pStyle w:val="SourcePage"/>
      </w:pPr>
      <w:r>
        <w:t xml:space="preserve">[p. 486]</w:t>
      </w:r>
    </w:p>
    <w:p>
      <w:pPr>
        <w:pStyle w:val="BodyText"/>
      </w:pPr>
      <w:r>
        <w:t xml:space="preserve">they lived and reigned with Christ] a thousand years"; Isaiah 60:15, </w:t>
      </w:r>
      <w:r>
        <w:rPr>
          <w:rStyle w:val="FootnoteReference"/>
        </w:rPr>
        <w:footnoteReference w:id="2181"/>
      </w:r>
      <w:r>
        <w:t xml:space="preserve"> "[Whereas thou hast been forsaken and hated, so that no man went through thee, I will make thee an eternal excellency, a] joy of many generations."</w:t>
      </w:r>
      <w:r>
        <w:rPr>
          <w:rStyle w:val="FootnoteReference"/>
        </w:rPr>
        <w:footnoteReference w:id="2182"/>
      </w:r>
    </w:p>
    <w:p>
      <w:pPr>
        <w:pStyle w:val="BodyText"/>
      </w:pPr>
      <w:r>
        <w:t xml:space="preserve">And now let us once more take a view of that building of God.</w:t>
      </w:r>
      <w:r>
        <w:rPr>
          <w:rStyle w:val="FootnoteReference"/>
        </w:rPr>
        <w:footnoteReference w:id="2183"/>
      </w:r>
    </w:p>
    <w:p>
      <w:pPr>
        <w:pStyle w:val="SourcePage"/>
      </w:pPr>
      <w:r>
        <w:t xml:space="preserve">[p. 487]</w:t>
      </w:r>
    </w:p>
    <w:p>
      <w:pPr>
        <w:pStyle w:val="Heading2"/>
      </w:pPr>
      <w:bookmarkStart w:name="heading_no_12_sermon_twenty_eight_au" w:id="86"/>
      <w:r>
        <w:t xml:space="preserve">No. 12: SERMON TWENTY-EIGHT Aug. 1739</w:t>
      </w:r>
      <w:bookmarkEnd w:id="86"/>
    </w:p>
    <w:p>
      <w:pPr>
        <w:pStyle w:val="BodyText"/>
      </w:pPr>
      <w:r>
        <w:rPr>
          <w:rStyle w:val="FootnoteReference"/>
        </w:rPr>
        <w:footnoteReference w:id="2184"/>
      </w:r>
    </w:p>
    <w:p>
      <w:pPr>
        <w:pStyle w:val="BodyText"/>
      </w:pPr>
      <w:r>
        <w:rPr>
          <w:rStyle w:val="FootnoteReference"/>
        </w:rPr>
        <w:footnoteReference w:id="2185"/>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7" w:id="87"/>
      <w:r>
        <w:t xml:space="preserve">DOCTRINE</w:t>
      </w:r>
      <w:bookmarkEnd w:id="87"/>
    </w:p>
    <w:p>
      <w:pPr>
        <w:pStyle w:val="BlockQuote"/>
      </w:pPr>
      <w:r>
        <w:rPr>
          <w:i/>
          <w:iCs/>
        </w:rPr>
        <w:t xml:space="preserve">[The Work of Redemption is a work that God carries on from the fall of man to the end of the world.]</w:t>
      </w:r>
    </w:p>
    <w:p>
      <w:pPr>
        <w:pStyle w:val="Heading3"/>
      </w:pPr>
      <w:bookmarkStart w:name="heading_proposition_2" w:id="88"/>
      <w:r>
        <w:t xml:space="preserve">PROPOSITION</w:t>
      </w:r>
      <w:bookmarkEnd w:id="88"/>
    </w:p>
    <w:p>
      <w:pPr>
        <w:pStyle w:val="BlockQuote"/>
      </w:pPr>
      <w:r>
        <w:rPr>
          <w:i/>
          <w:iCs/>
        </w:rPr>
        <w:t xml:space="preserve">[That the space of time from the end of Christ's humiliation to the end of the world is all taken up in bringing about the great effect or success of Christ's purchase.]</w:t>
      </w:r>
    </w:p>
    <w:p>
      <w:pPr>
        <w:pStyle w:val="BodyText"/>
      </w:pPr>
      <w:r>
        <w:t xml:space="preserve">HAVING shown how the success of Christ's purchase was carried on through the first afflicted state of the church, we come in the second place to show how the same is carried on through that space wherein the Christian church shall be visibly in a state of peace and prosperity, viz. from the destruction of Satan's ‹visible kingdom› to Christ's appearing on the clouds of heaven. And here it was proposed, I. to speak of the prosperous state of the church through the bigger part of this period. This has been already done.</w:t>
      </w:r>
    </w:p>
    <w:p>
      <w:pPr>
        <w:pStyle w:val="BodyText"/>
      </w:pPr>
      <w:r>
        <w:t xml:space="preserve">II.</w:t>
      </w:r>
      <w:r>
        <w:rPr>
          <w:rStyle w:val="FootnoteReference"/>
        </w:rPr>
        <w:footnoteReference w:id="2186"/>
      </w:r>
      <w:r>
        <w:t xml:space="preserve"> I proposed to speak of the great apostasy there should be towards the close of this period, and how eminently the church should be for a short time threatened by her enemies. And this is what I now come to, and this I shall speak to under three particulars.</w:t>
      </w:r>
    </w:p>
    <w:p>
      <w:pPr>
        <w:pStyle w:val="SourcePage"/>
      </w:pPr>
      <w:r>
        <w:t xml:space="preserve">[p. 488]</w:t>
      </w:r>
    </w:p>
    <w:p>
      <w:pPr>
        <w:pStyle w:val="BodyText"/>
      </w:pPr>
      <w:r>
        <w:t xml:space="preserve">1.</w:t>
      </w:r>
      <w:r>
        <w:rPr>
          <w:rStyle w:val="FootnoteReference"/>
        </w:rPr>
        <w:footnoteReference w:id="2187"/>
      </w:r>
      <w:r>
        <w:t xml:space="preserve"> A little before the end of the world there shall be a very great apostasy, wherein great part of the world shall fall away from Christ and his church. It is said in the Revelation 20:3, that Satan should be cast into the bottomless pit and shut up and have "a seal set upon him,</w:t>
      </w:r>
      <w:r>
        <w:rPr>
          <w:rStyle w:val="FootnoteReference"/>
        </w:rPr>
        <w:footnoteReference w:id="2188"/>
      </w:r>
      <w:r>
        <w:t xml:space="preserve"> that he should deceive the nations no more, till the thousand years should be fulfilled: and that after that he must be loosed" out of his prison for "a little season."</w:t>
      </w:r>
      <w:r>
        <w:rPr>
          <w:rStyle w:val="FootnoteReference"/>
        </w:rPr>
        <w:footnoteReference w:id="2189"/>
      </w:r>
      <w:r>
        <w:t xml:space="preserve"> And accordingly we are told in the Revelation 20:7–8 that "when the thousand years are expired, Satan shall be loosed out of his prison, and should go out to deceive the nations which are in the four quarters of the earth, Gog and Magog."</w:t>
      </w:r>
      <w:r>
        <w:rPr>
          <w:rStyle w:val="FootnoteReference"/>
        </w:rPr>
        <w:footnoteReference w:id="2190"/>
      </w:r>
      <w:r>
        <w:t xml:space="preserve"> Which seems to show as though the apostasy would be very general; the nations of the four quarters of the earth shall [be] deceived. And the number of those that now shall turn enemies to Christ shall [be] vastly great as the army of Gog and Magog is represented in Ezekiel, as 'tis said in the latter part of the Revelation 20:8, that the number of them is as the sand of the sea, and that they went up on the breadth of the earth as though they were an army big enough to reach from one side of the earth to the other.</w:t>
      </w:r>
      <w:r>
        <w:rPr>
          <w:rStyle w:val="FootnoteReference"/>
        </w:rPr>
        <w:footnoteReference w:id="2191"/>
      </w:r>
    </w:p>
    <w:p>
      <w:pPr>
        <w:pStyle w:val="BodyText"/>
      </w:pPr>
      <w:r>
        <w:t xml:space="preserve">Thus after such a happy and glorious season, such a long day of light and holiness, love and peace and joy, now it shall begin again to be a dark time; Satan shall begin to set up his dominion again in the world. This world shall again become</w:t>
      </w:r>
      <w:r>
        <w:rPr>
          <w:rStyle w:val="FootnoteReference"/>
        </w:rPr>
        <w:footnoteReference w:id="2192"/>
      </w:r>
      <w:r>
        <w:t xml:space="preserve"> a scene of darkness and wickedness. The bottomless pit of hell shall be opened, and devils shall come up again out of it, and a dreadful smoke shall ascend to darken the world.</w:t>
      </w:r>
      <w:r>
        <w:rPr>
          <w:rStyle w:val="FootnoteReference"/>
        </w:rPr>
        <w:footnoteReference w:id="2193"/>
      </w:r>
      <w:r>
        <w:t xml:space="preserve"> And the church of Christ, instead of extending to the utmost bounds of the world as it did before, shall be reduced to narrow limits again.</w:t>
      </w:r>
      <w:r>
        <w:rPr>
          <w:rStyle w:val="FootnoteReference"/>
        </w:rPr>
        <w:footnoteReference w:id="2194"/>
      </w:r>
      <w:r>
        <w:t xml:space="preserve"> The world of mankind being continued so long in a state of such great prosperity,</w:t>
      </w:r>
      <w:r>
        <w:rPr>
          <w:rStyle w:val="FootnoteReference"/>
        </w:rPr>
        <w:footnoteReference w:id="2195"/>
      </w:r>
      <w:r>
        <w:t xml:space="preserve"> shall now begin to abuse their prosperity to serve their lust and corruption; this we may learn from Luke 17:26 etc. ["And as it was in the days of Noah.… They did</w:t>
      </w:r>
    </w:p>
    <w:p>
      <w:pPr>
        <w:pStyle w:val="SourcePage"/>
      </w:pPr>
      <w:r>
        <w:t xml:space="preserve">[p. 489]</w:t>
      </w:r>
    </w:p>
    <w:p>
      <w:pPr>
        <w:pStyle w:val="BodyText"/>
      </w:pPr>
      <w:r>
        <w:t xml:space="preserve">eat, they drank, they married wives … they sold, they planted … but the same day … it rained fire and brimstone from heaven.… Even thus shall it be in the day when the Son of man is revealed"].</w:t>
      </w:r>
      <w:r>
        <w:rPr>
          <w:rStyle w:val="FootnoteReference"/>
        </w:rPr>
        <w:footnoteReference w:id="2196"/>
      </w:r>
      <w:r>
        <w:t xml:space="preserve"> Thus it shall be for a little season. God won't suffer it to continue long because this is not the proper day of the church's trouble; that was ended at the fall of Antichrist, as we have showed already. And therefore a time as this won't continue long.</w:t>
      </w:r>
    </w:p>
    <w:p>
      <w:pPr>
        <w:pStyle w:val="BodyText"/>
      </w:pPr>
      <w:r>
        <w:rPr>
          <w:rStyle w:val="FootnoteReference"/>
        </w:rPr>
        <w:footnoteReference w:id="2197"/>
      </w:r>
      <w:r>
        <w:t xml:space="preserve">2.</w:t>
      </w:r>
      <w:r>
        <w:rPr>
          <w:rStyle w:val="FootnoteReference"/>
        </w:rPr>
        <w:footnoteReference w:id="2198"/>
      </w:r>
      <w:r>
        <w:t xml:space="preserve"> Those apostates shall make a great opposition to the church of God, and the church shall seem to be imminently threatened with a sudden and entire overthrow by them. It is said, Satan shall gather them together to battle, as the sand on the sea shore, "and they went up on the breadth of the earth, and compassed the camp of the saints about, and the beloved city";</w:t>
      </w:r>
      <w:r>
        <w:rPr>
          <w:rStyle w:val="FootnoteReference"/>
        </w:rPr>
        <w:footnoteReference w:id="2199"/>
      </w:r>
      <w:r>
        <w:t xml:space="preserve"> so that this beloved city shall seem just ready to be swallowed up by them. For her enemies shall not only have threatened her, but shall actually have gathered together against her; and not only so but shall have besieged her, shall have compassed her about on every side. There is nothing in the prophecy that seems to hold forth as though the church had actually fallen into their hands, as the church formerly had fallen into the hands of Antichrist, to whom it was given "to make war with the saints and overcome them."</w:t>
      </w:r>
      <w:r>
        <w:rPr>
          <w:rStyle w:val="FootnoteReference"/>
        </w:rPr>
        <w:footnoteReference w:id="2200"/>
      </w:r>
      <w:r>
        <w:t xml:space="preserve"> God will never suffer this to be again after the fall of Antichrist, for then "the days of her mourning shall be ended."</w:t>
      </w:r>
      <w:r>
        <w:rPr>
          <w:rStyle w:val="FootnoteReference"/>
        </w:rPr>
        <w:footnoteReference w:id="2201"/>
      </w:r>
      <w:r>
        <w:t xml:space="preserve"> But the church shall seem most imminently threatened</w:t>
      </w:r>
      <w:r>
        <w:rPr>
          <w:rStyle w:val="FootnoteReference"/>
        </w:rPr>
        <w:footnoteReference w:id="2202"/>
      </w:r>
      <w:r>
        <w:t xml:space="preserve"> with utter and sudden destruction.</w:t>
      </w:r>
    </w:p>
    <w:p>
      <w:pPr>
        <w:pStyle w:val="BodyText"/>
      </w:pPr>
      <w:r>
        <w:t xml:space="preserve">3.</w:t>
      </w:r>
      <w:r>
        <w:rPr>
          <w:rStyle w:val="FootnoteReference"/>
        </w:rPr>
        <w:footnoteReference w:id="2203"/>
      </w:r>
      <w:r>
        <w:t xml:space="preserve"> Now the state of things will seem most remarkably to call for Christ's immediate appearance to judgment. For then the world shall be filled with the most aggravated wickedness that ever it was. For much the bigger part of the world shall have become visibly wicked, and open enemies to Christ, and their wickedness shall [be] dreadfully aggravated by their apostasy. Before the fall of Antichrist most of the world was full of visibly wicked men; but the bigger part of these are poor heathens that never enjoyed the light of the gospel</w:t>
      </w:r>
    </w:p>
    <w:p>
      <w:pPr>
        <w:pStyle w:val="SourcePage"/>
      </w:pPr>
      <w:r>
        <w:t xml:space="preserve">[p. 490]</w:t>
      </w:r>
    </w:p>
    <w:p>
      <w:pPr>
        <w:pStyle w:val="BodyText"/>
      </w:pPr>
      <w:r>
        <w:t xml:space="preserve">and others were those that [had] been bred up in gross ignorance, in Mohammedan or popish darkness. But these are those that have apostatized from the Christian church and the visible kingdom of Christ in which they enjoyed the great light and privileges of those glorious times of the church, which shall be incomparably greater than the light and privileges that the church of God enjoys now. This apostasy will be most like the apostasy of the devils of any that ever had before been, for the devils</w:t>
      </w:r>
      <w:r>
        <w:rPr>
          <w:rStyle w:val="FootnoteReference"/>
        </w:rPr>
        <w:footnoteReference w:id="2204"/>
      </w:r>
      <w:r>
        <w:t xml:space="preserve"> apostatized and turned enemies to Christ, though they enjoyed the light of heaven; and these will apostatize and turn enemies to him, though they have enjoyed the light and privileges of the glorious times of the church.</w:t>
      </w:r>
      <w:r>
        <w:rPr>
          <w:rStyle w:val="FootnoteReference"/>
        </w:rPr>
        <w:footnoteReference w:id="2205"/>
      </w:r>
      <w:r>
        <w:t xml:space="preserve"> That such should turn open and avowed enemies to Christ, and should seek the ruin of his church, will cry aloud for such immediate vengeance as was executed on the devils when they fell.</w:t>
      </w:r>
    </w:p>
    <w:p>
      <w:pPr>
        <w:pStyle w:val="BodyText"/>
      </w:pPr>
      <w:r>
        <w:t xml:space="preserve">The wickedness of the world will remarkably call for Christ's immediate appearing in flaming fire to take vengeance on them,</w:t>
      </w:r>
      <w:r>
        <w:rPr>
          <w:rStyle w:val="FootnoteReference"/>
        </w:rPr>
        <w:footnoteReference w:id="2206"/>
      </w:r>
      <w:r>
        <w:t xml:space="preserve"> because of the way in which they shall manifest their wickedness, which shall be by scoffing and blaspheming at Christ and his holy religion; and particularly [they] will scoff at the notion of Christ's coming to judgment, that the church shall be in expectation of and will warn them of. For now doubtless will be another fulfillment, and the greatest fulfillment, 2 Peter 3:3–4, "Knowing this first, that there shall come in the last days scoffers, walking after their own lusts, And saying, Where is the promise of his coming? for since the fathers [fell asleep, all things continue as they were from the beginning of the creation].</w:t>
      </w:r>
      <w:r>
        <w:rPr>
          <w:rStyle w:val="FootnoteReference"/>
        </w:rPr>
        <w:footnoteReference w:id="2207"/>
      </w:r>
      <w:r>
        <w:t xml:space="preserve"> [They] shall be in no expectation of the coming of Christ in judgment and shall laugh at the notion. They shall trample all such things under foot,</w:t>
      </w:r>
      <w:r>
        <w:rPr>
          <w:rStyle w:val="FootnoteReference"/>
        </w:rPr>
        <w:footnoteReference w:id="2208"/>
      </w:r>
      <w:r>
        <w:t xml:space="preserve"> and shall give up themselves to their lusts,</w:t>
      </w:r>
      <w:r>
        <w:rPr>
          <w:rStyle w:val="FootnoteReference"/>
        </w:rPr>
        <w:footnoteReference w:id="2209"/>
      </w:r>
      <w:r>
        <w:t xml:space="preserve"> or to eat and drink and wallow in sensual delights, as though they were to be here forever.</w:t>
      </w:r>
    </w:p>
    <w:p>
      <w:pPr>
        <w:pStyle w:val="BodyText"/>
      </w:pPr>
      <w:r>
        <w:t xml:space="preserve">They shall despise the warnings the church shall give them of the coming of Christ to judgment, as the people of the old world despised what Noah told 'em of the approaching flood, and as the people of</w:t>
      </w:r>
    </w:p>
    <w:p>
      <w:pPr>
        <w:pStyle w:val="SourcePage"/>
      </w:pPr>
      <w:r>
        <w:t xml:space="preserve">[p. 491]</w:t>
      </w:r>
    </w:p>
    <w:p>
      <w:pPr>
        <w:pStyle w:val="BodyText"/>
      </w:pPr>
      <w:r>
        <w:t xml:space="preserve">Sodom did when Lot said to 'em, "The Lord will destroy this city."</w:t>
      </w:r>
      <w:r>
        <w:rPr>
          <w:rStyle w:val="FootnoteReference"/>
        </w:rPr>
        <w:footnoteReference w:id="2210"/>
      </w:r>
      <w:r>
        <w:t xml:space="preserve"> Their wickedness on this account will cry aloud to heaven for Christ's appearing in flaming fire to take vengeance.</w:t>
      </w:r>
      <w:r>
        <w:rPr>
          <w:rStyle w:val="FootnoteReference"/>
        </w:rPr>
        <w:footnoteReference w:id="2211"/>
      </w:r>
      <w:r>
        <w:t xml:space="preserve"> And also because another way that they shall exercise their wickedness will be in their wicked design and violent temper they shall then be engaged in against the holy city of God, against that holy city wherein lately and for so long a time so much of the religion of Christ has been seen. They shall then be about to perpetrate a most horrid design against this church.</w:t>
      </w:r>
    </w:p>
    <w:p>
      <w:pPr>
        <w:pStyle w:val="BodyText"/>
      </w:pPr>
      <w:r>
        <w:t xml:space="preserve">And the numerousness of the wicked that shall</w:t>
      </w:r>
      <w:r>
        <w:rPr>
          <w:rStyle w:val="FootnoteReference"/>
        </w:rPr>
        <w:footnoteReference w:id="2212"/>
      </w:r>
      <w:r>
        <w:t xml:space="preserve"> then be is another thing that will especially call ‹for the coming of Christ to judgment›. For the world then will doubtless be exceeding full of people, having continued so long in such a state of great prosperity without such terrible, desolating calamities as wars, pestilences, and the like to diminish them.</w:t>
      </w:r>
      <w:r>
        <w:rPr>
          <w:rStyle w:val="FootnoteReference"/>
        </w:rPr>
        <w:footnoteReference w:id="2213"/>
      </w:r>
      <w:r>
        <w:t xml:space="preserve"> And the most of this world that then will be so populous will be such wicked, contemptuous apostates from God. Undoubtedly that will be a day wherein the world will be by far fuller of wickedness than ever before it was since the foundation of it. And if the wickedness of the old world, when men began to multiply on the earth, called for the world's being destroyed by a deluge of waters, this wickedness will as much call for its being destroyed by a deluge of fire.</w:t>
      </w:r>
      <w:r>
        <w:rPr>
          <w:rStyle w:val="FootnoteReference"/>
        </w:rPr>
        <w:footnoteReference w:id="2214"/>
      </w:r>
    </w:p>
    <w:p>
      <w:pPr>
        <w:pStyle w:val="BodyText"/>
      </w:pPr>
      <w:r>
        <w:t xml:space="preserve">And then the circumstances of the church at that day will also imminently call for the immediate appearing of Christ; for they will be compassed about by their blasphemous, murtherous enemies, just ready to be swallowed up by them. And it will be a most distressing time with the church, excepting the comfort they will have in hope of deliverance from God; for all other help will</w:t>
      </w:r>
      <w:r>
        <w:rPr>
          <w:rStyle w:val="FootnoteReference"/>
        </w:rPr>
        <w:footnoteReference w:id="2215"/>
      </w:r>
      <w:r>
        <w:t xml:space="preserve"> seem to fail. The</w:t>
      </w:r>
    </w:p>
    <w:p>
      <w:pPr>
        <w:pStyle w:val="SourcePage"/>
      </w:pPr>
      <w:r>
        <w:t xml:space="preserve">[p. 492]</w:t>
      </w:r>
    </w:p>
    <w:p>
      <w:pPr>
        <w:pStyle w:val="BodyText"/>
      </w:pPr>
      <w:r>
        <w:t xml:space="preserve">case will be come to the last extremity, and here will be an immediate need that Christ should come to their deliverance. And though the church shall be so imminently threatened, yet so will providence order it, that it shall be preserved till the time approved comes for Christ to appear</w:t>
      </w:r>
      <w:r>
        <w:rPr>
          <w:rStyle w:val="FootnoteReference"/>
        </w:rPr>
        <w:footnoteReference w:id="2216"/>
      </w:r>
      <w:r>
        <w:t xml:space="preserve"> in the glory of his Father with all his holy angels.</w:t>
      </w:r>
      <w:r>
        <w:rPr>
          <w:rStyle w:val="FootnoteReference"/>
        </w:rPr>
        <w:footnoteReference w:id="2217"/>
      </w:r>
      <w:r>
        <w:t xml:space="preserve"> And then will come the time when all the elect shall be gathered in; that work of conversion that has gone from the beginning of the church after the fall, through all these ages, shall be carried on no more. There never shall another soul be converted. Every one of those many millions, whose names were written in the book of life before the foundation of the world,</w:t>
      </w:r>
      <w:r>
        <w:rPr>
          <w:rStyle w:val="FootnoteReference"/>
        </w:rPr>
        <w:footnoteReference w:id="2218"/>
      </w:r>
      <w:r>
        <w:t xml:space="preserve"> shall be brought out; not one soul shall be left. And the mystical body of Christ, which has been growing ever since it first began in the days of Adam, will now be complete as to number of parts, having every one of its members; in this respect the Work of Redemption will be now finished.</w:t>
      </w:r>
      <w:r>
        <w:rPr>
          <w:rStyle w:val="FootnoteReference"/>
        </w:rPr>
        <w:footnoteReference w:id="2219"/>
      </w:r>
      <w:r>
        <w:t xml:space="preserve"> And now the end for which the means of grace</w:t>
      </w:r>
      <w:r>
        <w:rPr>
          <w:rStyle w:val="FootnoteReference"/>
        </w:rPr>
        <w:footnoteReference w:id="2220"/>
      </w:r>
      <w:r>
        <w:t xml:space="preserve"> have been instituted shall be obtained; all that effect that was intended to be accomplished by them shall now be accomplished.</w:t>
      </w:r>
    </w:p>
    <w:p>
      <w:pPr>
        <w:pStyle w:val="BodyText"/>
      </w:pPr>
      <w:r>
        <w:t xml:space="preserve">And thus I have shown how the success of Christ's purchase has been accomplished during the Christian church's continuing under means of grace. We have seen what great revolutions there have been and are to be during this space of time, how the great wheels of providence have gone round for the accomplishment of that kind of success of Christ's purchase that consists in the bestowment of grace on the elect; and we are in the prosecution of this subject come to the time when all the wheels have gone round. The course of things in this state of the world is finished, and all things are ripe for Christ's coming to judgment.</w:t>
      </w:r>
    </w:p>
    <w:p>
      <w:pPr>
        <w:pStyle w:val="BodyText"/>
      </w:pPr>
      <w:r>
        <w:t xml:space="preserve">You may remember that when I began to discourse on this third proposition, viz. that from the resurrection of Christ ‹to the end of the world the space of time is taken up in bringing about the success or effect of Christ's purchase of redemption›, I observed that the success of Christ's purchase is of two kinds, consisting either in grace</w:t>
      </w:r>
    </w:p>
    <w:p>
      <w:pPr>
        <w:pStyle w:val="SourcePage"/>
      </w:pPr>
      <w:r>
        <w:t xml:space="preserve">[p. 493]</w:t>
      </w:r>
    </w:p>
    <w:p>
      <w:pPr>
        <w:pStyle w:val="BodyText"/>
      </w:pPr>
      <w:r>
        <w:t xml:space="preserve">or glory; and the success consisting in the former of these is to be seen in those works of God that are wrought during those ages that the church is continued under means of grace, and that the success consisting in the latter will chiefly be accomplished at the day</w:t>
      </w:r>
      <w:r>
        <w:rPr>
          <w:rStyle w:val="FootnoteReference"/>
        </w:rPr>
        <w:footnoteReference w:id="2221"/>
      </w:r>
      <w:r>
        <w:t xml:space="preserve"> of judgment. Having already shown that the former kind of success has been accomplished, I come now, in the,</w:t>
      </w:r>
    </w:p>
    <w:p>
      <w:pPr>
        <w:pStyle w:val="BodyText"/>
      </w:pPr>
      <w:r>
        <w:t xml:space="preserve">Second</w:t>
      </w:r>
      <w:r>
        <w:rPr>
          <w:rStyle w:val="FootnoteReference"/>
        </w:rPr>
        <w:footnoteReference w:id="2222"/>
      </w:r>
      <w:r>
        <w:t xml:space="preserve"> place, to the latter, viz. that kind of success which is accomplished in the bestowment of glory on the church, which shall chiefly be bestowed at the day of judgment.</w:t>
      </w:r>
    </w:p>
    <w:p>
      <w:pPr>
        <w:pStyle w:val="BodyText"/>
      </w:pPr>
      <w:r>
        <w:t xml:space="preserve">And</w:t>
      </w:r>
      <w:r>
        <w:rPr>
          <w:rStyle w:val="FootnoteReference"/>
        </w:rPr>
        <w:footnoteReference w:id="2223"/>
      </w:r>
      <w:r>
        <w:t xml:space="preserve"> I would have mentioned two or three things in the general concerning this kind of success of Christ's purchase.</w:t>
      </w:r>
    </w:p>
    <w:p>
      <w:pPr>
        <w:pStyle w:val="BodyText"/>
      </w:pPr>
      <w:r>
        <w:t xml:space="preserve">1.</w:t>
      </w:r>
      <w:r>
        <w:rPr>
          <w:rStyle w:val="FootnoteReference"/>
        </w:rPr>
        <w:footnoteReference w:id="2224"/>
      </w:r>
      <w:r>
        <w:t xml:space="preserve"> How great the success of Christ's purchase is chiefly appears in this: the success of christ's purchase does summarily consist in the salvation of the elect. But this bestowment of glory is eminently called their salvation, Hebrews 9:28, "To those that look for him he shall appear the second time without sin to salvation."</w:t>
      </w:r>
      <w:r>
        <w:rPr>
          <w:rStyle w:val="FootnoteReference"/>
        </w:rPr>
        <w:footnoteReference w:id="2225"/>
      </w:r>
      <w:r>
        <w:t xml:space="preserve"> So it is called redemption, being eminently that wherein the redemption of the church consists: Ephesians 4:30, "sealed unto the day of redemption"; Luke 21:28; </w:t>
      </w:r>
      <w:r>
        <w:rPr>
          <w:rStyle w:val="FootnoteReference"/>
        </w:rPr>
        <w:footnoteReference w:id="2226"/>
      </w:r>
      <w:r>
        <w:t xml:space="preserve"> and Ephesians 1:14, "redemption of purchased possession."</w:t>
      </w:r>
    </w:p>
    <w:p>
      <w:pPr>
        <w:pStyle w:val="BodyText"/>
      </w:pPr>
      <w:r>
        <w:t xml:space="preserve">2.</w:t>
      </w:r>
      <w:r>
        <w:rPr>
          <w:rStyle w:val="FootnoteReference"/>
        </w:rPr>
        <w:footnoteReference w:id="2227"/>
      </w:r>
      <w:r>
        <w:t xml:space="preserve"> All that is before this, while the church is under means of grace, is only to make way for that, to prepare that success that is to be accomplished in the bestowment of glory. The means of grace are to fit for glory, and God's grace itself is bestowed on the elect to make them meet for glory.</w:t>
      </w:r>
    </w:p>
    <w:p>
      <w:pPr>
        <w:pStyle w:val="BodyText"/>
      </w:pPr>
      <w:r>
        <w:rPr>
          <w:rStyle w:val="FootnoteReference"/>
        </w:rPr>
        <w:footnoteReference w:id="2228"/>
      </w:r>
      <w:r>
        <w:t xml:space="preserve">3.</w:t>
      </w:r>
      <w:r>
        <w:rPr>
          <w:rStyle w:val="FootnoteReference"/>
        </w:rPr>
        <w:footnoteReference w:id="2229"/>
      </w:r>
      <w:r>
        <w:t xml:space="preserve"> All those glorious things that were brought to pass for the church while under means of grace are but images and shadows of this. So were those glorious things that were accomplished for the church in the days of Constantine the Great, and so is all that glory that is to be accomplished in the glorious times of the church that is to succeed the fall of Antichrist. As great as it is, it is all but a shadow of what will be bestowed at the day of judgment, and therefore as I</w:t>
      </w:r>
    </w:p>
    <w:p>
      <w:pPr>
        <w:pStyle w:val="SourcePage"/>
      </w:pPr>
      <w:r>
        <w:t xml:space="preserve">[p. 494]</w:t>
      </w:r>
    </w:p>
    <w:p>
      <w:pPr>
        <w:pStyle w:val="BodyText"/>
      </w:pPr>
      <w:r>
        <w:t xml:space="preserve">have already often observed, all these preceding glorious events by which God wrought glorious things for his church are spoken of in Scripture as images of Christ's last coming to judgment.</w:t>
      </w:r>
    </w:p>
    <w:p>
      <w:pPr>
        <w:pStyle w:val="BodyText"/>
      </w:pPr>
      <w:r>
        <w:t xml:space="preserve">But</w:t>
      </w:r>
      <w:r>
        <w:rPr>
          <w:rStyle w:val="FootnoteReference"/>
        </w:rPr>
        <w:footnoteReference w:id="2230"/>
      </w:r>
      <w:r>
        <w:t xml:space="preserve"> I hasten particularly to show how this kind</w:t>
      </w:r>
      <w:r>
        <w:rPr>
          <w:rStyle w:val="FootnoteReference"/>
        </w:rPr>
        <w:footnoteReference w:id="2231"/>
      </w:r>
      <w:r>
        <w:t xml:space="preserve"> of success of Christ's purchase is accomplished.</w:t>
      </w:r>
    </w:p>
    <w:p>
      <w:pPr>
        <w:pStyle w:val="BodyText"/>
      </w:pPr>
      <w:r>
        <w:t xml:space="preserve">1.</w:t>
      </w:r>
      <w:r>
        <w:rPr>
          <w:rStyle w:val="FootnoteReference"/>
        </w:rPr>
        <w:footnoteReference w:id="2232"/>
      </w:r>
      <w:r>
        <w:t xml:space="preserve"> Christ will appear in the glory of his father with all the holy angels coming on the clouds of heaven.</w:t>
      </w:r>
      <w:r>
        <w:rPr>
          <w:rStyle w:val="FootnoteReference"/>
        </w:rPr>
        <w:footnoteReference w:id="2233"/>
      </w:r>
      <w:r>
        <w:t xml:space="preserve"> While the world is thus reveling in their wickedness, and compassing the holy city, about it, just ready to destroy it, and while the church is reduced to such a great strait, then shall the glorious Redeemer appear. He through whom this redemption has all along been carried on,</w:t>
      </w:r>
      <w:r>
        <w:rPr>
          <w:rStyle w:val="FootnoteReference"/>
        </w:rPr>
        <w:footnoteReference w:id="2234"/>
      </w:r>
      <w:r>
        <w:t xml:space="preserve"> he shall appear in the sight of the world, the light of his glory shall break forth. Thus 'tis said, Revelation 20:9.</w:t>
      </w:r>
      <w:r>
        <w:rPr>
          <w:rStyle w:val="FootnoteReference"/>
        </w:rPr>
        <w:footnoteReference w:id="2235"/>
      </w:r>
      <w:r>
        <w:t xml:space="preserve"> The whole world shall immediately have notice of it, and they shall lift up their eyes and behold this wonderful sight. It is said, "every eye shall see him," Revelation 1:7. Christ shall appear, coming in his human nature in that same body that was brought forth in a stable and laid in a manger, and that afterwards was so cruelly used and nailed to the cross.</w:t>
      </w:r>
    </w:p>
    <w:p>
      <w:pPr>
        <w:pStyle w:val="BodyText"/>
      </w:pPr>
      <w:r>
        <w:t xml:space="preserve">Men shall now lift up their eyes, and seeing him coming in such majesty and glory as now is to us utterly inconceivable, the glory of the sun in a clear firmament will be but darkness in comparison of it. And all the glorious angels and archangels attending upon, thousand thousands ministering to him, and ten thousand times ten thousand round about him.</w:t>
      </w:r>
      <w:r>
        <w:rPr>
          <w:rStyle w:val="FootnoteReference"/>
        </w:rPr>
        <w:footnoteReference w:id="2236"/>
      </w:r>
      <w:r>
        <w:t xml:space="preserve"> In how different a man</w:t>
      </w:r>
      <w:r>
        <w:rPr>
          <w:rStyle w:val="FootnoteReference"/>
        </w:rPr>
        <w:footnoteReference w:id="2237"/>
      </w:r>
      <w:r>
        <w:t xml:space="preserve"> will he then appear from what he did at his first coming, when he was as a root out of a dry ground, a poor, despised, afflicted man. How different now is his appearance in the midst of those glorious angels, principalities, and powers in heavenly places,</w:t>
      </w:r>
      <w:r>
        <w:rPr>
          <w:rStyle w:val="FootnoteReference"/>
        </w:rPr>
        <w:footnoteReference w:id="2238"/>
      </w:r>
      <w:r>
        <w:t xml:space="preserve"> attending him as his ordinary servants,</w:t>
      </w:r>
      <w:r>
        <w:rPr>
          <w:rStyle w:val="FootnoteReference"/>
        </w:rPr>
        <w:footnoteReference w:id="2239"/>
      </w:r>
    </w:p>
    <w:p>
      <w:pPr>
        <w:pStyle w:val="SourcePage"/>
      </w:pPr>
      <w:r>
        <w:t xml:space="preserve">[p. 495]</w:t>
      </w:r>
    </w:p>
    <w:p>
      <w:pPr>
        <w:pStyle w:val="BodyText"/>
      </w:pPr>
      <w:r>
        <w:t xml:space="preserve">from what it was when in the midst of a ring of soldiers with his mock robe and crown of thorns to be buffeted and spit upon, or hanging on the cross between two thieves with a multitude of his enemies about him, triumphing over him. This sight will be a most unexpected sight to the wicked world. It will come as a cry at midnight; they shall be taken in the midst of their wickedness; it will give them a dreadful alarm.</w:t>
      </w:r>
      <w:r>
        <w:rPr>
          <w:rStyle w:val="FootnoteReference"/>
        </w:rPr>
        <w:footnoteReference w:id="2240"/>
      </w:r>
      <w:r>
        <w:t xml:space="preserve"> It will at once break up all their revels, their eating and drinking and carousing. It will put a quick end to the design of the great army of the wicked that will then be compassing the camp of the saints about; it will make 'em let drop their weapons out of their hands.</w:t>
      </w:r>
    </w:p>
    <w:p>
      <w:pPr>
        <w:pStyle w:val="BodyText"/>
      </w:pPr>
      <w:r>
        <w:t xml:space="preserve">The world, that will then be very full of people most of which will be wicked men, will then be filled with dolorous shrieking and crying, for "all the kindreds of the earth shall wail because of him," Revelation 1:7. And where shall they hide themselves,</w:t>
      </w:r>
      <w:r>
        <w:rPr>
          <w:rStyle w:val="FootnoteReference"/>
        </w:rPr>
        <w:footnoteReference w:id="2241"/>
      </w:r>
      <w:r>
        <w:t xml:space="preserve"> how will the sight of that awful majesty terrify them, when taken in the midst of their wickedness.</w:t>
      </w:r>
      <w:r>
        <w:rPr>
          <w:rStyle w:val="FootnoteReference"/>
        </w:rPr>
        <w:footnoteReference w:id="2242"/>
      </w:r>
      <w:r>
        <w:t xml:space="preserve"> Then they shall see who he is, what kind of a person he is whom they have mocked and scoffed at and whose church they have been endeavoring to overthrow. This sight will change their voice; the voice of their laughter and singing while they are marrying and giving in marriage, and the voice of their scoffing, shall be changed into hideous, yea hellish, yellings.</w:t>
      </w:r>
      <w:r>
        <w:rPr>
          <w:rStyle w:val="FootnoteReference"/>
        </w:rPr>
        <w:footnoteReference w:id="2243"/>
      </w:r>
      <w:r>
        <w:t xml:space="preserve"> Their countenances shall be changed from a show of carnal mirth, haughty pride, and contempt of God's people; it shall put on a show of ghastly terror and amazement, and trembling and chattering of teeth shall seize them.</w:t>
      </w:r>
    </w:p>
    <w:p>
      <w:pPr>
        <w:pStyle w:val="BodyText"/>
      </w:pPr>
      <w:r>
        <w:t xml:space="preserve">But with respect to the saints, the church of Christ, it shall be a most joyful and glorious sight to them. For this sight will at once deliver them from all fear of their enemies that were before compassing them about, just ready to swallow them. Deliverance shall come in their extremity; the glorious captain of their salvation</w:t>
      </w:r>
      <w:r>
        <w:rPr>
          <w:rStyle w:val="FootnoteReference"/>
        </w:rPr>
        <w:footnoteReference w:id="2244"/>
      </w:r>
      <w:r>
        <w:t xml:space="preserve"> shall appear for them</w:t>
      </w:r>
      <w:r>
        <w:rPr>
          <w:rStyle w:val="FootnoteReference"/>
        </w:rPr>
        <w:footnoteReference w:id="2245"/>
      </w:r>
      <w:r>
        <w:t xml:space="preserve"> at a time when no other help appeared. Then shall they lift up their heads, and see their redemption drawing nigh, Luke 21:28. And thus Christ will appear with infinite might. Then</w:t>
      </w:r>
    </w:p>
    <w:p>
      <w:pPr>
        <w:pStyle w:val="SourcePage"/>
      </w:pPr>
      <w:r>
        <w:t xml:space="preserve">[p. 496]</w:t>
      </w:r>
    </w:p>
    <w:p>
      <w:pPr>
        <w:pStyle w:val="BodyText"/>
      </w:pPr>
      <w:r>
        <w:t xml:space="preserve">yet at the same time they shall see infinite love in his countenance to them. And thus to see their redeemer coming in the clouds of heaven will fill their hearts full of gladness. Their countenances also shall be changed, but not as the countenances of the wicked will be, but shall be changed from being sorrowful to be exceeding joyful and triumphant. And now that Work of Redemption will be finished in another respect, viz. that the whole church shall be completely and eternally freed from all persecution and molestation from wicked men and devils.</w:t>
      </w:r>
      <w:r>
        <w:rPr>
          <w:rStyle w:val="FootnoteReference"/>
        </w:rPr>
        <w:footnoteReference w:id="2246"/>
      </w:r>
    </w:p>
    <w:p>
      <w:pPr>
        <w:pStyle w:val="BodyText"/>
      </w:pPr>
      <w:r>
        <w:t xml:space="preserve">2.</w:t>
      </w:r>
      <w:r>
        <w:rPr>
          <w:rStyle w:val="FootnoteReference"/>
        </w:rPr>
        <w:footnoteReference w:id="2247"/>
      </w:r>
      <w:r>
        <w:t xml:space="preserve"> The last trumpet shall sound and the dead shall be raised and the living changed.</w:t>
      </w:r>
      <w:r>
        <w:rPr>
          <w:rStyle w:val="FootnoteReference"/>
        </w:rPr>
        <w:footnoteReference w:id="2248"/>
      </w:r>
      <w:r>
        <w:t xml:space="preserve"> God sent forth his angels with a great sound of a trumpet, to gather together his elect from the four corners of the earth in a mystical sense before the destruction of Jerusalem, i.e. he sent forth the apostles and others to preach the gospel all over the world. And so in a mystical sense the great trumpet was blown at the beginning of the glorious times of the church. But now the great trumpet is blown in a more literal sense, with a mighty sound that shall shake the earth. There will</w:t>
      </w:r>
      <w:r>
        <w:rPr>
          <w:rStyle w:val="FootnoteReference"/>
        </w:rPr>
        <w:footnoteReference w:id="2249"/>
      </w:r>
      <w:r>
        <w:t xml:space="preserve"> be a great signal given by a mighty sound made, that is called the voice of the archangel, as being the angel of greatest strength, 1 Thessalonians 4:16, "For the Lord himself shall descend from heaven with a shout, with the voice of the archangel, and with a trump of God."</w:t>
      </w:r>
    </w:p>
    <w:p>
      <w:pPr>
        <w:pStyle w:val="BodyText"/>
      </w:pPr>
      <w:r>
        <w:t xml:space="preserve">On the sound of the great trumpet, the dead shall be raised everywhere. Now the number of the dead is very great; how many has death cut down for so long a time as since the world has stood. But then the number will be much greater, after the world has stood so much longer time; and through most of the remaining time will doubtless be much fuller of inhabitants than ever it has been. All these shall now rise from the dead. The graves shall be opened everywhere, in all parts of the world, and the sea shall give up the innumerable dead that are in it, Revelation 20:13. And now all the inhabitants that ever have been upon the face of the earth, from the beginning of the world to that time, shall all appear upon earth at once. All that ever have been of the church of God in all ages: Adam and Eve, the first parents of mankind; and Abel, and Seth, and Methuselah, and all the saints that were their contemporaries; and Noah; and</w:t>
      </w:r>
    </w:p>
    <w:p>
      <w:pPr>
        <w:pStyle w:val="SourcePage"/>
      </w:pPr>
      <w:r>
        <w:t xml:space="preserve">[p. 497]</w:t>
      </w:r>
    </w:p>
    <w:p>
      <w:pPr>
        <w:pStyle w:val="BodyText"/>
      </w:pPr>
      <w:r>
        <w:t xml:space="preserve">Abraham; and Isaac; and Jacob;</w:t>
      </w:r>
      <w:r>
        <w:rPr>
          <w:rStyle w:val="FootnoteReference"/>
        </w:rPr>
        <w:footnoteReference w:id="2250"/>
      </w:r>
      <w:r>
        <w:t xml:space="preserve"> and the prophets of Israel; and the saints in the time of Antiochus Epiphanes, and all that were in the church in their times; and all the holy apostles of Jesus Christ, and all the saints of their times; and all the holy martyrs under the ten heathen persecutions; and all that belonged to the church in its wilderness state during the dark times of Antichrist; and all the holy martyrs that have suffered under the cruelty of the popish persecutions; and all the saints of the present time; and all the saints that are here in this assembly among the rest; and all that shall be from hence to the end of the world.</w:t>
      </w:r>
    </w:p>
    <w:p>
      <w:pPr>
        <w:pStyle w:val="BodyText"/>
      </w:pPr>
      <w:r>
        <w:t xml:space="preserve">And now also all the enemies of the church that have been, or shall be in all the ages of the world, shall then appear upon the face of the earth again: all the wicked killed in the flood; and the multitudes that died all over the world among God's professing people or others; all that died in all heathen nations before Christ; and all wicked heathens, and Jews, and Mohammedans, and papists that lived [and] died since. All shall come up together; sinners of all sorts: demure hypocrites—those that have the fairest and best outside, and openly profane drunkards, whoremasters; heretics, deists, and all cruel persecutors,</w:t>
      </w:r>
      <w:r>
        <w:rPr>
          <w:rStyle w:val="FootnoteReference"/>
        </w:rPr>
        <w:footnoteReference w:id="2251"/>
      </w:r>
      <w:r>
        <w:t xml:space="preserve"> and all that have died or shall die in sin amongst us.</w:t>
      </w:r>
    </w:p>
    <w:p>
      <w:pPr>
        <w:pStyle w:val="BodyText"/>
      </w:pPr>
      <w:r>
        <w:t xml:space="preserve">And at the same time that the dead are raised, the living shall be changed. The bodies of the wicked that shall be then living shall be so changed as to fit 'em for eternal torment without corruption, and the bodies of all the living saints shall be changed to be like Christ's glorious body, 1 Corinthians 15:51–53 ["We shall all be changed.… The dead shall be raised incorruptible.… For this corruptible must put on incorruption, and this mortal must put on immortality"]. Then the bodies of the saints [shall] be so changed as to render [them] forever uncapable of any more pain, or affliction, or uneasiness, and all that dullness and heavy-moldedness, and all that deformity that their bodies before had; and [they] shall ever put on strength, and beauty, and activity, and incorruptible, unfading glory. And in such glory shall the bodies of all the risen saints appear.</w:t>
      </w:r>
    </w:p>
    <w:p>
      <w:pPr>
        <w:pStyle w:val="BodyText"/>
      </w:pPr>
      <w:r>
        <w:t xml:space="preserve">And now the Work of Redemption shall be finished in another respect, viz. that all the elect shall now be actually redeemed in both body and soul. Before this the Work of Redemption as to its actual success was but incomplete and imperfect, for only the souls of the</w:t>
      </w:r>
    </w:p>
    <w:p>
      <w:pPr>
        <w:pStyle w:val="SourcePage"/>
      </w:pPr>
      <w:r>
        <w:t xml:space="preserve">[p. 498]</w:t>
      </w:r>
    </w:p>
    <w:p>
      <w:pPr>
        <w:pStyle w:val="BodyText"/>
      </w:pPr>
      <w:r>
        <w:t xml:space="preserve">redeemed were actually saved and glorified, excepting in some few instances.</w:t>
      </w:r>
      <w:r>
        <w:rPr>
          <w:rStyle w:val="FootnoteReference"/>
        </w:rPr>
        <w:footnoteReference w:id="2252"/>
      </w:r>
      <w:r>
        <w:t xml:space="preserve"> But now all the bodies of the saints shall be saved and glorified together, all the elect shall be glorified in the whole man, and the soul and body in union one with another.</w:t>
      </w:r>
    </w:p>
    <w:p>
      <w:pPr>
        <w:pStyle w:val="BodyText"/>
      </w:pPr>
      <w:r>
        <w:t xml:space="preserve">3.</w:t>
      </w:r>
      <w:r>
        <w:rPr>
          <w:rStyle w:val="FootnoteReference"/>
        </w:rPr>
        <w:footnoteReference w:id="2253"/>
      </w:r>
      <w:r>
        <w:t xml:space="preserve"> Now shall the whole church of saints be caught up in the clouds to meet the Lord in the air, and all wicked men and devils shall be arraigned before the judgment seat.</w:t>
      </w:r>
      <w:r>
        <w:rPr>
          <w:rStyle w:val="FootnoteReference"/>
        </w:rPr>
        <w:footnoteReference w:id="2254"/>
      </w:r>
      <w:r>
        <w:t xml:space="preserve"> When the dead saints are raised, then the whole church, consisting of all the elect through all ages, will be standing on the face of the earth together, at least excepting those few whose bodies were glorified before; and then they shall all mount up as with wings in the air to go and meet Christ. For it seems that Christ when he comes to judgment, won't come quite down to the ground, but his throne will be fixed in the air in the region of the clouds, whence he may be seen by all that vast multitude that shall be gathered before him. And the church of saints therefore shall be taken up off from the earth to ascend up to their savior. Thus the Apostle tells us that when the dead in</w:t>
      </w:r>
      <w:r>
        <w:rPr>
          <w:rStyle w:val="FootnoteReference"/>
        </w:rPr>
        <w:footnoteReference w:id="2255"/>
      </w:r>
      <w:r>
        <w:t xml:space="preserve"> Christ are raised and the living changed, then those "which are alive and remain shall be caught up together with them to meet the Lord in the air, and so shall we be ever with the Lord," 1 Thessalonians 4:16–17.</w:t>
      </w:r>
      <w:r>
        <w:rPr>
          <w:rStyle w:val="FootnoteReference"/>
        </w:rPr>
        <w:footnoteReference w:id="2256"/>
      </w:r>
      <w:r>
        <w:t xml:space="preserve"> What a wonderful sight will this be when all the many millions of saints are seen thus mounting up from all parts of the world.</w:t>
      </w:r>
    </w:p>
    <w:p>
      <w:pPr>
        <w:pStyle w:val="BodyText"/>
      </w:pPr>
      <w:r>
        <w:t xml:space="preserve">Then shall the Work of Redemption be finished in another respect: then the whole church shall be perfectly and forever delivered from this present evil world, forever forsake this cursed ground. They shall take their everlasting leave of this earth where they have been strangers, and that has been for the most part such a scene of their trouble and sorrow, where the devil for the most part has reigned as god, and has greatly molested them, and which has been a scene of wickedness and abomination, where Christ their Lord has been cruelly used, and where they have been so hated, and reproached, and persecuted, from age to age through most of the ages of the world. They shall leave it under foot to go to Christ, and never shall set foot on it again. And then shall be an everlasting separation made between them and</w:t>
      </w:r>
    </w:p>
    <w:p>
      <w:pPr>
        <w:pStyle w:val="SourcePage"/>
      </w:pPr>
      <w:r>
        <w:t xml:space="preserve">[p. 499]</w:t>
      </w:r>
    </w:p>
    <w:p>
      <w:pPr>
        <w:pStyle w:val="BodyText"/>
      </w:pPr>
      <w:r>
        <w:t xml:space="preserve">wicked men. Before they were mixed together, and now all become visible.</w:t>
      </w:r>
    </w:p>
    <w:p>
      <w:pPr>
        <w:pStyle w:val="BodyText"/>
      </w:pPr>
      <w:r>
        <w:t xml:space="preserve">Then shall all the church be seen flocking together in the air to the place where Christ shall have fixed his throne,</w:t>
      </w:r>
      <w:r>
        <w:rPr>
          <w:rStyle w:val="FootnoteReference"/>
        </w:rPr>
        <w:footnoteReference w:id="2257"/>
      </w:r>
      <w:r>
        <w:t xml:space="preserve"> coming from the east, and west, and north, and south, to the right hand of Christ.</w:t>
      </w:r>
      <w:r>
        <w:rPr>
          <w:rStyle w:val="FootnoteReference"/>
        </w:rPr>
        <w:footnoteReference w:id="2258"/>
      </w:r>
      <w:r>
        <w:t xml:space="preserve"> What a mighty cloud of them will there be when all that ever have been of the church of God, all that were before Christ, all that multitude of saints that were in the apostles' times, and all that were in the days of Constantine the Great, and all that were before and since the Reformation, and also all that great multitude of saints that shall be in all the glorious times of the church, when the whole earth shall for so many generations be full of saints, and also all that shall then be found living when Christ come, I say, what a cloud of them will there be when all these are seen flocking together in the region of the clouds at the right hand of Christ.</w:t>
      </w:r>
    </w:p>
    <w:p>
      <w:pPr>
        <w:pStyle w:val="BodyText"/>
      </w:pPr>
      <w:r>
        <w:t xml:space="preserve">And then also will the Work of Redemption be finished in another respect, viz. that now the church shall all be gathered together. They all belonged to one society before, but yet were greatly separated with respect to the place of their habitation, some in heaven and some on earth. And those that were on earth were separated one from another, many of them by wide oceans and vast continents. But now they shall all be gathered</w:t>
      </w:r>
      <w:r>
        <w:rPr>
          <w:rStyle w:val="FootnoteReference"/>
        </w:rPr>
        <w:footnoteReference w:id="2259"/>
      </w:r>
      <w:r>
        <w:t xml:space="preserve"> together, never to be separated any more. And not only shall all the members of the church now be gathered together, but all shall be gathered unto their head, into his immediate glorious presence, never to be separated from him any more; this never came to pass till now.</w:t>
      </w:r>
    </w:p>
    <w:p>
      <w:pPr>
        <w:pStyle w:val="BodyText"/>
      </w:pPr>
      <w:r>
        <w:t xml:space="preserve">At the same time all wicked men and devils shall be brought before the judgment seat of Christ, on the left hand, on the earth, and not in the air as the saints will be.</w:t>
      </w:r>
      <w:r>
        <w:rPr>
          <w:rStyle w:val="FootnoteReference"/>
        </w:rPr>
        <w:footnoteReference w:id="2260"/>
      </w:r>
      <w:r>
        <w:t xml:space="preserve"> The devil, that old serpent, shall now be dragged up out of hell. He that first procured the fall and misery of mankind, and has so set himself against his redemption, and has all along shown himself such an inveterate enemy to the Redeemer, now he shall never more have anything to do when the church of God [is gathered together. He shall not]</w:t>
      </w:r>
      <w:r>
        <w:rPr>
          <w:rStyle w:val="FootnoteReference"/>
        </w:rPr>
        <w:footnoteReference w:id="2261"/>
      </w:r>
      <w:r>
        <w:t xml:space="preserve"> be suffered in the least to afflict</w:t>
      </w:r>
    </w:p>
    <w:p>
      <w:pPr>
        <w:pStyle w:val="SourcePage"/>
      </w:pPr>
      <w:r>
        <w:t xml:space="preserve">[p. 500]</w:t>
      </w:r>
    </w:p>
    <w:p>
      <w:pPr>
        <w:pStyle w:val="BodyText"/>
      </w:pPr>
      <w:r>
        <w:t xml:space="preserve">or molest any of them any more forever. Instead of that, now he must be judged and receive the due reward of his deeds. Now is come the time which he has always dreaded and trembled at the thought [of], the time wherein he must be judged and receive his full punishment. He that by his temptation maliciously procured Christ's crucifixion, and triumphed upon it as though he had got</w:t>
      </w:r>
      <w:r>
        <w:rPr>
          <w:rStyle w:val="FootnoteReference"/>
        </w:rPr>
        <w:footnoteReference w:id="2262"/>
      </w:r>
      <w:r>
        <w:t xml:space="preserve"> the victory, now he shall see the consequence of the death of Christ that he procured; for Christ's coming to judge him in his human nature is the consequence of it, for Christ obtained and purchased this glory to himself by that death. Now must he stand before that same Jesus whose death he procured to be judged, condemned, and eternally destroyed by him. If Satan, the prince of hell, trembles at the thought of it thousands of years beforehand, how much more will he tremble as proud and as stubborn as he is when he comes to stand at Christ's bar.</w:t>
      </w:r>
      <w:r>
        <w:rPr>
          <w:rStyle w:val="FootnoteReference"/>
        </w:rPr>
        <w:footnoteReference w:id="2263"/>
      </w:r>
    </w:p>
    <w:p>
      <w:pPr>
        <w:pStyle w:val="BodyText"/>
      </w:pPr>
      <w:r>
        <w:t xml:space="preserve">Then shall he also stand at the bar of the saints that he has so hated and afflicted and molested, for the saints shall judge him with Christ, 1 Corinthians 6:3, "Know ye not that we shall judge angels?" Now shall he be, as it were, subdued under the church's feet, agreeable to Romans 16:20. Satan when he first tempted our first parents to fall, deceitfully and lyingly told them that they should be as gods; but little did he think that the consequence should be that they should indeed and be so much as gods as to be assessors with God, to judge. How much less did he think that</w:t>
      </w:r>
      <w:r>
        <w:rPr>
          <w:rStyle w:val="FootnoteReference"/>
        </w:rPr>
        <w:footnoteReference w:id="2264"/>
      </w:r>
      <w:r>
        <w:t xml:space="preserve"> the consequence would be that one of the nature that he then tempted, one of the posterity of those persons that he tempted, should actually be united to God so as to be in the same person with one that was God; and that as God he should judge the world, and that he must stand trembling and astonished before his judgment seat. But thus it is, all the devils of hell, that have so long opposed Christ and his kingdom, shall now at last stand in utmost reversal and horror before Christ and his church, who shall appear in glory to condemn them.</w:t>
      </w:r>
    </w:p>
    <w:p>
      <w:pPr>
        <w:pStyle w:val="BodyText"/>
      </w:pPr>
      <w:r>
        <w:t xml:space="preserve">Now also shall all Christ's other enemies be brought to appear before him. Now shall wicked, proud scribes and Pharisees, that had such a malignant hatred of Christ while in his state of humiliation, and that persecuted Christ to death, those before whose judgment seat Christ was once called and stood as a poor, abject malefactor at their bar, and those that mocked him and buffeted him and spit in</w:t>
      </w:r>
    </w:p>
    <w:p>
      <w:pPr>
        <w:pStyle w:val="SourcePage"/>
      </w:pPr>
      <w:r>
        <w:t xml:space="preserve">[p. 501]</w:t>
      </w:r>
    </w:p>
    <w:p>
      <w:pPr>
        <w:pStyle w:val="BodyText"/>
      </w:pPr>
      <w:r>
        <w:t xml:space="preserve">his face: now shall they see Christ in his glory, as Christ forewarned them in the time of it, Matthew 26:64–65 ["Hereafter shall ye see the Son of man sitting on the right hand of power, and coming in the clouds of heaven. Then the high priest rent his clothes"].</w:t>
      </w:r>
      <w:r>
        <w:rPr>
          <w:rStyle w:val="FootnoteReference"/>
        </w:rPr>
        <w:footnoteReference w:id="2265"/>
      </w:r>
      <w:r>
        <w:t xml:space="preserve"> Then Christ was before their judgment seat, but now it is their turn. They shall stand before his judgment seat with inconceivable horror and amazement, with ghastly countenances, and quaking limbs, and chattering teeth, and knees smiting one against another.</w:t>
      </w:r>
    </w:p>
    <w:p>
      <w:pPr>
        <w:pStyle w:val="BodyText"/>
      </w:pPr>
      <w:r>
        <w:t xml:space="preserve">Now also shall all the cruel enemies and persecutors of the church that have been in all ages come in sight together. Pharaoh and the Egyptians, Antiochus Epiphanes, persecuting scribes and Pharisees, persecuting heathen emperors, Julian the Apostate, cruel persecuting popes and papists, and Gog and Magog, shall all appear at once. They, and the saints that have in every age been persecuted by 'em, shall come in sight one of another, and must confront one another now before the great judge. And now shall the saints on their glorious thrones be made the judges of those unjust kings and rulers that have before judged and condemned them, and cruelly put 'em to death. Even shall</w:t>
      </w:r>
      <w:r>
        <w:rPr>
          <w:rStyle w:val="FootnoteReference"/>
        </w:rPr>
        <w:footnoteReference w:id="2266"/>
      </w:r>
      <w:r>
        <w:t xml:space="preserve"> those persecutors behold the glory which they are arrived at, that they before so despised and so cruelly used. And now Christ will make those holy martyrs, as it were, to come and set their feet on the necks of their persecutors.</w:t>
      </w:r>
      <w:r>
        <w:rPr>
          <w:rStyle w:val="FootnoteReference"/>
        </w:rPr>
        <w:footnoteReference w:id="2267"/>
      </w:r>
      <w:r>
        <w:t xml:space="preserve"> They shall be made their footstool.</w:t>
      </w:r>
      <w:r>
        <w:rPr>
          <w:rStyle w:val="FootnoteReference"/>
        </w:rPr>
        <w:footnoteReference w:id="2268"/>
      </w:r>
      <w:r>
        <w:t xml:space="preserve"> Thus wonderfully will the face of things be altered from what used to be in the former times of the world; now will all things be coming to rights.</w:t>
      </w:r>
      <w:r>
        <w:rPr>
          <w:rStyle w:val="FootnoteReference"/>
        </w:rPr>
        <w:footnoteReference w:id="2269"/>
      </w:r>
    </w:p>
    <w:p>
      <w:pPr>
        <w:pStyle w:val="SourcePage"/>
      </w:pPr>
      <w:r>
        <w:t xml:space="preserve">[p. 502]</w:t>
      </w:r>
    </w:p>
    <w:p>
      <w:pPr>
        <w:pStyle w:val="Heading2"/>
      </w:pPr>
      <w:bookmarkStart w:name="heading_sermon_twenty_nine_aug_1739" w:id="89"/>
      <w:r>
        <w:t xml:space="preserve">SERMON TWENTY-NINE Aug. 1739</w:t>
      </w:r>
      <w:bookmarkEnd w:id="89"/>
    </w:p>
    <w:p>
      <w:pPr>
        <w:pStyle w:val="BodyText"/>
      </w:pPr>
      <w:r>
        <w:rPr>
          <w:rStyle w:val="FootnoteReference"/>
        </w:rPr>
        <w:footnoteReference w:id="2270"/>
      </w:r>
    </w:p>
    <w:p>
      <w:pPr>
        <w:pStyle w:val="BodyText"/>
      </w:pPr>
      <w:r>
        <w:rPr>
          <w:rStyle w:val="FootnoteReference"/>
        </w:rPr>
        <w:footnoteReference w:id="2271"/>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8" w:id="90"/>
      <w:r>
        <w:t xml:space="preserve">DOCTRINE</w:t>
      </w:r>
      <w:bookmarkEnd w:id="90"/>
    </w:p>
    <w:p>
      <w:pPr>
        <w:pStyle w:val="BlockQuote"/>
      </w:pPr>
      <w:r>
        <w:rPr>
          <w:i/>
          <w:iCs/>
        </w:rPr>
        <w:t xml:space="preserve">[The Work of Redemption is a work that God carries on from the fall of man to the end of the world.]</w:t>
      </w:r>
    </w:p>
    <w:p>
      <w:pPr>
        <w:pStyle w:val="Heading3"/>
      </w:pPr>
      <w:bookmarkStart w:name="heading_proposition_3" w:id="91"/>
      <w:r>
        <w:t xml:space="preserve">PROPOSITION</w:t>
      </w:r>
      <w:bookmarkEnd w:id="91"/>
    </w:p>
    <w:p>
      <w:pPr>
        <w:pStyle w:val="BlockQuote"/>
      </w:pPr>
      <w:r>
        <w:rPr>
          <w:i/>
          <w:iCs/>
        </w:rPr>
        <w:t xml:space="preserve">[That the space of time from the end of Christ's humiliation to the end of the world is all taken up in bringing about the great effect or success of Christ's purchase.]</w:t>
      </w:r>
    </w:p>
    <w:p>
      <w:pPr>
        <w:pStyle w:val="BodyText"/>
      </w:pPr>
      <w:r>
        <w:t xml:space="preserve">WE were last showing how the second sort of success of Christ's purchase is accomplished, viz. that which consists in the bestowment of glory, which is chiefly at the day of judgment. And concerning the great events that appertain to this day, several things have already been observed: viz. 1. that Christ will appear in the glory of his Father with all his holy angels coming in the clouds of heaven; 2. that the last trumpet shall sound, and the dead raised, and the living changed; 3. that the whole church of saints shall mount up as with wings, being caught up in the clouds to meet the Lord in the air, and so gather together in the air at the place where Christ has fixed his throne, at his right hand. And that at the same time all wicked men and devils</w:t>
      </w:r>
    </w:p>
    <w:p>
      <w:pPr>
        <w:pStyle w:val="SourcePage"/>
      </w:pPr>
      <w:r>
        <w:t xml:space="preserve">[p. 503]</w:t>
      </w:r>
    </w:p>
    <w:p>
      <w:pPr>
        <w:pStyle w:val="BodyText"/>
      </w:pPr>
      <w:r>
        <w:t xml:space="preserve">shall be arraigned before the judgment seat below on the earth, at Christ's left hand.</w:t>
      </w:r>
    </w:p>
    <w:p>
      <w:pPr>
        <w:pStyle w:val="BodyText"/>
      </w:pPr>
      <w:r>
        <w:t xml:space="preserve">I now proceed further to set forth the great transactions of that day. And in the,</w:t>
      </w:r>
    </w:p>
    <w:p>
      <w:pPr>
        <w:pStyle w:val="BodyText"/>
      </w:pPr>
      <w:r>
        <w:t xml:space="preserve">Fourth</w:t>
      </w:r>
      <w:r>
        <w:rPr>
          <w:rStyle w:val="FootnoteReference"/>
        </w:rPr>
        <w:footnoteReference w:id="2272"/>
      </w:r>
      <w:r>
        <w:t xml:space="preserve"> place, the righteousness of the church shall be manifested and all the wickedness of their enemies shall be brought</w:t>
      </w:r>
      <w:r>
        <w:rPr>
          <w:rStyle w:val="FootnoteReference"/>
        </w:rPr>
        <w:footnoteReference w:id="2273"/>
      </w:r>
      <w:r>
        <w:t xml:space="preserve"> to light. Those saints that had been the subjects of hatred, reproach, and contempt in this world, and were reviled and condemned by their persecutors without a cause, shall now be fully vindicated.</w:t>
      </w:r>
      <w:r>
        <w:rPr>
          <w:rStyle w:val="FootnoteReference"/>
        </w:rPr>
        <w:footnoteReference w:id="2274"/>
      </w:r>
      <w:r>
        <w:t xml:space="preserve"> They shall now appear clothed with the glorious robe of Christ's righteousness.</w:t>
      </w:r>
      <w:r>
        <w:rPr>
          <w:rStyle w:val="FootnoteReference"/>
        </w:rPr>
        <w:footnoteReference w:id="2275"/>
      </w:r>
      <w:r>
        <w:t xml:space="preserve"> It shall be most manifest before the world that that righteousness is theirs, and they shall, as it were, gloriously shine forth in it. And then also shall their inherent holiness be made manifest, all their good works be brought to light. The good things they did in secret shall now be manifested openly.</w:t>
      </w:r>
      <w:r>
        <w:rPr>
          <w:rStyle w:val="FootnoteReference"/>
        </w:rPr>
        <w:footnoteReference w:id="2276"/>
      </w:r>
      <w:r>
        <w:t xml:space="preserve"> These holy ones of God that had been treated as though they were the filth and offscouring of the earth, as though they were not fit to live upon earth, as worse than beasts and like devils, shall now when things shall appear as they are, appear to have been those that have been the excellent of the earth.</w:t>
      </w:r>
      <w:r>
        <w:rPr>
          <w:rStyle w:val="FootnoteReference"/>
        </w:rPr>
        <w:footnoteReference w:id="2277"/>
      </w:r>
      <w:r>
        <w:t xml:space="preserve"> Now God will bring forth their righteousness as the light and their judgment as the noonday.</w:t>
      </w:r>
      <w:r>
        <w:rPr>
          <w:rStyle w:val="FootnoteReference"/>
        </w:rPr>
        <w:footnoteReference w:id="2278"/>
      </w:r>
    </w:p>
    <w:p>
      <w:pPr>
        <w:pStyle w:val="BodyText"/>
      </w:pPr>
      <w:r>
        <w:rPr>
          <w:rStyle w:val="FootnoteReference"/>
        </w:rPr>
        <w:footnoteReference w:id="2279"/>
      </w:r>
      <w:r>
        <w:t xml:space="preserve">And now it shall appear who were those wicked persons that were not fit to live, when all the wickedness of the enemies of Christ and his church—their pride, their malice, their cruelty, their hatred of true religion—shall be set forth in all the horrid acts of it with all its aggravations, in its proper colors. And now the righteous may be heard before this great judge, that could not be heard before those unjust judges. Now they shall declare their cause, and shall rise up in judgment against their persecutors, and shall declare how they have been treated by them. And all the wickedness of the wicked of the whole world shall now be brought to light, all their secret wickedness, and their very hearts shall ‹be› opened to view and, as it were,</w:t>
      </w:r>
    </w:p>
    <w:p>
      <w:pPr>
        <w:pStyle w:val="SourcePage"/>
      </w:pPr>
      <w:r>
        <w:t xml:space="preserve">[p. 504]</w:t>
      </w:r>
    </w:p>
    <w:p>
      <w:pPr>
        <w:pStyle w:val="BodyText"/>
      </w:pPr>
      <w:r>
        <w:t xml:space="preserve">turned inside out before the bright light of that great day. And things that have been spoken in the ear or closet and done in the dark, shall be manifested in the light and proclaimed before all angels and men that are or ever were or will be.</w:t>
      </w:r>
    </w:p>
    <w:p>
      <w:pPr>
        <w:pStyle w:val="BodyText"/>
      </w:pPr>
      <w:r>
        <w:rPr>
          <w:rStyle w:val="FootnoteReference"/>
        </w:rPr>
        <w:footnoteReference w:id="2280"/>
      </w:r>
      <w:r>
        <w:t xml:space="preserve">5.</w:t>
      </w:r>
      <w:r>
        <w:rPr>
          <w:rStyle w:val="FootnoteReference"/>
        </w:rPr>
        <w:footnoteReference w:id="2281"/>
      </w:r>
      <w:r>
        <w:t xml:space="preserve"> The sentence shall be pronounced on the righteous and the wicked. Christ, the glorious judge, shall pass that blessed sentence on the church at his right hand, "Come, ye blessed of my Father, inherit [the kingdom prepared for you from the foundation of the world]."</w:t>
      </w:r>
      <w:r>
        <w:rPr>
          <w:rStyle w:val="FootnoteReference"/>
        </w:rPr>
        <w:footnoteReference w:id="2282"/>
      </w:r>
      <w:r>
        <w:t xml:space="preserve"> This sentence shall be pronounced with infinite love, and the voice will be most sweet, causing every heart to overflow with joy. Thus Christ will pronounce a sentence of justification on thousands and millions that have before had a sentence of condemnation passed on 'em by their persecuting rulers. He will thus put honor upon those that have been before despised, he will own them for his</w:t>
      </w:r>
      <w:r>
        <w:rPr>
          <w:rStyle w:val="FootnoteReference"/>
        </w:rPr>
        <w:footnoteReference w:id="2283"/>
      </w:r>
      <w:r>
        <w:t xml:space="preserve"> and will, as it were, put a crown of glory upon their heads before the world.</w:t>
      </w:r>
      <w:r>
        <w:rPr>
          <w:rStyle w:val="FootnoteReference"/>
        </w:rPr>
        <w:footnoteReference w:id="2284"/>
      </w:r>
      <w:r>
        <w:t xml:space="preserve"> And then shall they shine forth as the sun with Jesus Christ in glory, and joy in the sight of all their enemies.</w:t>
      </w:r>
      <w:r>
        <w:rPr>
          <w:rStyle w:val="FootnoteReference"/>
        </w:rPr>
        <w:footnoteReference w:id="2285"/>
      </w:r>
      <w:r>
        <w:t xml:space="preserve"> And then shall the sentence of condemnation be passed on the wicked, "Depart from me, ye cursed, into [everlasting fire, prepared for the devil and his angels]."</w:t>
      </w:r>
      <w:r>
        <w:rPr>
          <w:rStyle w:val="FootnoteReference"/>
        </w:rPr>
        <w:footnoteReference w:id="2286"/>
      </w:r>
      <w:r>
        <w:t xml:space="preserve"> Thus shall the church's enemies be condemned, in which sentence of condemnation the holy martyrs that have suffered from them shall concur. When the</w:t>
      </w:r>
      <w:r>
        <w:rPr>
          <w:rStyle w:val="FootnoteReference"/>
        </w:rPr>
        <w:footnoteReference w:id="2287"/>
      </w:r>
      <w:r>
        <w:t xml:space="preserve"> words of this sentence are pronounced, they will strike every heart of those at the left hand with immense horror and amazement; every syllable of it will be more terrible than a stream of lightning through their hearts. We can conceive but very little of those signs and expressions of horror there will be upon it—of shrieking, quaking, gnashing of teeth, distortions of countenance, hideous looks, hideous actions, and hideous voices—through all that vast throng.</w:t>
      </w:r>
      <w:r>
        <w:rPr>
          <w:rStyle w:val="FootnoteReference"/>
        </w:rPr>
        <w:footnoteReference w:id="2288"/>
      </w:r>
    </w:p>
    <w:p>
      <w:pPr>
        <w:pStyle w:val="BodyText"/>
      </w:pPr>
      <w:r>
        <w:t xml:space="preserve">6.</w:t>
      </w:r>
      <w:r>
        <w:rPr>
          <w:rStyle w:val="FootnoteReference"/>
        </w:rPr>
        <w:footnoteReference w:id="2289"/>
      </w:r>
      <w:r>
        <w:t xml:space="preserve"> Upon this, Christ and all his church of saints and all the holy</w:t>
      </w:r>
    </w:p>
    <w:p>
      <w:pPr>
        <w:pStyle w:val="SourcePage"/>
      </w:pPr>
      <w:r>
        <w:t xml:space="preserve">[p. 505]</w:t>
      </w:r>
    </w:p>
    <w:p>
      <w:pPr>
        <w:pStyle w:val="BodyText"/>
      </w:pPr>
      <w:r>
        <w:t xml:space="preserve">angels ministering to them shall leave this lower world and ascend up towards the highest heavens. Christ shall ascend in as great glory as he descended, and in some respects greater, for now he shall ascend with all his elect church, with him glorified in both body and soul. Christ's first ascension to heaven soon after his own resurrection was very glorious. But this, his second ascension of his mystical body, his whole church, shall be far more glorious. The redeemed church shall all ascend with him in a most joyful and triumphant manner. And all their enemies</w:t>
      </w:r>
      <w:r>
        <w:rPr>
          <w:rStyle w:val="FootnoteReference"/>
        </w:rPr>
        <w:footnoteReference w:id="2290"/>
      </w:r>
      <w:r>
        <w:t xml:space="preserve"> and persecutors that shall be left behind on the cursed ground to be consumed, shall see the sight and hear their songs. And thus Christ's church shall forever leave this accursed world to go into that more glorious world, the highest heavens, into the paradise of God, the kingdom that was prepared for them from the foundation of the world.</w:t>
      </w:r>
      <w:r>
        <w:rPr>
          <w:rStyle w:val="FootnoteReference"/>
        </w:rPr>
        <w:footnoteReference w:id="2291"/>
      </w:r>
    </w:p>
    <w:p>
      <w:pPr>
        <w:pStyle w:val="BodyText"/>
      </w:pPr>
      <w:r>
        <w:t xml:space="preserve">7.</w:t>
      </w:r>
      <w:r>
        <w:rPr>
          <w:rStyle w:val="FootnoteReference"/>
        </w:rPr>
        <w:footnoteReference w:id="2292"/>
      </w:r>
      <w:r>
        <w:t xml:space="preserve"> When they are gone this world shall be set on fire, and be turned into a great furnace, wherein all the enemies of Christ and his church shall be tormented forever and ever. This is manifest by 2 Peter 3:7, "But the heavens and the earth, which are now, by the same word are kept in store, reserved unto fire against the day of judgment and perdition of ungodly men." When Christ and his church are ascended to a distance from this world, that miserable company of wicked shall be left behind to have their cursed future executed upon 'em here. And then some way or other this whole lower world shall be set on fire,</w:t>
      </w:r>
      <w:r>
        <w:rPr>
          <w:rStyle w:val="FootnoteReference"/>
        </w:rPr>
        <w:footnoteReference w:id="2293"/>
      </w:r>
      <w:r>
        <w:t xml:space="preserve"> either by fire from heaven or fire breaking out of the bowels of the earth—or both—as it was with the water in the time of the deluge; however this lower world shall be all on fire.</w:t>
      </w:r>
    </w:p>
    <w:p>
      <w:pPr>
        <w:pStyle w:val="BodyText"/>
      </w:pPr>
      <w:r>
        <w:t xml:space="preserve">How will it strike the wicked with horror when they see this fire begin to kindle, and when the fire begins to lay hold upon them, and they find no way to escape it or fly or hide from it. What shrieking and crying will there be among those many thousands of millions, when they begin to enter into this great furnace, when the whole world shall [be] a furnace of the fiercest and most raging heat. Insomuch that the apostle Peter says, 2 Peter 3:10–12, that, "the heavens shall pass away with a great noise, and the elements shall melt with fervent heat, the earth also and the works that are therein shall be</w:t>
      </w:r>
    </w:p>
    <w:p>
      <w:pPr>
        <w:pStyle w:val="SourcePage"/>
      </w:pPr>
      <w:r>
        <w:t xml:space="preserve">[p. 506]</w:t>
      </w:r>
    </w:p>
    <w:p>
      <w:pPr>
        <w:pStyle w:val="BodyText"/>
      </w:pPr>
      <w:r>
        <w:t xml:space="preserve">burnt up," and that the "heavens being on fire shall be dissolved, and the elements shall melt with fervent heat." And so fierce shall be its heat that it shall burn the earth out to its very center, which seems to [be] what is meant, Deuteronomy 32:22, "For a fire is kindled in mine anger, and it shall burn to the lowest hell, and shall consume the earth with her increase, and set on fire the foundations of the</w:t>
      </w:r>
      <w:r>
        <w:rPr>
          <w:rStyle w:val="FootnoteReference"/>
        </w:rPr>
        <w:footnoteReference w:id="2294"/>
      </w:r>
      <w:r>
        <w:t xml:space="preserve"> mountains." And here shall all the persecutors of the church of God burn in everlasting fire, who have before burnt the saints at the stake; and shall suffer torments far beyond all that their utmost wit and malice could inflict on the saints. And here the bodies of all the wicked shall burn, and be tormented to all eternity, and never be consumed; and the wrath of God shall be poured out on their souls.</w:t>
      </w:r>
      <w:r>
        <w:rPr>
          <w:rStyle w:val="FootnoteReference"/>
        </w:rPr>
        <w:footnoteReference w:id="2295"/>
      </w:r>
      <w:r>
        <w:t xml:space="preserve"> Though the souls of the wicked in hell now do suffer dreadful punishment, yet their punishment will be so increased at the day of judgment that what is suffered before is, in comparison of it, as an imprisonment to the execution that follows it.</w:t>
      </w:r>
    </w:p>
    <w:p>
      <w:pPr>
        <w:pStyle w:val="BodyText"/>
      </w:pPr>
      <w:r>
        <w:t xml:space="preserve">And now the devil, that old serpent, shall receive his full punishment; now shall that which he before trembled for fear of be fully come upon him.</w:t>
      </w:r>
      <w:r>
        <w:rPr>
          <w:rStyle w:val="FootnoteReference"/>
        </w:rPr>
        <w:footnoteReference w:id="2296"/>
      </w:r>
      <w:r>
        <w:t xml:space="preserve"> This world that formerly used to be the place of his kingdom, where he set up himself</w:t>
      </w:r>
      <w:r>
        <w:rPr>
          <w:rStyle w:val="FootnoteReference"/>
        </w:rPr>
        <w:footnoteReference w:id="2297"/>
      </w:r>
      <w:r>
        <w:t xml:space="preserve"> as God, shall now be the place of his complete punishment, and full and everlasting torment. And in this, one design of the Work of Redemption that has been mentioned, viz. putting Christ's enemies under his feet, shall be perfectly accomplished. His enemies now shall be made his footstool in the fullest degree. Now shall be the most perfect fulfillment of that [in] Gen., "it shall bruise thy head."</w:t>
      </w:r>
      <w:r>
        <w:rPr>
          <w:rStyle w:val="FootnoteReference"/>
        </w:rPr>
        <w:footnoteReference w:id="2298"/>
      </w:r>
    </w:p>
    <w:p>
      <w:pPr>
        <w:pStyle w:val="BodyText"/>
      </w:pPr>
      <w:r>
        <w:t xml:space="preserve">8.</w:t>
      </w:r>
      <w:r>
        <w:rPr>
          <w:rStyle w:val="FootnoteReference"/>
        </w:rPr>
        <w:footnoteReference w:id="2299"/>
      </w:r>
      <w:r>
        <w:t xml:space="preserve"> At the same time all the church shall enter with Christ, their glorious Lord, into the highest heaven; and there shall enter on the state of their highest and eternal blessedness and glory. While the lower world, which they have left under their feet, is seized with the fire of God's vengeance, and flames are kindling upon it, and the wicked are entering into everlasting fire, the whole church shall enter</w:t>
      </w:r>
    </w:p>
    <w:p>
      <w:pPr>
        <w:pStyle w:val="SourcePage"/>
      </w:pPr>
      <w:r>
        <w:t xml:space="preserve">[p. 507]</w:t>
      </w:r>
    </w:p>
    <w:p>
      <w:pPr>
        <w:pStyle w:val="BodyText"/>
      </w:pPr>
      <w:r>
        <w:t xml:space="preserve">with their glorious head, and all the holy angels attending in a joyful manner, into the eternal paradise of God, the palace of the great Jehovah, their heavenly Father.</w:t>
      </w:r>
      <w:r>
        <w:rPr>
          <w:rStyle w:val="FootnoteReference"/>
        </w:rPr>
        <w:footnoteReference w:id="2300"/>
      </w:r>
      <w:r>
        <w:t xml:space="preserve"> The gates shall stand wide open unto them for them to enter in, and there Christ will bring them into his chambers in the highest circle; he will bring them into his Father's house, into a world not like that which</w:t>
      </w:r>
      <w:r>
        <w:rPr>
          <w:rStyle w:val="FootnoteReference"/>
        </w:rPr>
        <w:footnoteReference w:id="2301"/>
      </w:r>
      <w:r>
        <w:t xml:space="preserve"> they have left.</w:t>
      </w:r>
      <w:r>
        <w:rPr>
          <w:rStyle w:val="FootnoteReference"/>
        </w:rPr>
        <w:footnoteReference w:id="2302"/>
      </w:r>
      <w:r>
        <w:t xml:space="preserve"> Here Christ will bring them, and present them in glory to his Father, saying, "Here am I and the children which thou hast given me," as much as to say, Here am I with every one of those that thou gavest me from eternity to take the care of,</w:t>
      </w:r>
      <w:r>
        <w:rPr>
          <w:rStyle w:val="FootnoteReference"/>
        </w:rPr>
        <w:footnoteReference w:id="2303"/>
      </w:r>
      <w:r>
        <w:t xml:space="preserve"> that they might be redeemed and glorified and which I have done and suffered so much to redeem, and which I have for so many ages been accomplishing such great changes for to make way for their redemption. Here they are now perfectly redeemed in body and soul. I have perfectly delivered them from all the ill fruits of the fall, and perfectly freed 'em from all their enemies. I have brought 'em all together into one glorious society, and united them all in myself. I have openly justified [them] before all angels and men, and here I have brought 'em all away from that accursed world where they suffered so much, and have brought 'em to thy throne. I have done all that for them which thou hast appointed me. I have perfectly cleansed them from all filthiness in my blood, and</w:t>
      </w:r>
      <w:r>
        <w:rPr>
          <w:rStyle w:val="FootnoteReference"/>
        </w:rPr>
        <w:footnoteReference w:id="2304"/>
      </w:r>
      <w:r>
        <w:t xml:space="preserve"> here they are in perfect holiness, shining with thy perfect image.</w:t>
      </w:r>
      <w:r>
        <w:rPr>
          <w:rStyle w:val="FootnoteReference"/>
        </w:rPr>
        <w:footnoteReference w:id="2305"/>
      </w:r>
    </w:p>
    <w:p>
      <w:pPr>
        <w:pStyle w:val="BodyText"/>
      </w:pPr>
      <w:r>
        <w:t xml:space="preserve">And then the Father will accept them, and own them all for his children, and will welcome [them] to their perfect and eternal inheritance and glory in his house, and will on this occasion give more glorious manifestations of his love than ever before, and shall admit them to a more full and perfect enjoyment of himself. And now shall be the marriage of the lamb in the most perfect sense. The commencement of the glorious times of the church on earth after the fall of Antichrist, is represented as the marriage of the lamb, Revelation;</w:t>
      </w:r>
      <w:r>
        <w:rPr>
          <w:rStyle w:val="FootnoteReference"/>
        </w:rPr>
        <w:footnoteReference w:id="2306"/>
      </w:r>
      <w:r>
        <w:t xml:space="preserve"> and this shall be the marriage of the lamb in the highest sense that ever shall be on earth. But after this we read of another marriage of the lamb at the close of the day of judgment. After the beloved disciple</w:t>
      </w:r>
    </w:p>
    <w:p>
      <w:pPr>
        <w:pStyle w:val="SourcePage"/>
      </w:pPr>
      <w:r>
        <w:t xml:space="preserve">[p. 508]</w:t>
      </w:r>
    </w:p>
    <w:p>
      <w:pPr>
        <w:pStyle w:val="BodyText"/>
      </w:pPr>
      <w:r>
        <w:t xml:space="preserve">had given an account of the day of judgment in the close of the Revelation 20,</w:t>
      </w:r>
      <w:r>
        <w:rPr>
          <w:rStyle w:val="FootnoteReference"/>
        </w:rPr>
        <w:footnoteReference w:id="2307"/>
      </w:r>
      <w:r>
        <w:t xml:space="preserve"> now he proceeds to give an account of what follows in the Revelation 21–22. And in the Revelation 21:2 he gives an account that he "saw the holy city, the new Jerusalem,</w:t>
      </w:r>
      <w:r>
        <w:rPr>
          <w:rStyle w:val="FootnoteReference"/>
        </w:rPr>
        <w:footnoteReference w:id="2308"/>
      </w:r>
      <w:r>
        <w:t xml:space="preserve"> prepared as a bride adorned for her husband."</w:t>
      </w:r>
      <w:r>
        <w:rPr>
          <w:rStyle w:val="FootnoteReference"/>
        </w:rPr>
        <w:footnoteReference w:id="2309"/>
      </w:r>
      <w:r>
        <w:t xml:space="preserve"> And when Christ shall bring his church into his Father's house in heaven after the judgment, he shall bring her there as his bride, having there presented her whom he loved and gave himself for to himself, without spot or wrinkle or any such thing.</w:t>
      </w:r>
      <w:r>
        <w:rPr>
          <w:rStyle w:val="FootnoteReference"/>
        </w:rPr>
        <w:footnoteReference w:id="2310"/>
      </w:r>
      <w:r>
        <w:t xml:space="preserve"> The bridegroom and the bride shall then enter into heaven, both having on their wedding robes, attended with all the glorious angels. And there they enter on the feast and joys of their marriage before the Father; they shall then begin an everlasting wedding day.</w:t>
      </w:r>
    </w:p>
    <w:p>
      <w:pPr>
        <w:pStyle w:val="BodyText"/>
      </w:pPr>
      <w:r>
        <w:t xml:space="preserve">This shall be the day of the gladness of Christ's heart wherein he will greatly rejoice, and all his saints shall rejoice with him. Christ shall rejoice over his bride, and the bride shall rejoice in her husband, in the state of her consummate and everlasting blessedness, which we have a particular description of in the Revelation 21–22.</w:t>
      </w:r>
      <w:r>
        <w:rPr>
          <w:rStyle w:val="FootnoteReference"/>
        </w:rPr>
        <w:footnoteReference w:id="2311"/>
      </w:r>
    </w:p>
    <w:p>
      <w:pPr>
        <w:pStyle w:val="BodyText"/>
      </w:pPr>
      <w:r>
        <w:t xml:space="preserve">And now the whole Work of Redemption is finished. We have seen how it has been carrying on from the fall of man to this time. But now 'tis complete with respect to all that</w:t>
      </w:r>
      <w:r>
        <w:rPr>
          <w:rStyle w:val="FootnoteReference"/>
        </w:rPr>
        <w:footnoteReference w:id="2312"/>
      </w:r>
      <w:r>
        <w:t xml:space="preserve"> belongs to it. Now the topstone of the building is laid. In the progress of the discourse on this subject we have followed the church of God in all the great changes, all her tossings to and fro that [she] is subject to in all the storms and tempests through the many ages of the world, till at length we have seen an end to all these storms. We have seen [her] enter the harbor and landed in the highest heavens, in complete and everlasting glory, in all her members, body and soul. We have gone through time, through the several ages of it, as the providence of God and the word of God have led us, and now we have issued into eternity after time shall be no more. We have seen all the church's enemies fixed in endless misery, and have seen the church presented in her perfect redemption before the Father in heaven, there to enjoy that</w:t>
      </w:r>
    </w:p>
    <w:p>
      <w:pPr>
        <w:pStyle w:val="SourcePage"/>
      </w:pPr>
      <w:r>
        <w:t xml:space="preserve">[p. 509]</w:t>
      </w:r>
    </w:p>
    <w:p>
      <w:pPr>
        <w:pStyle w:val="BodyText"/>
      </w:pPr>
      <w:r>
        <w:t xml:space="preserve">most unspeakable and inconceivable glory and blessedness, and there we leave her to enjoy this glory throughout the never-ending ages of eternity.</w:t>
      </w:r>
    </w:p>
    <w:p>
      <w:pPr>
        <w:pStyle w:val="BodyText"/>
      </w:pPr>
      <w:r>
        <w:rPr>
          <w:rStyle w:val="FootnoteReference"/>
        </w:rPr>
        <w:footnoteReference w:id="2313"/>
      </w:r>
      <w:r>
        <w:t xml:space="preserve">Now all Christ's enemies will all be perfectly put under his feet, and he shall have his most perfect triumph over sin, and Satan and all his instruments, and death and hell.</w:t>
      </w:r>
      <w:r>
        <w:rPr>
          <w:rStyle w:val="FootnoteReference"/>
        </w:rPr>
        <w:footnoteReference w:id="2314"/>
      </w:r>
      <w:r>
        <w:t xml:space="preserve"> Now shall all the promises made to Christ by God the Father before the foundation of the world, the promises of the covenant of redemption, be fully accomplished. And Christ shall now perfectly have obtained the joy that was set before him, for which he undertook those great sufferings he underwent in his state of humiliation.</w:t>
      </w:r>
      <w:r>
        <w:rPr>
          <w:rStyle w:val="FootnoteReference"/>
        </w:rPr>
        <w:footnoteReference w:id="2315"/>
      </w:r>
      <w:r>
        <w:t xml:space="preserve"> Now shall all the hopes and expectations of the saints be fulfilled. The state of things that the church was in before was a progressive and preparatory state, but now she is arrived in her most perfect state of glory. All the glory of the glorious times of the church on earth is but a faint shadow of this, her consummate glory in heaven.</w:t>
      </w:r>
    </w:p>
    <w:p>
      <w:pPr>
        <w:pStyle w:val="BodyText"/>
      </w:pPr>
      <w:r>
        <w:t xml:space="preserve">And now shall Christ the great Redeemer be most</w:t>
      </w:r>
      <w:r>
        <w:rPr>
          <w:rStyle w:val="FootnoteReference"/>
        </w:rPr>
        <w:footnoteReference w:id="2316"/>
      </w:r>
      <w:r>
        <w:t xml:space="preserve"> perfectly glorified, and God the Father shall be glorified in him,</w:t>
      </w:r>
      <w:r>
        <w:rPr>
          <w:rStyle w:val="FootnoteReference"/>
        </w:rPr>
        <w:footnoteReference w:id="2317"/>
      </w:r>
      <w:r>
        <w:t xml:space="preserve"> and the Holy Ghost shall [be] most fully glorified in the perfection of his work in the hearts of all the church. And now shall that new heaven and new earth, or that renewed state of things that had been building up ever since Christ's resurrection, be completely finished after the very material frame of the old heavens and old earth are destroyed, Revelation 21:1, "And I saw a new heaven and new earth: for the first heaven and first earth were passed away."</w:t>
      </w:r>
    </w:p>
    <w:p>
      <w:pPr>
        <w:pStyle w:val="BodyText"/>
      </w:pPr>
      <w:r>
        <w:t xml:space="preserve">And now will the great Redeemer have perfected every thing that appertains to the Work of Redemption which he began so soon after the fall of man. And who can conceive of the triumph and glory of those praises which shall be sung in heaven on this great occasion, so much greater than that of the fall of Antichrist which occasions such praises as we have described in the beginning of the Revelation 19.</w:t>
      </w:r>
      <w:r>
        <w:rPr>
          <w:rStyle w:val="FootnoteReference"/>
        </w:rPr>
        <w:footnoteReference w:id="2318"/>
      </w:r>
      <w:r>
        <w:t xml:space="preserve"> The beloved disciple John seems to want expressions to describe those praises, and says, it was so "as the voice of many waters, [and as the voice of mighty thunderings, saying, Alleluia:</w:t>
      </w:r>
    </w:p>
    <w:p>
      <w:pPr>
        <w:pStyle w:val="SourcePage"/>
      </w:pPr>
      <w:r>
        <w:t xml:space="preserve">[p. 510]</w:t>
      </w:r>
    </w:p>
    <w:p>
      <w:pPr>
        <w:pStyle w:val="BodyText"/>
      </w:pPr>
      <w:r>
        <w:t xml:space="preserve">for the Lord God omnipotent reigneth]."</w:t>
      </w:r>
      <w:r>
        <w:rPr>
          <w:rStyle w:val="FootnoteReference"/>
        </w:rPr>
        <w:footnoteReference w:id="2319"/>
      </w:r>
      <w:r>
        <w:t xml:space="preserve"> But how much more inexpressible will those praises be. How shall the praises of that vast and glorious multitude be as mighty thunderings indeed. And now how are all the former things passed away, and what a glorious state are things fixed in to remain to all eternity.</w:t>
      </w:r>
    </w:p>
    <w:p>
      <w:pPr>
        <w:pStyle w:val="BodyText"/>
      </w:pPr>
      <w:r>
        <w:t xml:space="preserve">And as Christ when he first entered upon the Work of Redemption, after the fall of man, had the kingdom committed to him of the Father, and took on himself the administration of the affairs of the universe, to manage all so as to subserve to the purposes of this affair; so now that work being finished, he will deliver up the kingdom to the Father, 1 Corinthians 15:24, "Then cometh when he shall have delivered up the kingdom to God, even the Father; when he shall have put down all rule and all authority and power."</w:t>
      </w:r>
      <w:r>
        <w:rPr>
          <w:rStyle w:val="FootnoteReference"/>
        </w:rPr>
        <w:footnoteReference w:id="2320"/>
      </w:r>
      <w:r>
        <w:t xml:space="preserve"> Not that Christ shall cease to reign or have a kingdom after this, for 'tis said, Luke 1:33, "He shall reign over the house of Jacob forever; and of his kingdom there shall be no end." So in the Revelation 7:14, that, "his dominion is an everlasting dominion, which shall not pass away, and his kingdom that</w:t>
      </w:r>
      <w:r>
        <w:rPr>
          <w:rStyle w:val="FootnoteReference"/>
        </w:rPr>
        <w:footnoteReference w:id="2321"/>
      </w:r>
      <w:r>
        <w:t xml:space="preserve"> which shall not be destroyed." But the meaning is that Christ shall deliver up that kingdom or dominion that he has over the world as the Father's delegate or vicegerent which the Father committed to him to be managed in subserviency to this great design of redemption. The end of this commission or delegation he had from the Father was to subserve to this particular design of redemption; and therefore when that design is fully accomplished the commission will cease, and Christ will deliver it up to the Father from whom he received it.</w:t>
      </w:r>
    </w:p>
    <w:p>
      <w:pPr>
        <w:pStyle w:val="BodyText"/>
      </w:pPr>
      <w:r>
        <w:t xml:space="preserve">APPLICATION OF THE WHOLE</w:t>
      </w:r>
    </w:p>
    <w:p>
      <w:pPr>
        <w:pStyle w:val="BodyText"/>
      </w:pPr>
      <w:r>
        <w:t xml:space="preserve">I proceed now to enter upon some application of the whole that has been said from this doctrine, and,</w:t>
      </w:r>
    </w:p>
    <w:p>
      <w:pPr>
        <w:pStyle w:val="BodyText"/>
      </w:pPr>
      <w:r>
        <w:t xml:space="preserve">I.</w:t>
      </w:r>
      <w:r>
        <w:rPr>
          <w:rStyle w:val="FootnoteReference"/>
        </w:rPr>
        <w:footnoteReference w:id="2322"/>
      </w:r>
      <w:r>
        <w:t xml:space="preserve"> Hence we may learn how great a work this Work of Redemption is. We have now had it in a very imperfect manner set forth before us in the whole progress of it, from its first beginning after the fall to the end of the world when it is finished.</w:t>
      </w:r>
      <w:r>
        <w:rPr>
          <w:rStyle w:val="FootnoteReference"/>
        </w:rPr>
        <w:footnoteReference w:id="2323"/>
      </w:r>
      <w:r>
        <w:t xml:space="preserve"> We have seen how God</w:t>
      </w:r>
    </w:p>
    <w:p>
      <w:pPr>
        <w:pStyle w:val="SourcePage"/>
      </w:pPr>
      <w:r>
        <w:t xml:space="preserve">[p. 511]</w:t>
      </w:r>
    </w:p>
    <w:p>
      <w:pPr>
        <w:pStyle w:val="BodyText"/>
      </w:pPr>
      <w:r>
        <w:t xml:space="preserve">has carried on this building from the first laying the foundation of it by a long succession of wonderful works, advancing it higher and higher from one age to another till the topstone is laid at the end of the world. And now let us consider how great a work this is. Do men when they behold some great palaces or churches sometimes admire their magnificence, and are almost astonished to consider how great a piece of work it was to build such an house? Then how well may we admire the greatness of this building of God, which he builds up age after age by a series of such great things which he brings to pass.</w:t>
      </w:r>
    </w:p>
    <w:p>
      <w:pPr>
        <w:pStyle w:val="BodyText"/>
      </w:pPr>
      <w:r>
        <w:t xml:space="preserve">There are three things that have been exhibited to us in what has been said that do especially show the greatness of the Work of Redemption.</w:t>
      </w:r>
    </w:p>
    <w:p>
      <w:pPr>
        <w:pStyle w:val="BodyText"/>
      </w:pPr>
      <w:r>
        <w:t xml:space="preserve">1.</w:t>
      </w:r>
      <w:r>
        <w:rPr>
          <w:rStyle w:val="FootnoteReference"/>
        </w:rPr>
        <w:footnoteReference w:id="2324"/>
      </w:r>
      <w:r>
        <w:t xml:space="preserve"> The greatness of those particular events and dispensations of providence by which it is accomplished; how great are those things which God has done which are but so many parts of this great work.</w:t>
      </w:r>
      <w:r>
        <w:rPr>
          <w:rStyle w:val="FootnoteReference"/>
        </w:rPr>
        <w:footnoteReference w:id="2325"/>
      </w:r>
      <w:r>
        <w:t xml:space="preserve"> What great things were done in the world to prepare the way for Christ's coming to purchase—and what great things were done in the purchase of—redemption. What a wonderful thing was that which was accomplished to put Christ in an immediate capacity for this purchase, viz. his incarnation, that God should become man. And what great things were done in that purchase that a person that is the eternal Jehovah should live upon earth for four or five and thirty years together in a mean despised [state],</w:t>
      </w:r>
      <w:r>
        <w:rPr>
          <w:rStyle w:val="FootnoteReference"/>
        </w:rPr>
        <w:footnoteReference w:id="2326"/>
      </w:r>
      <w:r>
        <w:t xml:space="preserve"> and that this [person] should spend his life in such labors [and sufferings], and that at last [he should die upon a cross]. And what great things have been done since that to accomplish the success of Christ's redemption. What [great things] to put him into a capacity [to accomplish this success. He] rose from the dead, [and] ascended [into heaven]. How many miracles have been wrought,</w:t>
      </w:r>
      <w:r>
        <w:rPr>
          <w:rStyle w:val="FootnoteReference"/>
        </w:rPr>
        <w:footnoteReference w:id="2327"/>
      </w:r>
      <w:r>
        <w:t xml:space="preserve"> what mighty revolutions have been brought to pass in the world already. And much greater shall be brought to pass in order to it.</w:t>
      </w:r>
    </w:p>
    <w:p>
      <w:pPr>
        <w:pStyle w:val="BodyText"/>
      </w:pPr>
      <w:r>
        <w:t xml:space="preserve">2.</w:t>
      </w:r>
      <w:r>
        <w:rPr>
          <w:rStyle w:val="FootnoteReference"/>
        </w:rPr>
        <w:footnoteReference w:id="2328"/>
      </w:r>
      <w:r>
        <w:t xml:space="preserve"> The number of these great events by which God carries on this work shows the greatness of the work. These mighty revolutions are so many as to fill up so many ages. The particular wonderful events</w:t>
      </w:r>
    </w:p>
    <w:p>
      <w:pPr>
        <w:pStyle w:val="SourcePage"/>
      </w:pPr>
      <w:r>
        <w:t xml:space="preserve">[p. 512]</w:t>
      </w:r>
    </w:p>
    <w:p>
      <w:pPr>
        <w:pStyle w:val="BodyText"/>
      </w:pPr>
      <w:r>
        <w:t xml:space="preserve">by which the work of creation was carried on filled up six days; but the great dispensations by which the Work of Redemption is carried [on] are so many that they fill up six or seven thousand years, at least as we have reason to conclude from the word of God.</w:t>
      </w:r>
    </w:p>
    <w:p>
      <w:pPr>
        <w:pStyle w:val="BodyText"/>
      </w:pPr>
      <w:r>
        <w:t xml:space="preserve">There were great things wrought in this affair before the flood, and in the flood the world was once destroyed by water and God's church so wonderfully preserved from the flood in order to the carrying on this work. And after the flood, what great things did God work relating to the resettling the world, relating to the building of Babel, the dispersing of nations, shortening the days of</w:t>
      </w:r>
      <w:r>
        <w:rPr>
          <w:rStyle w:val="FootnoteReference"/>
        </w:rPr>
        <w:footnoteReference w:id="2329"/>
      </w:r>
      <w:r>
        <w:t xml:space="preserve"> man's life, [the]</w:t>
      </w:r>
      <w:r>
        <w:rPr>
          <w:rStyle w:val="FootnoteReference"/>
        </w:rPr>
        <w:footnoteReference w:id="2330"/>
      </w:r>
      <w:r>
        <w:t xml:space="preserve"> calling of Abraham, and the destruction of Sodom and Gomorrah, and that long series of wonderful providences relating to Abraham, Isaac, and Jacob, and Joseph, and those wonders in Egypt, and at the Red Sea, and in the wilderness, and in Canaan in Joshua's time, and by a long succession of wonderful providences from age to age towards the nation of the Jews. And [what great things did God work] in so often overturning the world before Christ came to make way for his coming, in Christ's time. And then after that [what great things did God work in] overturning Satan's kingdom in the heathen empire, and so preserving his church, [in the] Reformation. [And what great things will God work in] accomplishing the glorious times, [in] Christ's last coming, [in the] day of judgment, [in the] destruction of the world, [and in] carrying the whole church into heaven.</w:t>
      </w:r>
    </w:p>
    <w:p>
      <w:pPr>
        <w:pStyle w:val="BodyText"/>
      </w:pPr>
      <w:r>
        <w:rPr>
          <w:rStyle w:val="FootnoteReference"/>
        </w:rPr>
        <w:footnoteReference w:id="2331"/>
      </w:r>
      <w:r>
        <w:t xml:space="preserve">3.</w:t>
      </w:r>
      <w:r>
        <w:rPr>
          <w:rStyle w:val="FootnoteReference"/>
        </w:rPr>
        <w:footnoteReference w:id="2332"/>
      </w:r>
      <w:r>
        <w:t xml:space="preserve"> The glorious issue of this whole affair, this has been discoursed this day in this sermon in the perfect and eternal destruction ‹of the wicked›, and in that consummate glory ‹of the saints›. And now let us once more take a view of this building; now all is finished and the topstone laid. It appeared in a glorious height in the apostles' time, much more glorious in Constantine's [time, and] after [the] fall of Antichrist; but even in an immensely more glorious height, now it appears in its greatest magnificence as a complete, lofty structure whose top reaches to the heaven of heavens, a building worthy of the great God, the king of kings.</w:t>
      </w:r>
    </w:p>
    <w:p>
      <w:pPr>
        <w:pStyle w:val="BodyText"/>
      </w:pPr>
      <w:r>
        <w:t xml:space="preserve">And from what has been said we may argue that the Work of Redemption is the greatest of all God's works that we have any notice of, and that 'tis the end of all his other works. It appears plainly from</w:t>
      </w:r>
    </w:p>
    <w:p>
      <w:pPr>
        <w:pStyle w:val="SourcePage"/>
      </w:pPr>
      <w:r>
        <w:t xml:space="preserve">[p. 513]</w:t>
      </w:r>
    </w:p>
    <w:p>
      <w:pPr>
        <w:pStyle w:val="BodyText"/>
      </w:pPr>
      <w:r>
        <w:t xml:space="preserve">what has been said, that this work is the</w:t>
      </w:r>
      <w:r>
        <w:rPr>
          <w:rStyle w:val="FootnoteReference"/>
        </w:rPr>
        <w:footnoteReference w:id="2333"/>
      </w:r>
      <w:r>
        <w:t xml:space="preserve"> principal of all God's works of providence, and that all other works of providence are reducible hither; they are all subordinate to the great affair of redemption. We see that all revolutions in the world are to subserve to this grand design, so that the Work of Redemption is, as it were, the sum of God's works of providence.</w:t>
      </w:r>
      <w:r>
        <w:rPr>
          <w:rStyle w:val="FootnoteReference"/>
        </w:rPr>
        <w:footnoteReference w:id="2334"/>
      </w:r>
      <w:r>
        <w:t xml:space="preserve"> This shows us how much greater the Work of Redemption is than the work of creation, for I have several times observed before that the work of providence is greater than the work of creation because 'tis the end of it, as the use of an house is the end of the building of an house. But this, as I have just said, is the sum of God's works of providence; all are subordinate to it. So the work of the new creation is more excellent than the old. So it ever is, then when one thing is removed by God to make way for another, the new one</w:t>
      </w:r>
      <w:r>
        <w:rPr>
          <w:rStyle w:val="FootnoteReference"/>
        </w:rPr>
        <w:footnoteReference w:id="2335"/>
      </w:r>
      <w:r>
        <w:t xml:space="preserve"> excels the old: tabernacle and temple; so new covenant, new dispensation: throne of Saul and David, priesthood of Aaron and priesthood of Christ, old Jerusalem and new; so old creation and new.</w:t>
      </w:r>
      <w:r>
        <w:rPr>
          <w:rStyle w:val="FootnoteReference"/>
        </w:rPr>
        <w:footnoteReference w:id="2336"/>
      </w:r>
      <w:r>
        <w:t xml:space="preserve"> God has used the creation that he has made to no other purpose but to subserve to the design of this affair. To this he has disposed</w:t>
      </w:r>
      <w:r>
        <w:rPr>
          <w:rStyle w:val="FootnoteReference"/>
        </w:rPr>
        <w:footnoteReference w:id="2337"/>
      </w:r>
      <w:r>
        <w:t xml:space="preserve"> mankind, to this angels, to this earth, to this highest heaven. God created the world to provide a spouse and kingdom for his Son. And the setting up the kingdom of Christ, and the spiritual marriage of the spouse to him, is what the whole creation labors and travails in pain to bring to pass.</w:t>
      </w:r>
      <w:r>
        <w:rPr>
          <w:rStyle w:val="FootnoteReference"/>
        </w:rPr>
        <w:footnoteReference w:id="2338"/>
      </w:r>
    </w:p>
    <w:p>
      <w:pPr>
        <w:pStyle w:val="BodyText"/>
      </w:pPr>
      <w:r>
        <w:t xml:space="preserve">This Work of Redemption is so much the greatest of all the</w:t>
      </w:r>
      <w:r>
        <w:rPr>
          <w:rStyle w:val="FootnoteReference"/>
        </w:rPr>
        <w:footnoteReference w:id="2339"/>
      </w:r>
      <w:r>
        <w:t xml:space="preserve"> works of God, that all other works are to be looked upon either as part</w:t>
      </w:r>
      <w:r>
        <w:rPr>
          <w:rStyle w:val="FootnoteReference"/>
        </w:rPr>
        <w:footnoteReference w:id="2340"/>
      </w:r>
      <w:r>
        <w:t xml:space="preserve"> of it, or appendages to it, or are some way reducible to it. And so all the decrees of God do some way or other belong to that eternal covenant of redemption that was between the Father and the Son before the foundation of the world; every decree of God is some way or other reducible to that covenant. And seeing this Work of Redemption</w:t>
      </w:r>
    </w:p>
    <w:p>
      <w:pPr>
        <w:pStyle w:val="SourcePage"/>
      </w:pPr>
      <w:r>
        <w:t xml:space="preserve">[p. 514]</w:t>
      </w:r>
    </w:p>
    <w:p>
      <w:pPr>
        <w:pStyle w:val="BodyText"/>
      </w:pPr>
      <w:r>
        <w:t xml:space="preserve">is so great a work, hence we need not wonder that the angels desire to look into it.</w:t>
      </w:r>
      <w:r>
        <w:rPr>
          <w:rStyle w:val="FootnoteReference"/>
        </w:rPr>
        <w:footnoteReference w:id="2341"/>
      </w:r>
      <w:r>
        <w:t xml:space="preserve"> And we need not wonder that so much is made of it in Scripture, and that 'tis so much insisted on in the histories, and prophecies, and songs of the Bible, for the Work of Redemption is the great subject of the whole Bible. In its doctrines, its promises, its types, its songs, its histories, and its prophecies.</w:t>
      </w:r>
    </w:p>
    <w:p>
      <w:pPr>
        <w:pStyle w:val="SourcePage"/>
      </w:pPr>
      <w:r>
        <w:t xml:space="preserve">[p. 515]</w:t>
      </w:r>
    </w:p>
    <w:p>
      <w:pPr>
        <w:pStyle w:val="Heading2"/>
      </w:pPr>
      <w:bookmarkStart w:name="heading_sermon_thirty" w:id="92"/>
      <w:r>
        <w:t xml:space="preserve">SERMON THIRTY</w:t>
      </w:r>
      <w:bookmarkEnd w:id="92"/>
    </w:p>
    <w:p>
      <w:pPr>
        <w:pStyle w:val="BodyText"/>
      </w:pPr>
      <w:r>
        <w:rPr>
          <w:rStyle w:val="FootnoteReference"/>
        </w:rPr>
        <w:footnoteReference w:id="2342"/>
      </w:r>
    </w:p>
    <w:p>
      <w:pPr>
        <w:pStyle w:val="BodyText"/>
      </w:pPr>
      <w:r>
        <w:rPr>
          <w:rStyle w:val="FootnoteReference"/>
        </w:rPr>
        <w:footnoteReference w:id="2343"/>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9" w:id="93"/>
      <w:r>
        <w:t xml:space="preserve">DOCTRINE</w:t>
      </w:r>
      <w:bookmarkEnd w:id="93"/>
    </w:p>
    <w:p>
      <w:pPr>
        <w:pStyle w:val="BlockQuote"/>
      </w:pPr>
      <w:r>
        <w:rPr>
          <w:i/>
          <w:iCs/>
        </w:rPr>
        <w:t xml:space="preserve">[The Work of Redemption is a work that God carries on from the fall of man to the end of the world.]</w:t>
      </w:r>
    </w:p>
    <w:p>
      <w:pPr>
        <w:pStyle w:val="BodyText"/>
      </w:pPr>
      <w:r>
        <w:t xml:space="preserve">WE entered on the improvement of what has been said under this doctrine in one inference. We have shown how the greatness of the Work of Redemption does hence appear. I now proceed.</w:t>
      </w:r>
    </w:p>
    <w:p>
      <w:pPr>
        <w:pStyle w:val="BodyText"/>
      </w:pPr>
      <w:r>
        <w:t xml:space="preserve">II.</w:t>
      </w:r>
      <w:r>
        <w:rPr>
          <w:rStyle w:val="FootnoteReference"/>
        </w:rPr>
        <w:footnoteReference w:id="2344"/>
      </w:r>
      <w:r>
        <w:t xml:space="preserve"> Hence we may learn how that God is the Alpha and Omega, the beginning and the end of all things.</w:t>
      </w:r>
      <w:r>
        <w:rPr>
          <w:rStyle w:val="FootnoteReference"/>
        </w:rPr>
        <w:footnoteReference w:id="2345"/>
      </w:r>
      <w:r>
        <w:t xml:space="preserve"> Such are the titles and characters we find often ascribed to God in Scripture in those places where the Scripture speaks of the course of things, and series of events in providence, Isaiah 41:4, "Who hath wrought and done it, calling the generations from the beginning? I the Lord, the first, and with the last; I am he." And particularly does the Scripture ascribe such titles to God where it speaks of the providence of God as it relates to, and is summed up in, this great Work of Redemption, as Isaiah 44:6–7 ["Thus saith the Lord the King of Israel … I am the first, and I am the last; … And who, as I, shall call, and shall declare it, and set it in order for me, since I appointed the ancient people? and the things that are coming, and shall come, let them shew unto them"]. And Isaiah 48:12, with the context beginning with the Isaiah 48:9</w:t>
      </w:r>
    </w:p>
    <w:p>
      <w:pPr>
        <w:pStyle w:val="SourcePage"/>
      </w:pPr>
      <w:r>
        <w:t xml:space="preserve">[p. 516]</w:t>
      </w:r>
    </w:p>
    <w:p>
      <w:pPr>
        <w:pStyle w:val="BodyText"/>
      </w:pPr>
      <w:r>
        <w:t xml:space="preserve">Isaiah 48:9 ["I am he; I am the first, I also am the last"]. So God eminently appears as the first and the last by considering the whole scheme of divine providence as we have considered,</w:t>
      </w:r>
      <w:r>
        <w:rPr>
          <w:rStyle w:val="FootnoteReference"/>
        </w:rPr>
        <w:footnoteReference w:id="2346"/>
      </w:r>
      <w:r>
        <w:t xml:space="preserve"> viz. as all reducible to that one great Work of Redemption.</w:t>
      </w:r>
    </w:p>
    <w:p>
      <w:pPr>
        <w:pStyle w:val="BodyText"/>
      </w:pPr>
      <w:r>
        <w:t xml:space="preserve">And therefore when Christ reveals the future great events of providence relating to his church and people and this affair of redemption to the end of the world to his disciple John, he often reveals himself under this character. So Revelation 1:8, "I am Alpha and Omega, the beginning and the ending, saith the Lord, which is, and which was, and which is to come, the Almighty." So again, Revelation 1:10 and Revelation 1:11, "I heard behind me a great voice, as of a trumpet, saying, I am Alpha and Omega, the first and the last."</w:t>
      </w:r>
      <w:r>
        <w:rPr>
          <w:rStyle w:val="FootnoteReference"/>
        </w:rPr>
        <w:footnoteReference w:id="2347"/>
      </w:r>
      <w:r>
        <w:t xml:space="preserve"> Alpha and Omega are the names of the first and last letters of the Greek alphabet, as A and Z are of ours, and therefore it signifies the same as his being the first and the last, the beginning and the ending.</w:t>
      </w:r>
    </w:p>
    <w:p>
      <w:pPr>
        <w:pStyle w:val="BodyText"/>
      </w:pPr>
      <w:r>
        <w:t xml:space="preserve">Thus God is called in the beginning of this book of Revelation, before the course of the prophecy begins, and so again he is called at the end of it, after the course of events is gone through and the final issue of things is seen, as Revelation 21:6, "And he said unto me, It is done. I am Alpha and Omega,</w:t>
      </w:r>
      <w:r>
        <w:rPr>
          <w:rStyle w:val="FootnoteReference"/>
        </w:rPr>
        <w:footnoteReference w:id="2348"/>
      </w:r>
      <w:r>
        <w:t xml:space="preserve"> the beginning and the end." And so Revelation 22:12–13, "And behold, I come quickly and my reward is with me, to give every man according as his work shall be. I am Alpha and Omega, the beginning and the end, the first and the last." We have seen how this is true in the course of the past discourse we have had on this subject. We have seen how things were from God in the beginning, on what design God began the course of his providence in the beginning of the generations of men upon the earth. And we have seen how it is God that has all along carried things on, agreeable to the same design without ever failing, and how at last in the conclusion and final issue of things all things are to God. And so we have seen how all things are of him, and through him, and to him, and therefore may well now cry out with the Apostle, Romans 11, four last verses ["O the depth of the riches both of the wisdom and knowledge of God! how unsearchable are his judgments, and his ways past finding out! … For of him, and through him, and to him, are all things: to whom be glory forever. Amen"].</w:t>
      </w:r>
      <w:r>
        <w:rPr>
          <w:rStyle w:val="FootnoteReference"/>
        </w:rPr>
        <w:footnoteReference w:id="2349"/>
      </w:r>
    </w:p>
    <w:p>
      <w:pPr>
        <w:pStyle w:val="SourcePage"/>
      </w:pPr>
      <w:r>
        <w:t xml:space="preserve">[p. 517]</w:t>
      </w:r>
    </w:p>
    <w:p>
      <w:pPr>
        <w:pStyle w:val="BodyText"/>
      </w:pPr>
      <w:r>
        <w:t xml:space="preserve">We have seen how other things came to an end, one after another;</w:t>
      </w:r>
      <w:r>
        <w:rPr>
          <w:rStyle w:val="FootnoteReference"/>
        </w:rPr>
        <w:footnoteReference w:id="2350"/>
      </w:r>
      <w:r>
        <w:t xml:space="preserve"> how states and kingdoms and empires, one after another, fall and come to nothing, even the greatest and strongest of them. We have seen how the world has been often overturned, and will be more remarkably overturned than ever it has been yet. We have seen how the world comes to an end, how it was first destroyed by water, and how at last it shall be utterly and eternally destroyed with fire. But yet God remains the same through all ages. He was before the beginning of this course of things, and he will be after the end of them, agreeable to Psalms 102:25–27, "Of old hast thou laid the foundation of the earth: and the heavens are the works of thy hands. [They shall perish, but thou shalt endure.… Thy years shall have no end]." Thus God is he that is, and that was, and is and was and is to come.</w:t>
      </w:r>
      <w:r>
        <w:rPr>
          <w:rStyle w:val="FootnoteReference"/>
        </w:rPr>
        <w:footnoteReference w:id="2351"/>
      </w:r>
    </w:p>
    <w:p>
      <w:pPr>
        <w:pStyle w:val="BodyText"/>
      </w:pPr>
      <w:r>
        <w:t xml:space="preserve">We have seen in the past discourse on this subject how all other gods perish. We have seen how the ancient gods of the heathen in the nations about Canaan, and throughout the Roman empire, are all destroyed, their worship</w:t>
      </w:r>
      <w:r>
        <w:rPr>
          <w:rStyle w:val="FootnoteReference"/>
        </w:rPr>
        <w:footnoteReference w:id="2352"/>
      </w:r>
      <w:r>
        <w:t xml:space="preserve"> long since overthrown. And we have heard how Antichrist, that has called himself a god on earth, and how Mohammed, that claims divine heavens, and how all the gods of the heathen throughout the world, will come to an end; And how Satan, the great dragon, that old serpent that has set up himself as god of this world, will be cast into the lake of fire, there to suffer his complete punishment. But Jehovah remains, and his kingdom is an everlasting kingdom, and of his dominion there is no end.</w:t>
      </w:r>
      <w:r>
        <w:rPr>
          <w:rStyle w:val="FootnoteReference"/>
        </w:rPr>
        <w:footnoteReference w:id="2353"/>
      </w:r>
      <w:r>
        <w:t xml:space="preserve"> We have seen what mighty changes [there have been in the world], but God is unchangeable, "the same yesterday, and to day, [and for ever]."</w:t>
      </w:r>
      <w:r>
        <w:rPr>
          <w:rStyle w:val="FootnoteReference"/>
        </w:rPr>
        <w:footnoteReference w:id="2354"/>
      </w:r>
    </w:p>
    <w:p>
      <w:pPr>
        <w:pStyle w:val="BodyText"/>
      </w:pPr>
      <w:r>
        <w:t xml:space="preserve">We began at the head of the stream of divine providence, and we have followed it and traced it through its various windings and turnings till we are come to the end of it, and we see where it issues: as it began in God, so it ends in God. God is the infinite ocean into which it empties itself. Providence is like a mighty wheel whose ring or circumference is so high that it is dreadful with the glory of the God of Israel above upon it, as 'tis represented in Ezekiel's vision.</w:t>
      </w:r>
      <w:r>
        <w:rPr>
          <w:rStyle w:val="FootnoteReference"/>
        </w:rPr>
        <w:footnoteReference w:id="2355"/>
      </w:r>
    </w:p>
    <w:p>
      <w:pPr>
        <w:pStyle w:val="SourcePage"/>
      </w:pPr>
      <w:r>
        <w:t xml:space="preserve">[p. 518]</w:t>
      </w:r>
    </w:p>
    <w:p>
      <w:pPr>
        <w:pStyle w:val="BodyText"/>
      </w:pPr>
      <w:r>
        <w:t xml:space="preserve">We have seen the revolution of</w:t>
      </w:r>
      <w:r>
        <w:rPr>
          <w:rStyle w:val="FootnoteReference"/>
        </w:rPr>
        <w:footnoteReference w:id="2356"/>
      </w:r>
      <w:r>
        <w:t xml:space="preserve"> this wheel, and how that as it was from God so its return has been to God again. All the events of divine providence are like the links of a chain, the first link is from God and the last is to him.</w:t>
      </w:r>
    </w:p>
    <w:p>
      <w:pPr>
        <w:pStyle w:val="BodyText"/>
      </w:pPr>
      <w:r>
        <w:t xml:space="preserve">III.</w:t>
      </w:r>
      <w:r>
        <w:rPr>
          <w:rStyle w:val="FootnoteReference"/>
        </w:rPr>
        <w:footnoteReference w:id="2357"/>
      </w:r>
      <w:r>
        <w:t xml:space="preserve"> We may see by what has been said how that Christ in all things has the preeminence, for this great Work of Redemption is all his work, he is the great Redeemer. And therefore the Work of Redemption being, as it were, the sum of God's works of providence, this shows the glory of our Lord Jesus Christ as being above all, and through all, and in all.</w:t>
      </w:r>
      <w:r>
        <w:rPr>
          <w:rStyle w:val="FootnoteReference"/>
        </w:rPr>
        <w:footnoteReference w:id="2358"/>
      </w:r>
      <w:r>
        <w:t xml:space="preserve"> That God intended the world for his Son's use in the affair of redemption is one reason that is to be given why he created the world by him, which seems to be intimated by the Apostle in Ephesians 3:9–11 ["And to make all men see what is the fellowship of the mystery, which from the beginning of the world hath been hid in God, who created all things by Jesus Christ: to the intent that now … might be known by the church the manifold wisdom of God, according to the eternal purpose … in Christ Jesus our Lord"]. What has been said shows how all the purposes of God are purposes which he hath purposed in Christ, and how he is before all, and above all, and all things consist by him, and are governed by him, and are for him, Colossians 1:15–18</w:t>
      </w:r>
      <w:r>
        <w:rPr>
          <w:rStyle w:val="FootnoteReference"/>
        </w:rPr>
        <w:footnoteReference w:id="2359"/>
      </w:r>
      <w:r>
        <w:t xml:space="preserve"> ["Who is the image of the invisible God.… For by him were all things created … all things were created by him, and for him: And he is before all things, and by him all things consist. And he is the head of the body, the church … that in all things he might have the preeminence"]. We see by what has been said: how</w:t>
      </w:r>
      <w:r>
        <w:rPr>
          <w:rStyle w:val="FootnoteReference"/>
        </w:rPr>
        <w:footnoteReference w:id="2360"/>
      </w:r>
      <w:r>
        <w:t xml:space="preserve"> God makes him his first born, higher than the kings of the earth, and sets his throne above their thrones; how God has always upheld his kingdom when the kingdoms of others has come to an end; how that appears at last above all however greatly opposed for so many ages; how finally all other kingdoms fall and his kingdom is the last kingdom, and is a kingdom that never gives place to any other. We see that whatever changes there are and however highly Christ's enemies exalt themselves, that yet finally all his enemies become his</w:t>
      </w:r>
    </w:p>
    <w:p>
      <w:pPr>
        <w:pStyle w:val="SourcePage"/>
      </w:pPr>
      <w:r>
        <w:t xml:space="preserve">[p. 519]</w:t>
      </w:r>
    </w:p>
    <w:p>
      <w:pPr>
        <w:pStyle w:val="BodyText"/>
      </w:pPr>
      <w:r>
        <w:t xml:space="preserve">footstool, and he reigns in unconfined power and immense glory; in the end his people are all perfectly saved and made happy and his enemies all become his footstool.</w:t>
      </w:r>
      <w:r>
        <w:rPr>
          <w:rStyle w:val="FootnoteReference"/>
        </w:rPr>
        <w:footnoteReference w:id="2361"/>
      </w:r>
      <w:r>
        <w:t xml:space="preserve"> And thus God gives the world to his Son for his inheritance.</w:t>
      </w:r>
      <w:r>
        <w:rPr>
          <w:rStyle w:val="FootnoteReference"/>
        </w:rPr>
        <w:footnoteReference w:id="2362"/>
      </w:r>
    </w:p>
    <w:p>
      <w:pPr>
        <w:pStyle w:val="BodyText"/>
      </w:pPr>
      <w:r>
        <w:rPr>
          <w:rStyle w:val="FootnoteReference"/>
        </w:rPr>
        <w:footnoteReference w:id="2363"/>
      </w:r>
      <w:r>
        <w:t xml:space="preserve">IV.</w:t>
      </w:r>
      <w:r>
        <w:rPr>
          <w:rStyle w:val="FootnoteReference"/>
        </w:rPr>
        <w:footnoteReference w:id="2364"/>
      </w:r>
      <w:r>
        <w:t xml:space="preserve"> Hence we may see what a consistent thing divine providence is. The consideration of what has been may greatly serve to show us the consistence, order, and beauty of God's works of providence. If we behold the events of providence in any other view than that in which it has been set before us, it will all look like confusion, like a number of jumbled events coming to pass without any order or method, like the tossing of the waves of the sea. Things will look as though one confused revolution came to pass after another merely by blind chance, without any regular design or certain end.</w:t>
      </w:r>
    </w:p>
    <w:p>
      <w:pPr>
        <w:pStyle w:val="BodyText"/>
      </w:pPr>
      <w:r>
        <w:t xml:space="preserve">But if we consider the events of providence in the light in which they have been set before us under this doctrine in which the Scriptures set them before us, they appear far from being jumbled and confused, but an orderly series of events, all wisely ordered and directed in excellent harmony and consistence, tending all to one end.</w:t>
      </w:r>
      <w:r>
        <w:rPr>
          <w:rStyle w:val="FootnoteReference"/>
        </w:rPr>
        <w:footnoteReference w:id="2365"/>
      </w:r>
      <w:r>
        <w:t xml:space="preserve"> The wheels of providence are not turned round by blind chance, but they are full of eyes round about, as Ezekiel represents; and they are guided by the Spirit of God, where the Spirit goes they go.</w:t>
      </w:r>
      <w:r>
        <w:rPr>
          <w:rStyle w:val="FootnoteReference"/>
        </w:rPr>
        <w:footnoteReference w:id="2366"/>
      </w:r>
      <w:r>
        <w:t xml:space="preserve"> And all God's works of providence through all ages: they meet in one at last as so many lines meeting in one center.</w:t>
      </w:r>
    </w:p>
    <w:p>
      <w:pPr>
        <w:pStyle w:val="BodyText"/>
      </w:pPr>
      <w:r>
        <w:t xml:space="preserve">'Tis with God's work of providence as it is with his work of creation: 'tis but one work. The events of providence ben't so many distinct independent works of providence, but they are rather so many different parts of one work of providence: 'tis all one work, one regular scheme. God's works of providence ben't disunited and jumbled, without connection or dependence. But all are united, just as the several parts of one building: there are many stones, many pieces of timber, but all are so joined and fitly framed together that</w:t>
      </w:r>
      <w:r>
        <w:rPr>
          <w:rStyle w:val="FootnoteReference"/>
        </w:rPr>
        <w:footnoteReference w:id="2367"/>
      </w:r>
      <w:r>
        <w:t xml:space="preserve"> they make but one building. They have all but one foundation, and are united at last in one topstone.</w:t>
      </w:r>
    </w:p>
    <w:p>
      <w:pPr>
        <w:pStyle w:val="SourcePage"/>
      </w:pPr>
      <w:r>
        <w:t xml:space="preserve">[p. 520]</w:t>
      </w:r>
    </w:p>
    <w:p>
      <w:pPr>
        <w:pStyle w:val="BodyText"/>
      </w:pPr>
      <w:r>
        <w:t xml:space="preserve">God's providence may not unfitly be compared to a large and long river, having innumerable branches beginning in different regions, and at a great distance one from another, and all conspiring to one common issue. After their very diverse and contrary courses which they hold for a while, yet all gathering more and more together the nearer they come to their common end, and all at length discharging themselves at one mouth into the same ocean. The different streams of this river are ready to look like mere jumble and confusion to us because of the limitedness of our sight, whereby we can't see from one branch to another and can't see the whole at once, so as to see how all are united in one. A man that sees but one or two streams at a time can't tell what their course tends to. Their course seems very crooked, and the different streams seem to run for a</w:t>
      </w:r>
      <w:r>
        <w:rPr>
          <w:rStyle w:val="FootnoteReference"/>
        </w:rPr>
        <w:footnoteReference w:id="2368"/>
      </w:r>
      <w:r>
        <w:t xml:space="preserve"> while different and contrary ways. And if we view things at a distance, there seem to be innumerable obstacles and impediments in the way to hinder their ever uniting and coming to the ocean, as rocks and mountains and the like. But yet if we trace them they all unite at last and all come to the same issue, disgorging themselves in one into the same great ocean. Not one of all the streams fail of coming hither at last.</w:t>
      </w:r>
    </w:p>
    <w:p>
      <w:pPr>
        <w:pStyle w:val="BodyText"/>
      </w:pPr>
      <w:r>
        <w:t xml:space="preserve">V.</w:t>
      </w:r>
      <w:r>
        <w:rPr>
          <w:rStyle w:val="FootnoteReference"/>
        </w:rPr>
        <w:footnoteReference w:id="2369"/>
      </w:r>
      <w:r>
        <w:t xml:space="preserve"> From the whole that has been said we may strongly argue that the Scriptures are the word of God because they alone inform what God is about or what he aims at in these works that he is doing in the world. There is doubtless some design that God is pursuing, and some scheme that he is carrying on in the various changes and revolutions that from age to age come to pass in the world. It is most reasonable to suppose that there is some certain great design to which providence subordinates all the great successive changes in the affairs of the world that God hath made. 'Tis reasonable to suppose that all revolutions</w:t>
      </w:r>
      <w:r>
        <w:rPr>
          <w:rStyle w:val="FootnoteReference"/>
        </w:rPr>
        <w:footnoteReference w:id="2370"/>
      </w:r>
      <w:r>
        <w:t xml:space="preserve"> from the beginning of the world to the end of it, are but the various parts of some scheme, all conspiring to bring to pass that great event which the creator and governor of the world has ultimately in view, and that the scheme will not be finished or the design fully accomplished, and that great and ultimate event fully brought to pass, till the end of the world and the last revolution is brought about.</w:t>
      </w:r>
    </w:p>
    <w:p>
      <w:pPr>
        <w:pStyle w:val="BodyText"/>
      </w:pPr>
      <w:r>
        <w:t xml:space="preserve">Now there is nothing else that informs us what this scheme and design of God in his works is but only the holy Scriptures. Nothing</w:t>
      </w:r>
    </w:p>
    <w:p>
      <w:pPr>
        <w:pStyle w:val="SourcePage"/>
      </w:pPr>
      <w:r>
        <w:t xml:space="preserve">[p. 521]</w:t>
      </w:r>
    </w:p>
    <w:p>
      <w:pPr>
        <w:pStyle w:val="BodyText"/>
      </w:pPr>
      <w:r>
        <w:t xml:space="preserve">else pretends to set in view the whole series of God's works of providence from beginning to end, and to show how all things were from God at first, and what end they are for, and how they were ordered from the beginning, and how they will proceed to the end of the world, and what they will come to at last, and how then all things shall be to God. Nothing else but the Scriptures has any pretense for showing any manner of regular scheme or drift in those revolutions which God orders from age to age. Nothing else pretends to show what God would</w:t>
      </w:r>
      <w:r>
        <w:rPr>
          <w:rStyle w:val="FootnoteReference"/>
        </w:rPr>
        <w:footnoteReference w:id="2371"/>
      </w:r>
      <w:r>
        <w:t xml:space="preserve"> by the things that he has done and is doing and will do, what he seeks and intends by 'em. Nothing else pretends to show with any distinctness or certainty how the world began at first, or to tell us the original of things. Nothing but the Scriptures sets forth how God has governed the world from the beginning of the generations of men on the earth in an orderly history, and nothing else sets before us how he will govern it to the end by an orderly prophecy of future events, agreeable to the challenge that God makes to the gods and prophets and teachers of the heathen in Isaiah 41:22–23, "Let 'em bring forth, and show us what shall happen: let them show the former things, what they be, that we may consider them, and know the latter end of them; or declare us things for to come. Show the things that are to come hereafter, that we may know that ye are gods."</w:t>
      </w:r>
      <w:r>
        <w:rPr>
          <w:rStyle w:val="FootnoteReference"/>
        </w:rPr>
        <w:footnoteReference w:id="2372"/>
      </w:r>
    </w:p>
    <w:p>
      <w:pPr>
        <w:pStyle w:val="BodyText"/>
      </w:pPr>
      <w:r>
        <w:t xml:space="preserve">Reason shows that 'tis very fit and requisite that the intelligent rational beings of the world should know something of God's scheme and design in his works, for they doubtless are the beings that</w:t>
      </w:r>
      <w:r>
        <w:rPr>
          <w:rStyle w:val="FootnoteReference"/>
        </w:rPr>
        <w:footnoteReference w:id="2373"/>
      </w:r>
      <w:r>
        <w:t xml:space="preserve"> are principally concerned in it. The thing that is God's great design in his works is doubtless something concerning his reasonable creatures, rather than brute beasts and lifeless things. The revolutions by which God's great design is brought to pass are doubtless chiefly revolutions among them, and that concern their state and not the state of things without life or reason. And therefore surely 'tis requisite that they should know something of it; especially seeing that reason teaches that God has given his rational creatures reason and a capacity of seeing God in his works for this, that he may see God's glory in them and give him the glory of them. But how can they see God's glory in his works if they don't know what God's design in them is, and what he aims at by what he is doing in the world. And further it is fit that</w:t>
      </w:r>
    </w:p>
    <w:p>
      <w:pPr>
        <w:pStyle w:val="SourcePage"/>
      </w:pPr>
      <w:r>
        <w:t xml:space="preserve">[p. 522]</w:t>
      </w:r>
    </w:p>
    <w:p>
      <w:pPr>
        <w:pStyle w:val="BodyText"/>
      </w:pPr>
      <w:r>
        <w:t xml:space="preserve">mankind should be informed something of God's design in the government of the world because he is made capable of actively falling in with that design and promoting of it, and acting herein</w:t>
      </w:r>
      <w:r>
        <w:rPr>
          <w:rStyle w:val="FootnoteReference"/>
        </w:rPr>
        <w:footnoteReference w:id="2374"/>
      </w:r>
      <w:r>
        <w:t xml:space="preserve"> as his friends and subjects.</w:t>
      </w:r>
    </w:p>
    <w:p>
      <w:pPr>
        <w:pStyle w:val="BodyText"/>
      </w:pPr>
      <w:r>
        <w:t xml:space="preserve">It is therefore reasonable to suppose that God has given mankind some revelation to inform 'em of this, but there is nothing else that does it but the Bible. In the Bible this is done. Hence we have an account of the first original of things, and an orderly account of the scheme of God's works from the first beginning through those ages that are beyond the reach of all other histories. Here we are told what God aims at in the whole, what is the great end, how he has contrived, what is the grand design he aims [at],</w:t>
      </w:r>
      <w:r>
        <w:rPr>
          <w:rStyle w:val="FootnoteReference"/>
        </w:rPr>
        <w:footnoteReference w:id="2375"/>
      </w:r>
      <w:r>
        <w:t xml:space="preserve"> and the great thing he would accomplish by all. Here we have a most rational, excellent account of this matter, worthy of God and exceedingly showing forth the glory of his perfections, his majesty, his wisdom, his glorious holiness and grace and love, and his high exaltation above all, showing how he is the first and the last. Here we are shown the connection of</w:t>
      </w:r>
      <w:r>
        <w:rPr>
          <w:rStyle w:val="FootnoteReference"/>
        </w:rPr>
        <w:footnoteReference w:id="2376"/>
      </w:r>
      <w:r>
        <w:t xml:space="preserve"> the various parts of the work of providence, and shown how all is harmonized and is connected together as a regular, beautiful, and glorious frame. In the Bible we have an account of the whole scheme of providence from the beginning of the world to the end of it either in history or prophecy, and are told what will both become of things at last, how they will [be]</w:t>
      </w:r>
      <w:r>
        <w:rPr>
          <w:rStyle w:val="FootnoteReference"/>
        </w:rPr>
        <w:footnoteReference w:id="2377"/>
      </w:r>
      <w:r>
        <w:t xml:space="preserve"> finished off by a great [day] of judgment, and [what] will issue in the subduing of all God's enemies, and salvation and glory of his church, and setting [up] the everlasting kingdom of his Son.</w:t>
      </w:r>
    </w:p>
    <w:p>
      <w:pPr>
        <w:pStyle w:val="BodyText"/>
      </w:pPr>
      <w:r>
        <w:t xml:space="preserve">How rational, worthy and excellent a revelation is that, and how excellent a book is the Bible that contains how much beyond all other books in the world. And what characters are here of its being indeed a divine book, a book that the great Jehovah has given to mankind for their instruction, without which we should be left in miserable darkness and confusion.</w:t>
      </w:r>
    </w:p>
    <w:p>
      <w:pPr>
        <w:pStyle w:val="BodyText"/>
      </w:pPr>
      <w:r>
        <w:rPr>
          <w:rStyle w:val="FootnoteReference"/>
        </w:rPr>
        <w:footnoteReference w:id="2378"/>
      </w:r>
      <w:r>
        <w:t xml:space="preserve">VI.</w:t>
      </w:r>
      <w:r>
        <w:rPr>
          <w:rStyle w:val="FootnoteReference"/>
        </w:rPr>
        <w:footnoteReference w:id="2379"/>
      </w:r>
      <w:r>
        <w:t xml:space="preserve"> From what has been said we may see the glorious majesty and power of God in this affair of redemption; especially is God</w:t>
      </w:r>
    </w:p>
    <w:p>
      <w:pPr>
        <w:pStyle w:val="SourcePage"/>
      </w:pPr>
      <w:r>
        <w:t xml:space="preserve">[p. 523]</w:t>
      </w:r>
    </w:p>
    <w:p>
      <w:pPr>
        <w:pStyle w:val="BodyText"/>
      </w:pPr>
      <w:r>
        <w:t xml:space="preserve">glorious in power. His glorious power appears in upholding his church for so long a time, and carrying on this work, upholding it oftentimes when it was but as a little spark of [fire],</w:t>
      </w:r>
      <w:r>
        <w:rPr>
          <w:rStyle w:val="FootnoteReference"/>
        </w:rPr>
        <w:footnoteReference w:id="2380"/>
      </w:r>
      <w:r>
        <w:t xml:space="preserve"> or a smoking flax in which the fire was almost gone out, and the powers of earth and hell were combined to destroy it. Yet God has never suffered 'em to quench [it], and finally will bring forth judgment unto victory. God glorifies his strength in the church's weakness in making</w:t>
      </w:r>
      <w:r>
        <w:rPr>
          <w:rStyle w:val="FootnoteReference"/>
        </w:rPr>
        <w:footnoteReference w:id="2381"/>
      </w:r>
      <w:r>
        <w:t xml:space="preserve"> his people, that are like a number of little infants, finally to triumph over all earth and hell, so that they shall tread on the lion and adder; the young lion and dragon shall they trample under foot.</w:t>
      </w:r>
      <w:r>
        <w:rPr>
          <w:rStyle w:val="FootnoteReference"/>
        </w:rPr>
        <w:footnoteReference w:id="2382"/>
      </w:r>
      <w:r>
        <w:t xml:space="preserve"> Their proudest and strongest foes shall finally by God's power be their footstool.</w:t>
      </w:r>
      <w:r>
        <w:rPr>
          <w:rStyle w:val="FootnoteReference"/>
        </w:rPr>
        <w:footnoteReference w:id="2383"/>
      </w:r>
      <w:r>
        <w:t xml:space="preserve"> The glorious power of God appears in conquering his many and mighty enemies by that person that was once an infant in a manger, and appeared as a poor, weak,</w:t>
      </w:r>
      <w:r>
        <w:rPr>
          <w:rStyle w:val="FootnoteReference"/>
        </w:rPr>
        <w:footnoteReference w:id="2384"/>
      </w:r>
      <w:r>
        <w:t xml:space="preserve"> despised man. He conquers them and triumphs over them in their own weapon, the cross of Christ.</w:t>
      </w:r>
    </w:p>
    <w:p>
      <w:pPr>
        <w:pStyle w:val="BodyText"/>
      </w:pPr>
      <w:r>
        <w:t xml:space="preserve">The glorious majesty of God appears in conquering all those mighty enemies of his church one age after another. He conquered Satan, that proud and strong spirit, and all his hellish host, in bringing him down under foot long after he had vaunted it as God of this world and when he did his utmost to support himself in his kingdom. God's power gloriously appears in conquering Satan when exalted in that strongest and most potent heathen kingdom than ever he had, the Roman empire. Christ our Michael overcame him, and the devil was cast out, and there was found no more place in heaven for him, but he was cast out unto the earth and his angels were cast out with him.</w:t>
      </w:r>
      <w:r>
        <w:rPr>
          <w:rStyle w:val="FootnoteReference"/>
        </w:rPr>
        <w:footnoteReference w:id="2385"/>
      </w:r>
      <w:r>
        <w:t xml:space="preserve"> Again, his power gloriously appears in conquering in that kingdom wherein his pride and subtilty and cruelty above all appears, viz. the kingdom of Antichrist. It gloriously appears in conquering him in that greatest and strongest combination and opposition of the devil and his adherents</w:t>
      </w:r>
      <w:r>
        <w:rPr>
          <w:rStyle w:val="FootnoteReference"/>
        </w:rPr>
        <w:footnoteReference w:id="2386"/>
      </w:r>
      <w:r>
        <w:t xml:space="preserve"> against Christ and his church just before the fall of Antichrist, wherein his visible kingdom has a fatal blow given it, on which an universal downfall of it follows all over the world. The glorious power of God appears in thus conquering the devil, and</w:t>
      </w:r>
    </w:p>
    <w:p>
      <w:pPr>
        <w:pStyle w:val="SourcePage"/>
      </w:pPr>
      <w:r>
        <w:t xml:space="preserve">[p. 524]</w:t>
      </w:r>
    </w:p>
    <w:p>
      <w:pPr>
        <w:pStyle w:val="BodyText"/>
      </w:pPr>
      <w:r>
        <w:t xml:space="preserve">bringing of him under foot time after time, after long time given to strengthen himself to his utmost, as he was overthrown in his heathen Roman empire after he had been making himself strong in those parts of the world ever since the building of Babel; and in overthrowing his kingdom more fatally and universally all over the world after he had again another opportunity given him to strengthen himself to his utmost for many ages by setting up those two great kingdoms of Antichrist and Mohammed, and to establish his interest in the heathen world.</w:t>
      </w:r>
    </w:p>
    <w:p>
      <w:pPr>
        <w:pStyle w:val="BodyText"/>
      </w:pPr>
      <w:r>
        <w:t xml:space="preserve">We have seen how these kingdoms of God's enemies that before God appears look strong, as though it was impossible to overthrow 'em; yet time after time when God</w:t>
      </w:r>
      <w:r>
        <w:rPr>
          <w:rStyle w:val="FootnoteReference"/>
        </w:rPr>
        <w:footnoteReference w:id="2387"/>
      </w:r>
      <w:r>
        <w:t xml:space="preserve"> appears, do seem to melt away as the fat of lambs before the fire and are driven away as the chaff before the whirlwind or the smoke out of the chimney.</w:t>
      </w:r>
      <w:r>
        <w:rPr>
          <w:rStyle w:val="FootnoteReference"/>
        </w:rPr>
        <w:footnoteReference w:id="2388"/>
      </w:r>
      <w:r>
        <w:t xml:space="preserve"> Those mighty kingdoms of Antichrist and Mohammed that have made such a figure for so many ages together and have trampled the world under foot, when God comes to appear will vanish away like a shadow and will, as it were, disappear of themselves and come to nothing, as the darkness in a room does when a light is brought in. What are God's enemies in his hands; how is their greatest strength weakness when he rises up; and how weak will they all together appear at the day of judgment. Thus we may apply those words in the song of Moses, Exodus 15:6, "Thy right hand, O Lord, is become glorious in power: thy right hand, O Lord, hath dashed in pieces the enemy." And how great is the majesty of God's appearing in overturning the world from</w:t>
      </w:r>
      <w:r>
        <w:rPr>
          <w:rStyle w:val="FootnoteReference"/>
        </w:rPr>
        <w:footnoteReference w:id="2389"/>
      </w:r>
      <w:r>
        <w:t xml:space="preserve"> time to time and to accomplish his designs and at last in causing the earth and heavens to flee away for the advancement of the glory of his kingdom.</w:t>
      </w:r>
    </w:p>
    <w:p>
      <w:pPr>
        <w:pStyle w:val="BodyText"/>
      </w:pPr>
      <w:r>
        <w:t xml:space="preserve">VII.</w:t>
      </w:r>
      <w:r>
        <w:rPr>
          <w:rStyle w:val="FootnoteReference"/>
        </w:rPr>
        <w:footnoteReference w:id="2390"/>
      </w:r>
      <w:r>
        <w:t xml:space="preserve"> From what has been said we may see the glorious wisdom of God. It shows the wisdom of God in creating the world in that he has created it for such an excellent use, to accomplish in it so glorious a work. And it shows the wisdom of divine providence in it that he brings such great good out of such great evil, in making the fall and ruin of mankind, that in itself is so sorrowful and deplorable, an occasion of accomplishing such a glorious work as this Work of Redemption, and of erecting such a glorious building whose top should</w:t>
      </w:r>
    </w:p>
    <w:p>
      <w:pPr>
        <w:pStyle w:val="SourcePage"/>
      </w:pPr>
      <w:r>
        <w:t xml:space="preserve">[p. 525]</w:t>
      </w:r>
    </w:p>
    <w:p>
      <w:pPr>
        <w:pStyle w:val="BodyText"/>
      </w:pPr>
      <w:r>
        <w:t xml:space="preserve">reach unto heaven, and bringing his elect to a state of such unspeakable happiness. And how glorious is the wisdom of God appearing in that long course and series of great changes in the world, in bringing such order out of confusion, in so frustrating the devil, and so wonderfully turning all his most subtile machinations to his own glory and the glory of his Son, Jesus Christ. And in causing that the greatest works of</w:t>
      </w:r>
      <w:r>
        <w:rPr>
          <w:rStyle w:val="FootnoteReference"/>
        </w:rPr>
        <w:footnoteReference w:id="2391"/>
      </w:r>
      <w:r>
        <w:t xml:space="preserve"> Satan, those in which he has most gloried and prided himself, shall be turned to the very occasions of so much the more glorious triumph of his Son, Jesus Christ. And how wonderful is the wisdom [of God] in bringing all such manifold and various changes and overturnings in the world to such a glorious period at last; and so directing all the various wheels of providence by his skillful hand, that every one of them shall conspire, as the manifold wheels of a most curious machine, at last to strike out such an excellent issue, such a manifestation of his glory, such happiness to his people, and such a glorious and everlasting kingdom to his Son.</w:t>
      </w:r>
    </w:p>
    <w:p>
      <w:pPr>
        <w:pStyle w:val="BodyText"/>
      </w:pPr>
      <w:r>
        <w:t xml:space="preserve">VIII.</w:t>
      </w:r>
      <w:r>
        <w:rPr>
          <w:rStyle w:val="FootnoteReference"/>
        </w:rPr>
        <w:footnoteReference w:id="2392"/>
      </w:r>
      <w:r>
        <w:t xml:space="preserve"> From what has been said we may see the stability of God's mercy and faithfulness to his people, how he never forsakes his inheritance, and remembers his covenant to them through all generations. Now we may see what reason there was for the words of the text, "The moth shall eat them up [like a garment, and the worm shall eat them like wool: but my righteousness shall be for ever, and my salvation from generation to generation]." And now we may see abundant</w:t>
      </w:r>
      <w:r>
        <w:rPr>
          <w:rStyle w:val="FootnoteReference"/>
        </w:rPr>
        <w:footnoteReference w:id="2393"/>
      </w:r>
      <w:r>
        <w:t xml:space="preserve"> reason for that name of God which God reveals to Moses, Exodus 3:14, "And God said unto Moses, I am that I am,"</w:t>
      </w:r>
      <w:r>
        <w:rPr>
          <w:rStyle w:val="FootnoteReference"/>
        </w:rPr>
        <w:footnoteReference w:id="2394"/>
      </w:r>
      <w:r>
        <w:t xml:space="preserve"> i.e. I am the same that I was when I entered into covenant with Abraham, Isaac, and Jacob, and ever shall be the same; I shall keep covenant forever; I am self-sufficient, all-sufficient, faithful, and immutable. And now we may see the truth of that Psalms 36:5–6, "Thy mercy, O Lord, is in the heavens; and thy faithfulness reacheth unto the clouds. Thy righteousness is like the great mountains; thy judgments are a great deep." And if we consider what has been said we need not wonder that the psalmist in the Psalms 136 so often repeats over this, "For his mercy endureth forever, For his mercy endureth forever," as if he were in an ecstasy at the consideration of the perpetuity of God's mercy to his church, and delighted to think of it and knew not how</w:t>
      </w:r>
    </w:p>
    <w:p>
      <w:pPr>
        <w:pStyle w:val="SourcePage"/>
      </w:pPr>
      <w:r>
        <w:t xml:space="preserve">[p. 526]</w:t>
      </w:r>
    </w:p>
    <w:p>
      <w:pPr>
        <w:pStyle w:val="BodyText"/>
      </w:pPr>
      <w:r>
        <w:t xml:space="preserve">but continually to express it. Let us with like pleasure and joy celebrate the everlasting duration of God's mercy and faithfulness to his church and people.</w:t>
      </w:r>
      <w:r>
        <w:rPr>
          <w:rStyle w:val="FootnoteReference"/>
        </w:rPr>
        <w:footnoteReference w:id="2395"/>
      </w:r>
      <w:r>
        <w:t xml:space="preserve"> And let us be comforted by it under the present dark circumstances that the church of God is under, and all the uproar and confusions there are in the world, and all the threatenings of the church's enemies. And let us take encouragement earnestly to pray for those glorious things which God has promised to accomplish for his church.</w:t>
      </w:r>
    </w:p>
    <w:p>
      <w:pPr>
        <w:pStyle w:val="BodyText"/>
      </w:pPr>
      <w:r>
        <w:t xml:space="preserve">IX.</w:t>
      </w:r>
      <w:r>
        <w:rPr>
          <w:rStyle w:val="FootnoteReference"/>
        </w:rPr>
        <w:footnoteReference w:id="2396"/>
      </w:r>
      <w:r>
        <w:t xml:space="preserve"> Hence we learn how happy a society the church of Christ is: for all this great work is for them. Christ undertook it for their sakes, and for their sakes he carries it on from the fall of man to the end of the world. 'Tis because he has loved them with an everlasting love. For their sakes he overturns states and kingdoms, for their sakes he shakes heaven and earth. He gives men for them, and people for their life. Since they have been precious in God's eyes, they have been honorable; and therefore he first gives the blood of his own Son to them, and then for their sakes gives the blood of all their enemies, many thousands and millions, all nations that stand in their</w:t>
      </w:r>
      <w:r>
        <w:rPr>
          <w:rStyle w:val="FootnoteReference"/>
        </w:rPr>
        <w:footnoteReference w:id="2397"/>
      </w:r>
      <w:r>
        <w:t xml:space="preserve"> way, as a sacrifice to their good. For their sakes he made the world, and [for] their sakes he will destroy it. For their sakes he built heaven, and for their sakes he makes his angels ministering spirits.</w:t>
      </w:r>
    </w:p>
    <w:p>
      <w:pPr>
        <w:pStyle w:val="BodyText"/>
      </w:pPr>
      <w:r>
        <w:t xml:space="preserve">Therefore the Apostle says, as he does 1 Corinthians 3, latter end, "All things are yours."</w:t>
      </w:r>
      <w:r>
        <w:rPr>
          <w:rStyle w:val="FootnoteReference"/>
        </w:rPr>
        <w:footnoteReference w:id="2398"/>
      </w:r>
      <w:r>
        <w:t xml:space="preserve"> How blessed is this people who are the redeemed from amongst men, and are the firstfruits unto God</w:t>
      </w:r>
      <w:r>
        <w:rPr>
          <w:rStyle w:val="FootnoteReference"/>
        </w:rPr>
        <w:footnoteReference w:id="2399"/>
      </w:r>
      <w:r>
        <w:t xml:space="preserve"> and to the Lamb, that have God in all ages for their protection and help, Deuteronomy 33:29 ["Happy art thou, O Israel: who is like unto thee, O people saved by the Lord, the shield of thy help, and who is the sword of thy excellency! and thine enemies shall be found liars unto thee; and thou shalt tread upon their high places"]. Let who will prevail now; let the enemies of the church exalt themselves as much as they will. These are the people that shall finally prevail. The last kingdom shall be theirs; the kingdom shall finally be given into their hands, and shall not be left to other people.</w:t>
      </w:r>
      <w:r>
        <w:rPr>
          <w:rStyle w:val="FootnoteReference"/>
        </w:rPr>
        <w:footnoteReference w:id="2400"/>
      </w:r>
      <w:r>
        <w:t xml:space="preserve"> We have seen</w:t>
      </w:r>
    </w:p>
    <w:p>
      <w:pPr>
        <w:pStyle w:val="SourcePage"/>
      </w:pPr>
      <w:r>
        <w:t xml:space="preserve">[p. 527]</w:t>
      </w:r>
    </w:p>
    <w:p>
      <w:pPr>
        <w:pStyle w:val="BodyText"/>
      </w:pPr>
      <w:r>
        <w:t xml:space="preserve">what a blessed issue things shall finally be brought to as to them, and what glory they shall arrive at, and remain in forever and ever, after all the kingdoms of the world are come to an end and the earth is removed, and the mountains carried unto the depth of the sea or where the sea was, and this lower world shall all be dissolved. O happy people and blessed society: well may they spend an eternity in praises and halleluia to him who hath loved them from eternity, and will love them to eternity.</w:t>
      </w:r>
    </w:p>
    <w:p>
      <w:pPr>
        <w:pStyle w:val="BodyText"/>
      </w:pPr>
      <w:r>
        <w:t xml:space="preserve">X.</w:t>
      </w:r>
      <w:r>
        <w:rPr>
          <w:rStyle w:val="FootnoteReference"/>
        </w:rPr>
        <w:footnoteReference w:id="2401"/>
      </w:r>
      <w:r>
        <w:t xml:space="preserve"> And lastly, hence all wicked men, all that are in a Christless condition, may see their exceeding misery. You that are such, whoever you are, are those who have no part or lot in this matter; you are never the better for any of these things of which you have heard. Yea, your guilt is but so much the greater, and the misery you are exposed to so much the more dreadful.</w:t>
      </w:r>
      <w:r>
        <w:rPr>
          <w:rStyle w:val="FootnoteReference"/>
        </w:rPr>
        <w:footnoteReference w:id="2402"/>
      </w:r>
      <w:r>
        <w:t xml:space="preserve"> You are some of that sort that God in the progress of this work does so dreadfully manifest his wrath against, some of those enemies which are liable to be made Christ's footstool, and to be ruled over with a rod of iron, and to be dashed [in pieces];</w:t>
      </w:r>
      <w:r>
        <w:rPr>
          <w:rStyle w:val="FootnoteReference"/>
        </w:rPr>
        <w:footnoteReference w:id="2403"/>
      </w:r>
      <w:r>
        <w:t xml:space="preserve"> you are some of the seed of the serpent that it is one great design [of God to bruise the head of].</w:t>
      </w:r>
      <w:r>
        <w:rPr>
          <w:rStyle w:val="FootnoteReference"/>
        </w:rPr>
        <w:footnoteReference w:id="2404"/>
      </w:r>
      <w:r>
        <w:t xml:space="preserve"> Whatever glorious things God accomplishes for his church, if you continue in the state you are in, they will not be glorious to you. The most glorious times for the church are always the most dismal times to the wicked and impenitent. This we are taught in Isaiah 66:14 ["And when ye see this, your heart shall rejoice … and the hand of the Lord shall be known toward his servants, and his indignation toward his enemies"]. And so we find wherever glorious things are foretold. So it ever has been. So when God delivered the children of Israel out of Egypt, brought [them]</w:t>
      </w:r>
      <w:r>
        <w:rPr>
          <w:rStyle w:val="FootnoteReference"/>
        </w:rPr>
        <w:footnoteReference w:id="2405"/>
      </w:r>
      <w:r>
        <w:t xml:space="preserve"> into Canaan by Joshua, delivered people out of Babylonish captivity, called the Gentiles and saved his</w:t>
      </w:r>
      <w:r>
        <w:rPr>
          <w:rStyle w:val="FootnoteReference"/>
        </w:rPr>
        <w:footnoteReference w:id="2406"/>
      </w:r>
      <w:r>
        <w:t xml:space="preserve"> people by the preaching of the apostles, [and] accomplished that glory to his church [in the days of] Constantine. [So it will be at the] overthrow of Satan's visible kingdom, [and] at last, at [the] day of judgment.</w:t>
      </w:r>
    </w:p>
    <w:p>
      <w:pPr>
        <w:pStyle w:val="BodyText"/>
      </w:pPr>
      <w:r>
        <w:t xml:space="preserve">You are indeed some of that sort that God will make use of in this</w:t>
      </w:r>
    </w:p>
    <w:p>
      <w:pPr>
        <w:pStyle w:val="SourcePage"/>
      </w:pPr>
      <w:r>
        <w:t xml:space="preserve">[p. 528]</w:t>
      </w:r>
    </w:p>
    <w:p>
      <w:pPr>
        <w:pStyle w:val="BodyText"/>
      </w:pPr>
      <w:r>
        <w:t xml:space="preserve">affair; but 'tis for the glory of his justice. You [are] some of those enemies, reserved for the triumph of Christ's glorious power, of that sort that shall be consumed with this cursed world after the day of judgment when Christ and his church are ascended.</w:t>
      </w:r>
      <w:r>
        <w:rPr>
          <w:rStyle w:val="FootnoteReference"/>
        </w:rPr>
        <w:footnoteReference w:id="2407"/>
      </w:r>
      <w:r>
        <w:t xml:space="preserve"> Let all that are in a Christless condition amongst us seriously consider these things, and not be like the foolish people of the old world who would not take warning when Noah told 'em that ‹the Lord was about to bring a flood of waters upon the earth›, like the people of Sodom who would not regard it when Lot told 'em that God would destroy that place, and would not fly from the wrath to come, and so were consumed in that terrible destruction.</w:t>
      </w:r>
      <w:r>
        <w:rPr>
          <w:rStyle w:val="FootnoteReference"/>
        </w:rPr>
        <w:footnoteReference w:id="2408"/>
      </w:r>
    </w:p>
    <w:p>
      <w:pPr>
        <w:pStyle w:val="BodyText"/>
      </w:pPr>
      <w:r>
        <w:t xml:space="preserve">And [I] would now conclude my whole discourse on this subject with words like those in the last chapter of Revelation, "These sayings are faithful and true," and "blessed is he that keepeth these sayings." Behold, Christ "comes quickly,"</w:t>
      </w:r>
      <w:r>
        <w:rPr>
          <w:rStyle w:val="FootnoteReference"/>
        </w:rPr>
        <w:footnoteReference w:id="2409"/>
      </w:r>
      <w:r>
        <w:t xml:space="preserve"> and "his reward is with him to render to every man according as his work shall be." And thence "he that is unjust, shall be unjust still: [and he that is filthy, shall be filthy still: … and he that is holy, shall be holy still]."</w:t>
      </w:r>
      <w:r>
        <w:rPr>
          <w:rStyle w:val="FootnoteReference"/>
        </w:rPr>
        <w:footnoteReference w:id="2410"/>
      </w:r>
      <w:r>
        <w:t xml:space="preserve"> "Blessed are they that do his commandments, that they may have right to the tree of life, and may enter in through the gates into the city. For without are dogs, and sorcerers, and whoremongers, and murderers, and idolaters, and whosoever loveth and maketh a lie." "He that testifieth these things saith, Surely I come quickly. Amen, Even so, come, Lord Jesus."</w:t>
      </w:r>
    </w:p>
    <w:p>
      <w:pPr>
        <w:pStyle w:val="BodyText"/>
      </w:pPr>
      <w:r>
        <w:t xml:space="preserve">FINIS</w:t>
      </w:r>
      <w:r>
        <w:rPr>
          <w:rStyle w:val="FootnoteReference"/>
        </w:rPr>
        <w:footnoteReference w:id="2411"/>
      </w:r>
    </w:p>
    <w:p>
      <w:pPr>
        <w:pStyle w:val="SourcePage"/>
      </w:pPr>
      <w:r>
        <w:t xml:space="preserve">[p. 529]</w:t>
      </w:r>
    </w:p>
    <w:p>
      <w:pPr>
        <w:pStyle w:val="Heading1"/>
        <w:pageBreakBefore/>
      </w:pPr>
      <w:bookmarkStart w:name="heading_appendixes" w:id="94"/>
      <w:r>
        <w:t xml:space="preserve">APPENDIXES</w:t>
      </w:r>
      <w:bookmarkEnd w:id="94"/>
    </w:p>
    <w:p>
      <w:pPr>
        <w:pStyle w:val="SourcePage"/>
      </w:pPr>
      <w:r>
        <w:t xml:space="preserve">[p. 530]</w:t>
      </w:r>
    </w:p>
    <w:p>
      <w:pPr>
        <w:pStyle w:val="SourcePage"/>
      </w:pPr>
      <w:r>
        <w:t xml:space="preserve">[p. 531]</w:t>
      </w:r>
    </w:p>
    <w:p>
      <w:pPr>
        <w:pStyle w:val="Heading2"/>
      </w:pPr>
      <w:bookmarkStart w:name="heading_appendix_a_outline_of_the_re" w:id="95"/>
      <w:r>
        <w:t xml:space="preserve">APPENDIX A: OUTLINE OF THE REDEMPTION DISCOURSE</w:t>
      </w:r>
      <w:bookmarkEnd w:id="95"/>
    </w:p>
    <w:p>
      <w:pPr>
        <w:pStyle w:val="SourcePage"/>
      </w:pPr>
      <w:r>
        <w:t xml:space="preserve">[p. 532]</w:t>
      </w:r>
    </w:p>
    <w:p>
      <w:pPr>
        <w:pStyle w:val="SourcePage"/>
      </w:pPr>
      <w:r>
        <w:t xml:space="preserve">[p. 533]</w:t>
      </w:r>
    </w:p>
    <w:p>
      <w:pPr>
        <w:pStyle w:val="SourcePage"/>
      </w:pPr>
      <w:r>
        <w:t xml:space="preserve">[p. 534]</w:t>
      </w:r>
    </w:p>
    <w:p>
      <w:pPr>
        <w:pStyle w:val="SourcePage"/>
      </w:pPr>
      <w:r>
        <w:t xml:space="preserve">[p. 535]</w:t>
      </w:r>
    </w:p>
    <w:p>
      <w:pPr>
        <w:pStyle w:val="SourcePage"/>
      </w:pPr>
      <w:r>
        <w:t xml:space="preserve">[p. 536]</w:t>
      </w:r>
    </w:p>
    <w:p>
      <w:pPr>
        <w:pStyle w:val="SourcePage"/>
      </w:pPr>
      <w:r>
        <w:t xml:space="preserve">[p. 537]</w:t>
      </w:r>
    </w:p>
    <w:p>
      <w:pPr>
        <w:pStyle w:val="SourcePage"/>
      </w:pPr>
      <w:r>
        <w:t xml:space="preserve">[p. 538]</w:t>
      </w:r>
    </w:p>
    <w:p>
      <w:pPr>
        <w:pStyle w:val="SourcePage"/>
      </w:pPr>
      <w:r>
        <w:t xml:space="preserve">[p. 539]</w:t>
      </w:r>
    </w:p>
    <w:p>
      <w:pPr>
        <w:pStyle w:val="SourcePage"/>
      </w:pPr>
      <w:r>
        <w:t xml:space="preserve">[p. 540]</w:t>
      </w:r>
    </w:p>
    <w:p>
      <w:pPr>
        <w:pStyle w:val="SourcePage"/>
      </w:pPr>
      <w:r>
        <w:t xml:space="preserve">[p. 541]</w:t>
      </w:r>
    </w:p>
    <w:p>
      <w:pPr>
        <w:pStyle w:val="SourcePage"/>
      </w:pPr>
      <w:r>
        <w:t xml:space="preserve">[p. 542]</w:t>
      </w:r>
    </w:p>
    <w:p>
      <w:pPr>
        <w:pStyle w:val="OutlineRow"/>
        <w:ind w:left="1440"/>
      </w:pPr>
      <w:r>
        <w:t xml:space="preserve">SERMON 1</w:t>
      </w:r>
      <w:r>
        <w:t xml:space="preserve"> — </w:t>
      </w:r>
      <w:r>
        <w:rPr>
          <w:i/>
          <w:iCs/>
        </w:rPr>
        <w:t xml:space="preserve">1.1r</w:t>
      </w:r>
    </w:p>
    <w:p>
      <w:pPr>
        <w:pStyle w:val="OutlineRow"/>
        <w:ind w:left="1440"/>
      </w:pPr>
      <w:r>
        <w:t xml:space="preserve">TEXT IS. Isaiah 51:8</w:t>
      </w:r>
    </w:p>
    <w:p>
      <w:pPr>
        <w:pStyle w:val="OutlineRow"/>
        <w:ind w:left="288"/>
      </w:pPr>
      <w:r>
        <w:t xml:space="preserve">1.</w:t>
      </w:r>
      <w:r>
        <w:t xml:space="preserve"> — </w:t>
      </w:r>
      <w:r>
        <w:t xml:space="preserve">Shortlived power, prosperity of church's enemies</w:t>
      </w:r>
    </w:p>
    <w:p>
      <w:pPr>
        <w:pStyle w:val="OutlineRow"/>
        <w:ind w:left="288"/>
      </w:pPr>
      <w:r>
        <w:t xml:space="preserve">2.</w:t>
      </w:r>
      <w:r>
        <w:t xml:space="preserve"> — </w:t>
      </w:r>
      <w:r>
        <w:t xml:space="preserve">Happy lot and portion of God's church</w:t>
      </w:r>
      <w:r>
        <w:t xml:space="preserve"> — </w:t>
      </w:r>
      <w:r>
        <w:rPr>
          <w:i/>
          <w:iCs/>
        </w:rPr>
        <w:t xml:space="preserve">1.1v</w:t>
      </w:r>
    </w:p>
    <w:p>
      <w:pPr>
        <w:pStyle w:val="OutlineRow"/>
        <w:ind w:left="576"/>
      </w:pPr>
      <w:r>
        <w:t xml:space="preserve">(1.)</w:t>
      </w:r>
      <w:r>
        <w:t xml:space="preserve"> — </w:t>
      </w:r>
      <w:r>
        <w:t xml:space="preserve">God's righteousness, salvation</w:t>
      </w:r>
    </w:p>
    <w:p>
      <w:pPr>
        <w:pStyle w:val="OutlineRow"/>
        <w:ind w:left="576"/>
      </w:pPr>
      <w:r>
        <w:t xml:space="preserve">(2.)</w:t>
      </w:r>
      <w:r>
        <w:t xml:space="preserve"> — </w:t>
      </w:r>
      <w:r>
        <w:t xml:space="preserve">Its continuance</w:t>
      </w:r>
      <w:r>
        <w:t xml:space="preserve"> — </w:t>
      </w:r>
      <w:r>
        <w:rPr>
          <w:i/>
          <w:iCs/>
        </w:rPr>
        <w:t xml:space="preserve">1.2v</w:t>
      </w:r>
    </w:p>
    <w:p>
      <w:pPr>
        <w:pStyle w:val="OutlineRow"/>
        <w:ind w:left="1440"/>
      </w:pPr>
      <w:r>
        <w:t xml:space="preserve">DOCTRINE</w:t>
      </w:r>
      <w:r>
        <w:t xml:space="preserve"> — </w:t>
      </w:r>
      <w:r>
        <w:rPr>
          <w:i/>
          <w:iCs/>
        </w:rPr>
        <w:t xml:space="preserve">1.3v</w:t>
      </w:r>
    </w:p>
    <w:p>
      <w:pPr>
        <w:pStyle w:val="OutlineRow"/>
        <w:ind w:left="0"/>
      </w:pPr>
      <w:r>
        <w:t xml:space="preserve">I.</w:t>
      </w:r>
      <w:r>
        <w:t xml:space="preserve"> — </w:t>
      </w:r>
      <w:r>
        <w:t xml:space="preserve">Terms of doctrine</w:t>
      </w:r>
      <w:r>
        <w:t xml:space="preserve"> — </w:t>
      </w:r>
      <w:r>
        <w:rPr>
          <w:i/>
          <w:iCs/>
        </w:rPr>
        <w:t xml:space="preserve">1.4r</w:t>
      </w:r>
    </w:p>
    <w:p>
      <w:pPr>
        <w:pStyle w:val="OutlineRow"/>
        <w:ind w:left="1440"/>
      </w:pPr>
      <w:r>
        <w:t xml:space="preserve">First. Meanings of Work of Redemption</w:t>
      </w:r>
    </w:p>
    <w:p>
      <w:pPr>
        <w:pStyle w:val="OutlineRow"/>
        <w:ind w:left="1440"/>
      </w:pPr>
      <w:r>
        <w:t xml:space="preserve">Second. Observations</w:t>
      </w:r>
      <w:r>
        <w:t xml:space="preserve"> — </w:t>
      </w:r>
      <w:r>
        <w:rPr>
          <w:i/>
          <w:iCs/>
        </w:rPr>
        <w:t xml:space="preserve">1.5r</w:t>
      </w:r>
    </w:p>
    <w:p>
      <w:pPr>
        <w:pStyle w:val="OutlineRow"/>
        <w:ind w:left="288"/>
      </w:pPr>
      <w:r>
        <w:t xml:space="preserve">1.</w:t>
      </w:r>
      <w:r>
        <w:t xml:space="preserve"> — </w:t>
      </w:r>
      <w:r>
        <w:t xml:space="preserve">Begins before fall of man</w:t>
      </w:r>
      <w:r>
        <w:t xml:space="preserve"> — </w:t>
      </w:r>
      <w:r>
        <w:rPr>
          <w:i/>
          <w:iCs/>
        </w:rPr>
        <w:t xml:space="preserve">1.5v</w:t>
      </w:r>
    </w:p>
    <w:p>
      <w:pPr>
        <w:pStyle w:val="OutlineRow"/>
        <w:ind w:left="288"/>
      </w:pPr>
      <w:r>
        <w:t xml:space="preserve">2.</w:t>
      </w:r>
      <w:r>
        <w:t xml:space="preserve"> — </w:t>
      </w:r>
      <w:r>
        <w:t xml:space="preserve">Benefits are eternal</w:t>
      </w:r>
      <w:r>
        <w:t xml:space="preserve"> — </w:t>
      </w:r>
      <w:r>
        <w:rPr>
          <w:i/>
          <w:iCs/>
        </w:rPr>
        <w:t xml:space="preserve">1.6r</w:t>
      </w:r>
    </w:p>
    <w:p>
      <w:pPr>
        <w:pStyle w:val="OutlineRow"/>
        <w:ind w:left="288"/>
      </w:pPr>
      <w:r>
        <w:t xml:space="preserve">3.</w:t>
      </w:r>
      <w:r>
        <w:t xml:space="preserve"> — </w:t>
      </w:r>
      <w:r>
        <w:t xml:space="preserve">Inclusive scheme</w:t>
      </w:r>
      <w:r>
        <w:t xml:space="preserve"> — </w:t>
      </w:r>
      <w:r>
        <w:rPr>
          <w:i/>
          <w:iCs/>
        </w:rPr>
        <w:t xml:space="preserve">1.6v</w:t>
      </w:r>
    </w:p>
    <w:p>
      <w:pPr>
        <w:pStyle w:val="OutlineRow"/>
        <w:ind w:left="576"/>
      </w:pPr>
      <w:r>
        <w:t xml:space="preserve">a.</w:t>
      </w:r>
      <w:r>
        <w:t xml:space="preserve"> — </w:t>
      </w:r>
      <w:r>
        <w:t xml:space="preserve">Carried on in all ages</w:t>
      </w:r>
      <w:r>
        <w:t xml:space="preserve"> — </w:t>
      </w:r>
      <w:r>
        <w:rPr>
          <w:i/>
          <w:iCs/>
        </w:rPr>
        <w:t xml:space="preserve">1.7v</w:t>
      </w:r>
    </w:p>
    <w:p>
      <w:pPr>
        <w:pStyle w:val="OutlineRow"/>
        <w:ind w:left="576"/>
      </w:pPr>
      <w:r>
        <w:t xml:space="preserve">b.</w:t>
      </w:r>
      <w:r>
        <w:t xml:space="preserve"> — </w:t>
      </w:r>
      <w:r>
        <w:t xml:space="preserve">Carried on through diverse means</w:t>
      </w:r>
      <w:r>
        <w:t xml:space="preserve"> — </w:t>
      </w:r>
      <w:r>
        <w:rPr>
          <w:i/>
          <w:iCs/>
        </w:rPr>
        <w:t xml:space="preserve">1.8v</w:t>
      </w:r>
    </w:p>
    <w:p>
      <w:pPr>
        <w:pStyle w:val="OutlineRow"/>
        <w:ind w:left="0"/>
      </w:pPr>
      <w:r>
        <w:t xml:space="preserve">II.</w:t>
      </w:r>
      <w:r>
        <w:t xml:space="preserve"> — </w:t>
      </w:r>
      <w:r>
        <w:t xml:space="preserve">Design of Work of Redemption</w:t>
      </w:r>
      <w:r>
        <w:t xml:space="preserve"> — </w:t>
      </w:r>
      <w:r>
        <w:rPr>
          <w:i/>
          <w:iCs/>
        </w:rPr>
        <w:t xml:space="preserve">1.9v</w:t>
      </w:r>
    </w:p>
    <w:p>
      <w:pPr>
        <w:pStyle w:val="OutlineRow"/>
        <w:ind w:left="1440"/>
      </w:pPr>
      <w:r>
        <w:t xml:space="preserve">First. God's triumph over enemies</w:t>
      </w:r>
      <w:r>
        <w:t xml:space="preserve"> — </w:t>
      </w:r>
      <w:r>
        <w:rPr>
          <w:i/>
          <w:iCs/>
        </w:rPr>
        <w:t xml:space="preserve">1.10r</w:t>
      </w:r>
    </w:p>
    <w:p>
      <w:pPr>
        <w:pStyle w:val="OutlineRow"/>
        <w:ind w:left="1440"/>
      </w:pPr>
      <w:r>
        <w:t xml:space="preserve">Second. Restore what was destroyed in fall of man</w:t>
      </w:r>
      <w:r>
        <w:t xml:space="preserve"> — </w:t>
      </w:r>
      <w:r>
        <w:rPr>
          <w:i/>
          <w:iCs/>
        </w:rPr>
        <w:t xml:space="preserve">1.11r</w:t>
      </w:r>
    </w:p>
    <w:p>
      <w:pPr>
        <w:pStyle w:val="OutlineRow"/>
        <w:ind w:left="1440"/>
      </w:pPr>
      <w:r>
        <w:t xml:space="preserve">Third. Unify creation in Christ</w:t>
      </w:r>
      <w:r>
        <w:t xml:space="preserve"> — </w:t>
      </w:r>
      <w:r>
        <w:rPr>
          <w:i/>
          <w:iCs/>
        </w:rPr>
        <w:t xml:space="preserve">1.11v</w:t>
      </w:r>
    </w:p>
    <w:p>
      <w:pPr>
        <w:pStyle w:val="OutlineRow"/>
        <w:ind w:left="1440"/>
      </w:pPr>
      <w:r>
        <w:t xml:space="preserve">Fourth. Glorify whole church</w:t>
      </w:r>
      <w:r>
        <w:t xml:space="preserve"> — </w:t>
      </w:r>
      <w:r>
        <w:rPr>
          <w:i/>
          <w:iCs/>
        </w:rPr>
        <w:t xml:space="preserve">1.12r</w:t>
      </w:r>
    </w:p>
    <w:p>
      <w:pPr>
        <w:pStyle w:val="OutlineRow"/>
        <w:ind w:left="1440"/>
      </w:pPr>
      <w:r>
        <w:t xml:space="preserve">Fifth. Glorify Trinity</w:t>
      </w:r>
      <w:r>
        <w:t xml:space="preserve"> — </w:t>
      </w:r>
      <w:r>
        <w:rPr>
          <w:i/>
          <w:iCs/>
        </w:rPr>
        <w:t xml:space="preserve">1.12v</w:t>
      </w:r>
    </w:p>
    <w:p>
      <w:pPr>
        <w:pStyle w:val="OutlineRow"/>
        <w:ind w:left="1440"/>
      </w:pPr>
      <w:r>
        <w:t xml:space="preserve">SERMON 2</w:t>
      </w:r>
      <w:r>
        <w:t xml:space="preserve"> — </w:t>
      </w:r>
      <w:r>
        <w:rPr>
          <w:i/>
          <w:iCs/>
        </w:rPr>
        <w:t xml:space="preserve">1.13r</w:t>
      </w:r>
    </w:p>
    <w:p>
      <w:pPr>
        <w:pStyle w:val="OutlineRow"/>
        <w:ind w:left="0"/>
      </w:pPr>
      <w:r>
        <w:t xml:space="preserve">III.</w:t>
      </w:r>
      <w:r>
        <w:t xml:space="preserve"> — </w:t>
      </w:r>
      <w:r>
        <w:t xml:space="preserve">Three periods, three propositions</w:t>
      </w:r>
      <w:r>
        <w:t xml:space="preserve"> — </w:t>
      </w:r>
      <w:r>
        <w:rPr>
          <w:i/>
          <w:iCs/>
        </w:rPr>
        <w:t xml:space="preserve">1.13v</w:t>
      </w:r>
    </w:p>
    <w:p>
      <w:pPr>
        <w:pStyle w:val="OutlineRow"/>
        <w:ind w:left="1440"/>
      </w:pPr>
      <w:r>
        <w:t xml:space="preserve">First. Fall to incarnation Proposition One</w:t>
      </w:r>
      <w:r>
        <w:t xml:space="preserve"> — </w:t>
      </w:r>
      <w:r>
        <w:rPr>
          <w:i/>
          <w:iCs/>
        </w:rPr>
        <w:t xml:space="preserve">1.14r</w:t>
      </w:r>
    </w:p>
    <w:p>
      <w:pPr>
        <w:pStyle w:val="OutlineRow"/>
        <w:ind w:left="288"/>
      </w:pPr>
      <w:r>
        <w:t xml:space="preserve">1.</w:t>
      </w:r>
      <w:r>
        <w:t xml:space="preserve"> — </w:t>
      </w:r>
      <w:r>
        <w:t xml:space="preserve">Fall to flood</w:t>
      </w:r>
      <w:r>
        <w:t xml:space="preserve"> — </w:t>
      </w:r>
      <w:r>
        <w:rPr>
          <w:i/>
          <w:iCs/>
        </w:rPr>
        <w:t xml:space="preserve">1.15r</w:t>
      </w:r>
    </w:p>
    <w:p>
      <w:pPr>
        <w:pStyle w:val="OutlineRow"/>
        <w:ind w:left="576"/>
      </w:pPr>
      <w:r>
        <w:t xml:space="preserve">a.</w:t>
      </w:r>
      <w:r>
        <w:t xml:space="preserve"> — </w:t>
      </w:r>
      <w:r>
        <w:t xml:space="preserve">Christ as mediator</w:t>
      </w:r>
    </w:p>
    <w:p>
      <w:pPr>
        <w:pStyle w:val="OutlineRow"/>
        <w:ind w:left="576"/>
      </w:pPr>
      <w:r>
        <w:t xml:space="preserve">b.</w:t>
      </w:r>
      <w:r>
        <w:t xml:space="preserve"> — </w:t>
      </w:r>
      <w:r>
        <w:t xml:space="preserve">Revelation of gospel</w:t>
      </w:r>
      <w:r>
        <w:t xml:space="preserve"> — </w:t>
      </w:r>
      <w:r>
        <w:rPr>
          <w:i/>
          <w:iCs/>
        </w:rPr>
        <w:t xml:space="preserve">1.17v</w:t>
      </w:r>
    </w:p>
    <w:p>
      <w:pPr>
        <w:pStyle w:val="OutlineRow"/>
        <w:ind w:left="576"/>
      </w:pPr>
      <w:r>
        <w:t xml:space="preserve">c.</w:t>
      </w:r>
      <w:r>
        <w:t xml:space="preserve"> — </w:t>
      </w:r>
      <w:r>
        <w:t xml:space="preserve">Sacrificing as type of Christ</w:t>
      </w:r>
      <w:r>
        <w:t xml:space="preserve"> — </w:t>
      </w:r>
      <w:r>
        <w:rPr>
          <w:i/>
          <w:iCs/>
        </w:rPr>
        <w:t xml:space="preserve">1.19r</w:t>
      </w:r>
    </w:p>
    <w:p>
      <w:pPr>
        <w:pStyle w:val="OutlineRow"/>
        <w:ind w:left="576"/>
      </w:pPr>
      <w:r>
        <w:t xml:space="preserve">d.</w:t>
      </w:r>
      <w:r>
        <w:t xml:space="preserve"> — </w:t>
      </w:r>
      <w:r>
        <w:t xml:space="preserve">Salvation of souls</w:t>
      </w:r>
      <w:r>
        <w:t xml:space="preserve"> — </w:t>
      </w:r>
      <w:r>
        <w:rPr>
          <w:i/>
          <w:iCs/>
        </w:rPr>
        <w:t xml:space="preserve">1.22v</w:t>
      </w:r>
    </w:p>
    <w:p>
      <w:pPr>
        <w:pStyle w:val="OutlineRow"/>
        <w:ind w:left="1440"/>
      </w:pPr>
      <w:r>
        <w:t xml:space="preserve">SERMON 3</w:t>
      </w:r>
      <w:r>
        <w:t xml:space="preserve"> — </w:t>
      </w:r>
      <w:r>
        <w:rPr>
          <w:i/>
          <w:iCs/>
        </w:rPr>
        <w:t xml:space="preserve">1.24v</w:t>
      </w:r>
    </w:p>
    <w:p>
      <w:pPr>
        <w:pStyle w:val="OutlineRow"/>
        <w:ind w:left="576"/>
      </w:pPr>
      <w:r>
        <w:t xml:space="preserve">e.</w:t>
      </w:r>
      <w:r>
        <w:t xml:space="preserve"> — </w:t>
      </w:r>
      <w:r>
        <w:t xml:space="preserve">Pouring out of Spirit</w:t>
      </w:r>
    </w:p>
    <w:p>
      <w:pPr>
        <w:pStyle w:val="OutlineRow"/>
        <w:ind w:left="576"/>
      </w:pPr>
      <w:r>
        <w:t xml:space="preserve">f.</w:t>
      </w:r>
      <w:r>
        <w:t xml:space="preserve"> — </w:t>
      </w:r>
      <w:r>
        <w:t xml:space="preserve">Holy life of Enoch</w:t>
      </w:r>
      <w:r>
        <w:t xml:space="preserve"> — </w:t>
      </w:r>
      <w:r>
        <w:rPr>
          <w:i/>
          <w:iCs/>
        </w:rPr>
        <w:t xml:space="preserve">1.26v</w:t>
      </w:r>
    </w:p>
    <w:p>
      <w:pPr>
        <w:pStyle w:val="OutlineRow"/>
        <w:ind w:left="576"/>
      </w:pPr>
      <w:r>
        <w:t xml:space="preserve">g.</w:t>
      </w:r>
      <w:r>
        <w:t xml:space="preserve"> — </w:t>
      </w:r>
      <w:r>
        <w:t xml:space="preserve">Prophecy of Christ</w:t>
      </w:r>
      <w:r>
        <w:t xml:space="preserve"> — </w:t>
      </w:r>
      <w:r>
        <w:rPr>
          <w:i/>
          <w:iCs/>
        </w:rPr>
        <w:t xml:space="preserve">1.27r</w:t>
      </w:r>
    </w:p>
    <w:p>
      <w:pPr>
        <w:pStyle w:val="OutlineRow"/>
        <w:ind w:left="576"/>
      </w:pPr>
      <w:r>
        <w:t xml:space="preserve">h.</w:t>
      </w:r>
      <w:r>
        <w:t xml:space="preserve"> — </w:t>
      </w:r>
      <w:r>
        <w:t xml:space="preserve">Translation of Enoch into heaven</w:t>
      </w:r>
      <w:r>
        <w:t xml:space="preserve"> — </w:t>
      </w:r>
      <w:r>
        <w:rPr>
          <w:i/>
          <w:iCs/>
        </w:rPr>
        <w:t xml:space="preserve">1.28v</w:t>
      </w:r>
    </w:p>
    <w:p>
      <w:pPr>
        <w:pStyle w:val="OutlineRow"/>
        <w:ind w:left="576"/>
      </w:pPr>
      <w:r>
        <w:t xml:space="preserve">i.</w:t>
      </w:r>
      <w:r>
        <w:t xml:space="preserve"> — </w:t>
      </w:r>
      <w:r>
        <w:t xml:space="preserve">Protection of church through flood</w:t>
      </w:r>
      <w:r>
        <w:t xml:space="preserve"> — </w:t>
      </w:r>
      <w:r>
        <w:rPr>
          <w:i/>
          <w:iCs/>
        </w:rPr>
        <w:t xml:space="preserve">1.30r</w:t>
      </w:r>
    </w:p>
    <w:p>
      <w:pPr>
        <w:pStyle w:val="OutlineRow"/>
        <w:ind w:left="288"/>
      </w:pPr>
      <w:r>
        <w:t xml:space="preserve">2.</w:t>
      </w:r>
      <w:r>
        <w:t xml:space="preserve"> — </w:t>
      </w:r>
      <w:r>
        <w:t xml:space="preserve">Flood to Abraham</w:t>
      </w:r>
      <w:r>
        <w:t xml:space="preserve"> — </w:t>
      </w:r>
      <w:r>
        <w:rPr>
          <w:i/>
          <w:iCs/>
        </w:rPr>
        <w:t xml:space="preserve">1.32r</w:t>
      </w:r>
    </w:p>
    <w:p>
      <w:pPr>
        <w:pStyle w:val="OutlineRow"/>
        <w:ind w:left="576"/>
      </w:pPr>
      <w:r>
        <w:t xml:space="preserve">a.</w:t>
      </w:r>
      <w:r>
        <w:t xml:space="preserve"> — </w:t>
      </w:r>
      <w:r>
        <w:t xml:space="preserve">Flood the work of God</w:t>
      </w:r>
    </w:p>
    <w:p>
      <w:pPr>
        <w:pStyle w:val="OutlineRow"/>
        <w:ind w:left="576"/>
      </w:pPr>
      <w:r>
        <w:t xml:space="preserve">b.</w:t>
      </w:r>
      <w:r>
        <w:t xml:space="preserve"> — </w:t>
      </w:r>
      <w:r>
        <w:t xml:space="preserve">Preserving family of Redeemer</w:t>
      </w:r>
      <w:r>
        <w:t xml:space="preserve"> — </w:t>
      </w:r>
      <w:r>
        <w:rPr>
          <w:i/>
          <w:iCs/>
        </w:rPr>
        <w:t xml:space="preserve">1.34v</w:t>
      </w:r>
    </w:p>
    <w:p>
      <w:pPr>
        <w:pStyle w:val="OutlineRow"/>
        <w:ind w:left="576"/>
      </w:pPr>
      <w:r>
        <w:t xml:space="preserve">c.</w:t>
      </w:r>
      <w:r>
        <w:t xml:space="preserve"> — </w:t>
      </w:r>
      <w:r>
        <w:t xml:space="preserve">Grant of earth to Noah</w:t>
      </w:r>
      <w:r>
        <w:t xml:space="preserve"> — </w:t>
      </w:r>
      <w:r>
        <w:rPr>
          <w:i/>
          <w:iCs/>
        </w:rPr>
        <w:t xml:space="preserve">1.35r</w:t>
      </w:r>
    </w:p>
    <w:p>
      <w:pPr>
        <w:pStyle w:val="OutlineRow"/>
        <w:ind w:left="576"/>
      </w:pPr>
      <w:r>
        <w:t xml:space="preserve">d.</w:t>
      </w:r>
      <w:r>
        <w:t xml:space="preserve"> — </w:t>
      </w:r>
      <w:r>
        <w:t xml:space="preserve">Renewal of covenant of grace</w:t>
      </w:r>
      <w:r>
        <w:t xml:space="preserve"> — </w:t>
      </w:r>
      <w:r>
        <w:rPr>
          <w:i/>
          <w:iCs/>
        </w:rPr>
        <w:t xml:space="preserve">1.37r</w:t>
      </w:r>
    </w:p>
    <w:p>
      <w:pPr>
        <w:pStyle w:val="OutlineRow"/>
        <w:ind w:left="576"/>
      </w:pPr>
      <w:r>
        <w:t xml:space="preserve">e.</w:t>
      </w:r>
      <w:r>
        <w:t xml:space="preserve"> — </w:t>
      </w:r>
      <w:r>
        <w:t xml:space="preserve">Tower of Babel</w:t>
      </w:r>
      <w:r>
        <w:t xml:space="preserve"> — </w:t>
      </w:r>
      <w:r>
        <w:rPr>
          <w:i/>
          <w:iCs/>
        </w:rPr>
        <w:t xml:space="preserve">1.38v</w:t>
      </w:r>
    </w:p>
    <w:p>
      <w:pPr>
        <w:pStyle w:val="OutlineRow"/>
        <w:ind w:left="576"/>
      </w:pPr>
      <w:r>
        <w:t xml:space="preserve">f.</w:t>
      </w:r>
      <w:r>
        <w:t xml:space="preserve"> — </w:t>
      </w:r>
      <w:r>
        <w:t xml:space="preserve">Dispersing nations</w:t>
      </w:r>
      <w:r>
        <w:t xml:space="preserve"> — </w:t>
      </w:r>
      <w:r>
        <w:rPr>
          <w:i/>
          <w:iCs/>
        </w:rPr>
        <w:t xml:space="preserve">1.40r</w:t>
      </w:r>
    </w:p>
    <w:p>
      <w:pPr>
        <w:pStyle w:val="OutlineRow"/>
        <w:ind w:left="576"/>
      </w:pPr>
      <w:r>
        <w:t xml:space="preserve">g.</w:t>
      </w:r>
      <w:r>
        <w:t xml:space="preserve"> — </w:t>
      </w:r>
      <w:r>
        <w:t xml:space="preserve">Preserving true religion</w:t>
      </w:r>
      <w:r>
        <w:t xml:space="preserve"> — </w:t>
      </w:r>
      <w:r>
        <w:rPr>
          <w:i/>
          <w:iCs/>
        </w:rPr>
        <w:t xml:space="preserve">1.37v</w:t>
      </w:r>
    </w:p>
    <w:p>
      <w:pPr>
        <w:pStyle w:val="OutlineRow"/>
        <w:ind w:left="1440"/>
      </w:pPr>
      <w:r>
        <w:t xml:space="preserve">SERMON 4</w:t>
      </w:r>
      <w:r>
        <w:t xml:space="preserve"> — </w:t>
      </w:r>
      <w:r>
        <w:rPr>
          <w:i/>
          <w:iCs/>
        </w:rPr>
        <w:t xml:space="preserve">2.1r</w:t>
      </w:r>
    </w:p>
    <w:p>
      <w:pPr>
        <w:pStyle w:val="OutlineRow"/>
        <w:ind w:left="288"/>
      </w:pPr>
      <w:r>
        <w:t xml:space="preserve">3.</w:t>
      </w:r>
      <w:r>
        <w:t xml:space="preserve"> — </w:t>
      </w:r>
      <w:r>
        <w:t xml:space="preserve">Abraham to Moses</w:t>
      </w:r>
    </w:p>
    <w:p>
      <w:pPr>
        <w:pStyle w:val="OutlineRow"/>
        <w:ind w:left="576"/>
      </w:pPr>
      <w:r>
        <w:t xml:space="preserve">a.</w:t>
      </w:r>
      <w:r>
        <w:t xml:space="preserve"> — </w:t>
      </w:r>
      <w:r>
        <w:t xml:space="preserve">Calling of Abraham</w:t>
      </w:r>
    </w:p>
    <w:p>
      <w:pPr>
        <w:pStyle w:val="OutlineRow"/>
        <w:ind w:left="576"/>
      </w:pPr>
      <w:r>
        <w:t xml:space="preserve">b.</w:t>
      </w:r>
      <w:r>
        <w:t xml:space="preserve"> — </w:t>
      </w:r>
      <w:r>
        <w:t xml:space="preserve">Revelation of covenant of grace</w:t>
      </w:r>
      <w:r>
        <w:t xml:space="preserve"> — </w:t>
      </w:r>
      <w:r>
        <w:rPr>
          <w:i/>
          <w:iCs/>
        </w:rPr>
        <w:t xml:space="preserve">2.3v</w:t>
      </w:r>
    </w:p>
    <w:p>
      <w:pPr>
        <w:pStyle w:val="OutlineRow"/>
        <w:ind w:left="576"/>
      </w:pPr>
      <w:r>
        <w:t xml:space="preserve">c.</w:t>
      </w:r>
      <w:r>
        <w:t xml:space="preserve"> — </w:t>
      </w:r>
      <w:r>
        <w:t xml:space="preserve">Preservation of patriarchs</w:t>
      </w:r>
      <w:r>
        <w:t xml:space="preserve"> — </w:t>
      </w:r>
      <w:r>
        <w:rPr>
          <w:i/>
          <w:iCs/>
        </w:rPr>
        <w:t xml:space="preserve">2.7r</w:t>
      </w:r>
    </w:p>
    <w:p>
      <w:pPr>
        <w:pStyle w:val="OutlineRow"/>
        <w:ind w:left="576"/>
      </w:pPr>
      <w:r>
        <w:t xml:space="preserve">d.</w:t>
      </w:r>
      <w:r>
        <w:t xml:space="preserve"> — </w:t>
      </w:r>
      <w:r>
        <w:t xml:space="preserve">Destruction of Sodom and Gomorrah</w:t>
      </w:r>
      <w:r>
        <w:t xml:space="preserve"> — </w:t>
      </w:r>
      <w:r>
        <w:rPr>
          <w:i/>
          <w:iCs/>
        </w:rPr>
        <w:t xml:space="preserve">2.9r</w:t>
      </w:r>
    </w:p>
    <w:p>
      <w:pPr>
        <w:pStyle w:val="OutlineRow"/>
        <w:ind w:left="576"/>
      </w:pPr>
      <w:r>
        <w:t xml:space="preserve">e.</w:t>
      </w:r>
      <w:r>
        <w:t xml:space="preserve"> — </w:t>
      </w:r>
      <w:r>
        <w:t xml:space="preserve">Covenants with Isaac and Jacob</w:t>
      </w:r>
      <w:r>
        <w:t xml:space="preserve"> — </w:t>
      </w:r>
      <w:r>
        <w:rPr>
          <w:i/>
          <w:iCs/>
        </w:rPr>
        <w:t xml:space="preserve">2.11v</w:t>
      </w:r>
    </w:p>
    <w:p>
      <w:pPr>
        <w:pStyle w:val="OutlineRow"/>
        <w:ind w:left="576"/>
      </w:pPr>
      <w:r>
        <w:t xml:space="preserve">f.</w:t>
      </w:r>
      <w:r>
        <w:t xml:space="preserve"> — </w:t>
      </w:r>
      <w:r>
        <w:t xml:space="preserve">Preservation of Joseph</w:t>
      </w:r>
      <w:r>
        <w:t xml:space="preserve"> — </w:t>
      </w:r>
      <w:r>
        <w:rPr>
          <w:i/>
          <w:iCs/>
        </w:rPr>
        <w:t xml:space="preserve">2.12v</w:t>
      </w:r>
    </w:p>
    <w:p>
      <w:pPr>
        <w:pStyle w:val="OutlineRow"/>
        <w:ind w:left="576"/>
      </w:pPr>
      <w:r>
        <w:t xml:space="preserve">g.</w:t>
      </w:r>
      <w:r>
        <w:t xml:space="preserve"> — </w:t>
      </w:r>
      <w:r>
        <w:t xml:space="preserve">Prophecy of Christ</w:t>
      </w:r>
      <w:r>
        <w:t xml:space="preserve"> — </w:t>
      </w:r>
      <w:r>
        <w:rPr>
          <w:i/>
          <w:iCs/>
        </w:rPr>
        <w:t xml:space="preserve">2.13v</w:t>
      </w:r>
    </w:p>
    <w:p>
      <w:pPr>
        <w:pStyle w:val="OutlineRow"/>
        <w:ind w:left="1440"/>
      </w:pPr>
      <w:r>
        <w:t xml:space="preserve">SERMON 5</w:t>
      </w:r>
      <w:r>
        <w:t xml:space="preserve"> — </w:t>
      </w:r>
      <w:r>
        <w:rPr>
          <w:i/>
          <w:iCs/>
        </w:rPr>
        <w:t xml:space="preserve">2.13r</w:t>
      </w:r>
    </w:p>
    <w:p>
      <w:pPr>
        <w:pStyle w:val="OutlineRow"/>
        <w:ind w:left="576"/>
      </w:pPr>
      <w:r>
        <w:t xml:space="preserve">h.</w:t>
      </w:r>
      <w:r>
        <w:t xml:space="preserve"> — </w:t>
      </w:r>
      <w:r>
        <w:t xml:space="preserve">Preservation of Israel in Egypt</w:t>
      </w:r>
    </w:p>
    <w:p>
      <w:pPr>
        <w:pStyle w:val="OutlineRow"/>
        <w:ind w:left="576"/>
      </w:pPr>
      <w:r>
        <w:t xml:space="preserve">i.</w:t>
      </w:r>
      <w:r>
        <w:t xml:space="preserve"> — </w:t>
      </w:r>
      <w:r>
        <w:t xml:space="preserve">Preservation of invisible church.</w:t>
      </w:r>
      <w:r>
        <w:t xml:space="preserve"> — </w:t>
      </w:r>
      <w:r>
        <w:rPr>
          <w:i/>
          <w:iCs/>
        </w:rPr>
        <w:t xml:space="preserve">2.14v</w:t>
      </w:r>
    </w:p>
    <w:p>
      <w:pPr>
        <w:pStyle w:val="OutlineRow"/>
        <w:ind w:left="288"/>
      </w:pPr>
      <w:r>
        <w:t xml:space="preserve">4.</w:t>
      </w:r>
      <w:r>
        <w:t xml:space="preserve"> — </w:t>
      </w:r>
      <w:r>
        <w:t xml:space="preserve">Moses to David</w:t>
      </w:r>
      <w:r>
        <w:t xml:space="preserve"> — </w:t>
      </w:r>
      <w:r>
        <w:rPr>
          <w:i/>
          <w:iCs/>
        </w:rPr>
        <w:t xml:space="preserve">2.15v</w:t>
      </w:r>
    </w:p>
    <w:p>
      <w:pPr>
        <w:pStyle w:val="OutlineRow"/>
        <w:ind w:left="576"/>
      </w:pPr>
      <w:r>
        <w:t xml:space="preserve">a.</w:t>
      </w:r>
      <w:r>
        <w:t xml:space="preserve"> — </w:t>
      </w:r>
      <w:r>
        <w:t xml:space="preserve">Redemption out of Egypt</w:t>
      </w:r>
    </w:p>
    <w:p>
      <w:pPr>
        <w:pStyle w:val="OutlineRow"/>
        <w:ind w:left="576"/>
      </w:pPr>
      <w:r>
        <w:t xml:space="preserve">b.</w:t>
      </w:r>
      <w:r>
        <w:t xml:space="preserve"> — </w:t>
      </w:r>
      <w:r>
        <w:t xml:space="preserve">Rejection of others</w:t>
      </w:r>
      <w:r>
        <w:t xml:space="preserve"> — </w:t>
      </w:r>
      <w:r>
        <w:rPr>
          <w:i/>
          <w:iCs/>
        </w:rPr>
        <w:t xml:space="preserve">2.18v</w:t>
      </w:r>
    </w:p>
    <w:p>
      <w:pPr>
        <w:pStyle w:val="OutlineRow"/>
        <w:ind w:left="576"/>
      </w:pPr>
      <w:r>
        <w:t xml:space="preserve">c.</w:t>
      </w:r>
      <w:r>
        <w:t xml:space="preserve"> — </w:t>
      </w:r>
      <w:r>
        <w:t xml:space="preserve">Moral law at Sinai</w:t>
      </w:r>
      <w:r>
        <w:t xml:space="preserve"> — </w:t>
      </w:r>
      <w:r>
        <w:rPr>
          <w:i/>
          <w:iCs/>
        </w:rPr>
        <w:t xml:space="preserve">2.21r</w:t>
      </w:r>
    </w:p>
    <w:p>
      <w:pPr>
        <w:pStyle w:val="OutlineRow"/>
        <w:ind w:left="576"/>
      </w:pPr>
      <w:r>
        <w:t xml:space="preserve">d.</w:t>
      </w:r>
      <w:r>
        <w:t xml:space="preserve"> — </w:t>
      </w:r>
      <w:r>
        <w:t xml:space="preserve">Typical law given</w:t>
      </w:r>
      <w:r>
        <w:t xml:space="preserve"> — </w:t>
      </w:r>
      <w:r>
        <w:rPr>
          <w:i/>
          <w:iCs/>
        </w:rPr>
        <w:t xml:space="preserve">2.22r</w:t>
      </w:r>
    </w:p>
    <w:p>
      <w:pPr>
        <w:pStyle w:val="OutlineRow"/>
        <w:ind w:left="576"/>
      </w:pPr>
      <w:r>
        <w:t xml:space="preserve">e.</w:t>
      </w:r>
      <w:r>
        <w:t xml:space="preserve"> — </w:t>
      </w:r>
      <w:r>
        <w:t xml:space="preserve">First written word of God</w:t>
      </w:r>
      <w:r>
        <w:t xml:space="preserve"> — </w:t>
      </w:r>
      <w:r>
        <w:rPr>
          <w:i/>
          <w:iCs/>
        </w:rPr>
        <w:t xml:space="preserve">2.23r</w:t>
      </w:r>
    </w:p>
    <w:p>
      <w:pPr>
        <w:pStyle w:val="OutlineRow"/>
        <w:ind w:left="576"/>
      </w:pPr>
      <w:r>
        <w:t xml:space="preserve">f.</w:t>
      </w:r>
      <w:r>
        <w:t xml:space="preserve"> — </w:t>
      </w:r>
      <w:r>
        <w:t xml:space="preserve">Journey to Canaan</w:t>
      </w:r>
      <w:r>
        <w:t xml:space="preserve"> — </w:t>
      </w:r>
      <w:r>
        <w:rPr>
          <w:i/>
          <w:iCs/>
        </w:rPr>
        <w:t xml:space="preserve">2.24r</w:t>
      </w:r>
    </w:p>
    <w:p>
      <w:pPr>
        <w:pStyle w:val="OutlineRow"/>
        <w:ind w:left="576"/>
      </w:pPr>
      <w:r>
        <w:t xml:space="preserve">g.</w:t>
      </w:r>
      <w:r>
        <w:t xml:space="preserve"> — </w:t>
      </w:r>
      <w:r>
        <w:t xml:space="preserve">Shortening of human life</w:t>
      </w:r>
      <w:r>
        <w:t xml:space="preserve"> — </w:t>
      </w:r>
      <w:r>
        <w:rPr>
          <w:i/>
          <w:iCs/>
        </w:rPr>
        <w:t xml:space="preserve">2.25r</w:t>
      </w:r>
    </w:p>
    <w:p>
      <w:pPr>
        <w:pStyle w:val="OutlineRow"/>
        <w:ind w:left="1440"/>
      </w:pPr>
      <w:r>
        <w:t xml:space="preserve">SERMON 6</w:t>
      </w:r>
      <w:r>
        <w:t xml:space="preserve"> — </w:t>
      </w:r>
      <w:r>
        <w:rPr>
          <w:i/>
          <w:iCs/>
        </w:rPr>
        <w:t xml:space="preserve">2.26r</w:t>
      </w:r>
    </w:p>
    <w:p>
      <w:pPr>
        <w:pStyle w:val="OutlineRow"/>
        <w:ind w:left="576"/>
      </w:pPr>
      <w:r>
        <w:t xml:space="preserve">h.</w:t>
      </w:r>
      <w:r>
        <w:t xml:space="preserve"> — </w:t>
      </w:r>
      <w:r>
        <w:t xml:space="preserve">Preservation of Israel in wilderness</w:t>
      </w:r>
      <w:r>
        <w:t xml:space="preserve"> — </w:t>
      </w:r>
      <w:r>
        <w:rPr>
          <w:i/>
          <w:iCs/>
        </w:rPr>
        <w:t xml:space="preserve">2.26v</w:t>
      </w:r>
    </w:p>
    <w:p>
      <w:pPr>
        <w:pStyle w:val="OutlineRow"/>
        <w:ind w:left="576"/>
      </w:pPr>
      <w:r>
        <w:t xml:space="preserve">i.</w:t>
      </w:r>
      <w:r>
        <w:t xml:space="preserve"> — </w:t>
      </w:r>
      <w:r>
        <w:t xml:space="preserve">Prophecies of Christ</w:t>
      </w:r>
      <w:r>
        <w:t xml:space="preserve"> — </w:t>
      </w:r>
      <w:r>
        <w:rPr>
          <w:i/>
          <w:iCs/>
        </w:rPr>
        <w:t xml:space="preserve">2.27r</w:t>
      </w:r>
    </w:p>
    <w:p>
      <w:pPr>
        <w:pStyle w:val="OutlineRow"/>
        <w:ind w:left="576"/>
      </w:pPr>
      <w:r>
        <w:t xml:space="preserve">j.</w:t>
      </w:r>
      <w:r>
        <w:t xml:space="preserve"> — </w:t>
      </w:r>
      <w:r>
        <w:t xml:space="preserve">Pouring of Spirit</w:t>
      </w:r>
      <w:r>
        <w:t xml:space="preserve"> — </w:t>
      </w:r>
      <w:r>
        <w:rPr>
          <w:i/>
          <w:iCs/>
        </w:rPr>
        <w:t xml:space="preserve">2.28v</w:t>
      </w:r>
    </w:p>
    <w:p>
      <w:pPr>
        <w:pStyle w:val="OutlineRow"/>
        <w:ind w:left="576"/>
      </w:pPr>
      <w:r>
        <w:t xml:space="preserve">k.</w:t>
      </w:r>
      <w:r>
        <w:t xml:space="preserve"> — </w:t>
      </w:r>
      <w:r>
        <w:t xml:space="preserve">Israel settles in Canaan</w:t>
      </w:r>
      <w:r>
        <w:t xml:space="preserve"> — </w:t>
      </w:r>
      <w:r>
        <w:rPr>
          <w:i/>
          <w:iCs/>
        </w:rPr>
        <w:t xml:space="preserve">2.32r</w:t>
      </w:r>
    </w:p>
    <w:p>
      <w:pPr>
        <w:pStyle w:val="OutlineRow"/>
        <w:ind w:left="576"/>
      </w:pPr>
      <w:r>
        <w:t xml:space="preserve">l.</w:t>
      </w:r>
      <w:r>
        <w:t xml:space="preserve"> — </w:t>
      </w:r>
      <w:r>
        <w:t xml:space="preserve">Setting up stated worship</w:t>
      </w:r>
      <w:r>
        <w:t xml:space="preserve"> — </w:t>
      </w:r>
      <w:r>
        <w:rPr>
          <w:i/>
          <w:iCs/>
        </w:rPr>
        <w:t xml:space="preserve">2.33v</w:t>
      </w:r>
    </w:p>
    <w:p>
      <w:pPr>
        <w:pStyle w:val="OutlineRow"/>
        <w:ind w:left="576"/>
      </w:pPr>
      <w:r>
        <w:t xml:space="preserve">m.</w:t>
      </w:r>
      <w:r>
        <w:t xml:space="preserve"> — </w:t>
      </w:r>
      <w:r>
        <w:t xml:space="preserve">Preserving males of Israel</w:t>
      </w:r>
      <w:r>
        <w:t xml:space="preserve"> — </w:t>
      </w:r>
      <w:r>
        <w:rPr>
          <w:i/>
          <w:iCs/>
        </w:rPr>
        <w:t xml:space="preserve">2.34v</w:t>
      </w:r>
    </w:p>
    <w:p>
      <w:pPr>
        <w:pStyle w:val="OutlineRow"/>
        <w:ind w:left="576"/>
      </w:pPr>
      <w:r>
        <w:t xml:space="preserve">n.</w:t>
      </w:r>
      <w:r>
        <w:t xml:space="preserve"> — </w:t>
      </w:r>
      <w:r>
        <w:t xml:space="preserve">Preserving church and true religion</w:t>
      </w:r>
      <w:r>
        <w:t xml:space="preserve"> — </w:t>
      </w:r>
      <w:r>
        <w:rPr>
          <w:i/>
          <w:iCs/>
        </w:rPr>
        <w:t xml:space="preserve">2.35r</w:t>
      </w:r>
    </w:p>
    <w:p>
      <w:pPr>
        <w:pStyle w:val="OutlineRow"/>
        <w:ind w:left="576"/>
      </w:pPr>
      <w:r>
        <w:t xml:space="preserve">o.</w:t>
      </w:r>
      <w:r>
        <w:t xml:space="preserve"> — </w:t>
      </w:r>
      <w:r>
        <w:t xml:space="preserve">Preserving nation of Israel</w:t>
      </w:r>
      <w:r>
        <w:t xml:space="preserve"> — </w:t>
      </w:r>
      <w:r>
        <w:rPr>
          <w:i/>
          <w:iCs/>
        </w:rPr>
        <w:t xml:space="preserve">2.35v</w:t>
      </w:r>
    </w:p>
    <w:p>
      <w:pPr>
        <w:pStyle w:val="OutlineRow"/>
        <w:ind w:left="576"/>
      </w:pPr>
      <w:r>
        <w:t xml:space="preserve">p.</w:t>
      </w:r>
      <w:r>
        <w:t xml:space="preserve"> — </w:t>
      </w:r>
      <w:r>
        <w:t xml:space="preserve">Appearances of Christ</w:t>
      </w:r>
      <w:r>
        <w:t xml:space="preserve"> — </w:t>
      </w:r>
      <w:r>
        <w:rPr>
          <w:i/>
          <w:iCs/>
        </w:rPr>
        <w:t xml:space="preserve">2.36v</w:t>
      </w:r>
    </w:p>
    <w:p>
      <w:pPr>
        <w:pStyle w:val="OutlineRow"/>
        <w:ind w:left="1440"/>
      </w:pPr>
      <w:r>
        <w:t xml:space="preserve">SERMON 7</w:t>
      </w:r>
      <w:r>
        <w:t xml:space="preserve"> — </w:t>
      </w:r>
      <w:r>
        <w:rPr>
          <w:i/>
          <w:iCs/>
        </w:rPr>
        <w:t xml:space="preserve">2.37v</w:t>
      </w:r>
    </w:p>
    <w:p>
      <w:pPr>
        <w:pStyle w:val="OutlineRow"/>
        <w:ind w:left="576"/>
      </w:pPr>
      <w:r>
        <w:t xml:space="preserve">q.</w:t>
      </w:r>
      <w:r>
        <w:t xml:space="preserve"> — </w:t>
      </w:r>
      <w:r>
        <w:t xml:space="preserve">Succession of prophets</w:t>
      </w:r>
    </w:p>
    <w:p>
      <w:pPr>
        <w:pStyle w:val="OutlineRow"/>
        <w:ind w:left="288"/>
      </w:pPr>
      <w:r>
        <w:t xml:space="preserve">5.</w:t>
      </w:r>
      <w:r>
        <w:t xml:space="preserve"> — </w:t>
      </w:r>
      <w:r>
        <w:t xml:space="preserve">David to captivity</w:t>
      </w:r>
      <w:r>
        <w:t xml:space="preserve"> — </w:t>
      </w:r>
      <w:r>
        <w:rPr>
          <w:i/>
          <w:iCs/>
        </w:rPr>
        <w:t xml:space="preserve">2.41r</w:t>
      </w:r>
    </w:p>
    <w:p>
      <w:pPr>
        <w:pStyle w:val="OutlineRow"/>
        <w:ind w:left="576"/>
      </w:pPr>
      <w:r>
        <w:t xml:space="preserve">a.</w:t>
      </w:r>
      <w:r>
        <w:t xml:space="preserve"> — </w:t>
      </w:r>
      <w:r>
        <w:t xml:space="preserve">Anointing of king</w:t>
      </w:r>
    </w:p>
    <w:p>
      <w:pPr>
        <w:pStyle w:val="OutlineRow"/>
        <w:ind w:left="576"/>
      </w:pPr>
      <w:r>
        <w:t xml:space="preserve">b.</w:t>
      </w:r>
      <w:r>
        <w:t xml:space="preserve"> — </w:t>
      </w:r>
      <w:r>
        <w:t xml:space="preserve">Preserving David's life</w:t>
      </w:r>
      <w:r>
        <w:t xml:space="preserve"> — </w:t>
      </w:r>
      <w:r>
        <w:rPr>
          <w:i/>
          <w:iCs/>
        </w:rPr>
        <w:t xml:space="preserve">2.43v</w:t>
      </w:r>
    </w:p>
    <w:p>
      <w:pPr>
        <w:pStyle w:val="OutlineRow"/>
        <w:ind w:left="576"/>
      </w:pPr>
      <w:r>
        <w:t xml:space="preserve">c.</w:t>
      </w:r>
      <w:r>
        <w:t xml:space="preserve"> — </w:t>
      </w:r>
      <w:r>
        <w:t xml:space="preserve">Canon enlarged by Samuel</w:t>
      </w:r>
      <w:r>
        <w:t xml:space="preserve"> — </w:t>
      </w:r>
      <w:r>
        <w:rPr>
          <w:i/>
          <w:iCs/>
        </w:rPr>
        <w:t xml:space="preserve">2.45r</w:t>
      </w:r>
    </w:p>
    <w:p>
      <w:pPr>
        <w:pStyle w:val="OutlineRow"/>
        <w:ind w:left="576"/>
      </w:pPr>
      <w:r>
        <w:t xml:space="preserve">d.</w:t>
      </w:r>
      <w:r>
        <w:t xml:space="preserve"> — </w:t>
      </w:r>
      <w:r>
        <w:t xml:space="preserve">Writing of psalms</w:t>
      </w:r>
      <w:r>
        <w:t xml:space="preserve"> — </w:t>
      </w:r>
      <w:r>
        <w:rPr>
          <w:i/>
          <w:iCs/>
        </w:rPr>
        <w:t xml:space="preserve">2.46v</w:t>
      </w:r>
    </w:p>
    <w:p>
      <w:pPr>
        <w:pStyle w:val="OutlineRow"/>
        <w:ind w:left="576"/>
      </w:pPr>
      <w:r>
        <w:t xml:space="preserve">e.</w:t>
      </w:r>
      <w:r>
        <w:t xml:space="preserve"> — </w:t>
      </w:r>
      <w:r>
        <w:t xml:space="preserve">David made king</w:t>
      </w:r>
      <w:r>
        <w:t xml:space="preserve"> — </w:t>
      </w:r>
      <w:r>
        <w:rPr>
          <w:i/>
          <w:iCs/>
        </w:rPr>
        <w:t xml:space="preserve">2.48v</w:t>
      </w:r>
    </w:p>
    <w:p>
      <w:pPr>
        <w:pStyle w:val="OutlineRow"/>
        <w:ind w:left="576"/>
      </w:pPr>
      <w:r>
        <w:t xml:space="preserve">f.</w:t>
      </w:r>
      <w:r>
        <w:t xml:space="preserve"> — </w:t>
      </w:r>
      <w:r>
        <w:t xml:space="preserve">Jerusalem as chosen city</w:t>
      </w:r>
      <w:r>
        <w:t xml:space="preserve"> — </w:t>
      </w:r>
      <w:r>
        <w:rPr>
          <w:i/>
          <w:iCs/>
        </w:rPr>
        <w:t xml:space="preserve">2.49r</w:t>
      </w:r>
    </w:p>
    <w:p>
      <w:pPr>
        <w:pStyle w:val="OutlineRow"/>
        <w:ind w:left="1440"/>
      </w:pPr>
      <w:r>
        <w:t xml:space="preserve">SERMON 8</w:t>
      </w:r>
      <w:r>
        <w:t xml:space="preserve"> — </w:t>
      </w:r>
      <w:r>
        <w:rPr>
          <w:i/>
          <w:iCs/>
        </w:rPr>
        <w:t xml:space="preserve">2.50v</w:t>
      </w:r>
    </w:p>
    <w:p>
      <w:pPr>
        <w:pStyle w:val="OutlineRow"/>
        <w:ind w:left="576"/>
      </w:pPr>
      <w:r>
        <w:t xml:space="preserve">g.</w:t>
      </w:r>
      <w:r>
        <w:t xml:space="preserve"> — </w:t>
      </w:r>
      <w:r>
        <w:t xml:space="preserve">Davidic Messiah</w:t>
      </w:r>
    </w:p>
    <w:p>
      <w:pPr>
        <w:pStyle w:val="OutlineRow"/>
        <w:ind w:left="576"/>
      </w:pPr>
      <w:r>
        <w:t xml:space="preserve">h.</w:t>
      </w:r>
      <w:r>
        <w:t xml:space="preserve"> — </w:t>
      </w:r>
      <w:r>
        <w:t xml:space="preserve">David subdues promised land</w:t>
      </w:r>
      <w:r>
        <w:t xml:space="preserve"> — </w:t>
      </w:r>
      <w:r>
        <w:rPr>
          <w:i/>
          <w:iCs/>
        </w:rPr>
        <w:t xml:space="preserve">2.52r</w:t>
      </w:r>
    </w:p>
    <w:p>
      <w:pPr>
        <w:pStyle w:val="OutlineRow"/>
        <w:ind w:left="576"/>
      </w:pPr>
      <w:r>
        <w:t xml:space="preserve">i.</w:t>
      </w:r>
      <w:r>
        <w:t xml:space="preserve"> — </w:t>
      </w:r>
      <w:r>
        <w:t xml:space="preserve">Perfection of Jewish worship</w:t>
      </w:r>
      <w:r>
        <w:t xml:space="preserve"> — </w:t>
      </w:r>
      <w:r>
        <w:rPr>
          <w:i/>
          <w:iCs/>
        </w:rPr>
        <w:t xml:space="preserve">2.54r</w:t>
      </w:r>
    </w:p>
    <w:p>
      <w:pPr>
        <w:pStyle w:val="OutlineRow"/>
        <w:ind w:left="576"/>
      </w:pPr>
      <w:r>
        <w:t xml:space="preserve">j.</w:t>
      </w:r>
      <w:r>
        <w:t xml:space="preserve"> — </w:t>
      </w:r>
      <w:r>
        <w:t xml:space="preserve">Additions to canon</w:t>
      </w:r>
      <w:r>
        <w:t xml:space="preserve"> — </w:t>
      </w:r>
      <w:r>
        <w:rPr>
          <w:i/>
          <w:iCs/>
        </w:rPr>
        <w:t xml:space="preserve">2.56r</w:t>
      </w:r>
    </w:p>
    <w:p>
      <w:pPr>
        <w:pStyle w:val="OutlineRow"/>
        <w:ind w:left="576"/>
      </w:pPr>
      <w:r>
        <w:t xml:space="preserve">k.</w:t>
      </w:r>
      <w:r>
        <w:t xml:space="preserve"> — </w:t>
      </w:r>
      <w:r>
        <w:t xml:space="preserve">Continuing Jewish kingdom</w:t>
      </w:r>
      <w:r>
        <w:t xml:space="preserve"> — </w:t>
      </w:r>
      <w:r>
        <w:rPr>
          <w:i/>
          <w:iCs/>
        </w:rPr>
        <w:t xml:space="preserve">2.56v</w:t>
      </w:r>
    </w:p>
    <w:p>
      <w:pPr>
        <w:pStyle w:val="OutlineRow"/>
        <w:ind w:left="576"/>
      </w:pPr>
      <w:r>
        <w:t xml:space="preserve">l.</w:t>
      </w:r>
      <w:r>
        <w:t xml:space="preserve"> — </w:t>
      </w:r>
      <w:r>
        <w:t xml:space="preserve">Building of temple</w:t>
      </w:r>
      <w:r>
        <w:t xml:space="preserve"> — </w:t>
      </w:r>
      <w:r>
        <w:rPr>
          <w:i/>
          <w:iCs/>
        </w:rPr>
        <w:t xml:space="preserve">2.60r</w:t>
      </w:r>
    </w:p>
    <w:p>
      <w:pPr>
        <w:pStyle w:val="OutlineRow"/>
        <w:ind w:left="576"/>
      </w:pPr>
      <w:r>
        <w:t xml:space="preserve">m.</w:t>
      </w:r>
      <w:r>
        <w:t xml:space="preserve"> — </w:t>
      </w:r>
      <w:r>
        <w:t xml:space="preserve">Glorious condition of Judaism</w:t>
      </w:r>
      <w:r>
        <w:t xml:space="preserve"> — </w:t>
      </w:r>
      <w:r>
        <w:rPr>
          <w:i/>
          <w:iCs/>
        </w:rPr>
        <w:t xml:space="preserve">2.61r</w:t>
      </w:r>
    </w:p>
    <w:p>
      <w:pPr>
        <w:pStyle w:val="OutlineRow"/>
        <w:ind w:left="1440"/>
      </w:pPr>
      <w:r>
        <w:t xml:space="preserve">SERMON 9</w:t>
      </w:r>
      <w:r>
        <w:t xml:space="preserve"> — </w:t>
      </w:r>
      <w:r>
        <w:rPr>
          <w:i/>
          <w:iCs/>
        </w:rPr>
        <w:t xml:space="preserve">2.62v</w:t>
      </w:r>
    </w:p>
    <w:p>
      <w:pPr>
        <w:pStyle w:val="OutlineRow"/>
        <w:ind w:left="576"/>
      </w:pPr>
      <w:r>
        <w:t xml:space="preserve">n.</w:t>
      </w:r>
      <w:r>
        <w:t xml:space="preserve"> — </w:t>
      </w:r>
      <w:r>
        <w:t xml:space="preserve">Decline of church</w:t>
      </w:r>
    </w:p>
    <w:p>
      <w:pPr>
        <w:pStyle w:val="OutlineRow"/>
        <w:ind w:left="864"/>
      </w:pPr>
      <w:r>
        <w:t xml:space="preserve">(1.)</w:t>
      </w:r>
      <w:r>
        <w:t xml:space="preserve"> — </w:t>
      </w:r>
      <w:r>
        <w:t xml:space="preserve">Legal gives way to evangelical</w:t>
      </w:r>
      <w:r>
        <w:t xml:space="preserve"> — </w:t>
      </w:r>
      <w:r>
        <w:rPr>
          <w:i/>
          <w:iCs/>
        </w:rPr>
        <w:t xml:space="preserve">2.64v</w:t>
      </w:r>
    </w:p>
    <w:p>
      <w:pPr>
        <w:pStyle w:val="OutlineRow"/>
        <w:ind w:left="864"/>
      </w:pPr>
      <w:r>
        <w:t xml:space="preserve">(2.)</w:t>
      </w:r>
      <w:r>
        <w:t xml:space="preserve"> — </w:t>
      </w:r>
      <w:r>
        <w:t xml:space="preserve">God's power more obvious</w:t>
      </w:r>
      <w:r>
        <w:t xml:space="preserve"> — </w:t>
      </w:r>
      <w:r>
        <w:rPr>
          <w:i/>
          <w:iCs/>
        </w:rPr>
        <w:t xml:space="preserve">2.65r</w:t>
      </w:r>
    </w:p>
    <w:p>
      <w:pPr>
        <w:pStyle w:val="OutlineRow"/>
        <w:ind w:left="864"/>
      </w:pPr>
      <w:r>
        <w:t xml:space="preserve">(3.)</w:t>
      </w:r>
      <w:r>
        <w:t xml:space="preserve"> — </w:t>
      </w:r>
      <w:r>
        <w:t xml:space="preserve">Jewish salvation more obvious</w:t>
      </w:r>
      <w:r>
        <w:t xml:space="preserve"> — </w:t>
      </w:r>
      <w:r>
        <w:rPr>
          <w:i/>
          <w:iCs/>
        </w:rPr>
        <w:t xml:space="preserve">2.65v</w:t>
      </w:r>
    </w:p>
    <w:p>
      <w:pPr>
        <w:pStyle w:val="OutlineRow"/>
        <w:ind w:left="576"/>
      </w:pPr>
      <w:r>
        <w:t xml:space="preserve">o.</w:t>
      </w:r>
      <w:r>
        <w:t xml:space="preserve"> — </w:t>
      </w:r>
      <w:r>
        <w:t xml:space="preserve">Solomon's additions to canon</w:t>
      </w:r>
      <w:r>
        <w:t xml:space="preserve"> — </w:t>
      </w:r>
      <w:r>
        <w:rPr>
          <w:i/>
          <w:iCs/>
        </w:rPr>
        <w:t xml:space="preserve">2.66r</w:t>
      </w:r>
    </w:p>
    <w:p>
      <w:pPr>
        <w:pStyle w:val="OutlineRow"/>
        <w:ind w:left="576"/>
      </w:pPr>
      <w:r>
        <w:t xml:space="preserve">p.</w:t>
      </w:r>
      <w:r>
        <w:t xml:space="preserve"> — </w:t>
      </w:r>
      <w:r>
        <w:t xml:space="preserve">Upholding of church</w:t>
      </w:r>
    </w:p>
    <w:p>
      <w:pPr>
        <w:pStyle w:val="OutlineRow"/>
        <w:ind w:left="576"/>
      </w:pPr>
      <w:r>
        <w:t xml:space="preserve">q.</w:t>
      </w:r>
      <w:r>
        <w:t xml:space="preserve"> — </w:t>
      </w:r>
      <w:r>
        <w:t xml:space="preserve">Book of Law saved</w:t>
      </w:r>
      <w:r>
        <w:t xml:space="preserve"> — </w:t>
      </w:r>
      <w:r>
        <w:rPr>
          <w:i/>
          <w:iCs/>
        </w:rPr>
        <w:t xml:space="preserve">2.66v</w:t>
      </w:r>
    </w:p>
    <w:p>
      <w:pPr>
        <w:pStyle w:val="OutlineRow"/>
        <w:ind w:left="576"/>
      </w:pPr>
      <w:r>
        <w:t xml:space="preserve">r.</w:t>
      </w:r>
      <w:r>
        <w:t xml:space="preserve"> — </w:t>
      </w:r>
      <w:r>
        <w:t xml:space="preserve">Preservation of Judah</w:t>
      </w:r>
      <w:r>
        <w:t xml:space="preserve"> — </w:t>
      </w:r>
      <w:r>
        <w:rPr>
          <w:i/>
          <w:iCs/>
        </w:rPr>
        <w:t xml:space="preserve">2.67r</w:t>
      </w:r>
    </w:p>
    <w:p>
      <w:pPr>
        <w:pStyle w:val="OutlineRow"/>
        <w:ind w:left="576"/>
      </w:pPr>
      <w:r>
        <w:t xml:space="preserve">s.</w:t>
      </w:r>
      <w:r>
        <w:t xml:space="preserve"> — </w:t>
      </w:r>
      <w:r>
        <w:t xml:space="preserve">Prophets: testimony to Christ</w:t>
      </w:r>
      <w:r>
        <w:t xml:space="preserve"> — </w:t>
      </w:r>
      <w:r>
        <w:rPr>
          <w:i/>
          <w:iCs/>
        </w:rPr>
        <w:t xml:space="preserve">2.70r</w:t>
      </w:r>
    </w:p>
    <w:p>
      <w:pPr>
        <w:pStyle w:val="OutlineRow"/>
        <w:ind w:left="1440"/>
      </w:pPr>
      <w:r>
        <w:t xml:space="preserve">SERMON 10</w:t>
      </w:r>
      <w:r>
        <w:t xml:space="preserve"> — </w:t>
      </w:r>
      <w:r>
        <w:rPr>
          <w:i/>
          <w:iCs/>
        </w:rPr>
        <w:t xml:space="preserve">3.1r</w:t>
      </w:r>
    </w:p>
    <w:p>
      <w:pPr>
        <w:pStyle w:val="OutlineRow"/>
        <w:ind w:left="288"/>
      </w:pPr>
      <w:r>
        <w:t xml:space="preserve">6.</w:t>
      </w:r>
      <w:r>
        <w:t xml:space="preserve"> — </w:t>
      </w:r>
      <w:r>
        <w:t xml:space="preserve">Captivity to coming of Christ</w:t>
      </w:r>
    </w:p>
    <w:p>
      <w:pPr>
        <w:pStyle w:val="OutlineRow"/>
        <w:ind w:left="1440"/>
      </w:pPr>
      <w:r>
        <w:t xml:space="preserve">[OBSERVATIONS]</w:t>
      </w:r>
      <w:r>
        <w:t xml:space="preserve"> — </w:t>
      </w:r>
      <w:r>
        <w:rPr>
          <w:i/>
          <w:iCs/>
        </w:rPr>
        <w:t xml:space="preserve">3.1v</w:t>
      </w:r>
    </w:p>
    <w:p>
      <w:pPr>
        <w:pStyle w:val="OutlineRow"/>
        <w:ind w:left="0"/>
      </w:pPr>
      <w:r>
        <w:t xml:space="preserve">I.</w:t>
      </w:r>
      <w:r>
        <w:t xml:space="preserve"> — </w:t>
      </w:r>
      <w:r>
        <w:t xml:space="preserve">Importance of Scripture prophecy</w:t>
      </w:r>
    </w:p>
    <w:p>
      <w:pPr>
        <w:pStyle w:val="OutlineRow"/>
        <w:ind w:left="0"/>
      </w:pPr>
      <w:r>
        <w:t xml:space="preserve">II.</w:t>
      </w:r>
      <w:r>
        <w:t xml:space="preserve"> — </w:t>
      </w:r>
      <w:r>
        <w:t xml:space="preserve">Revolutionary context</w:t>
      </w:r>
      <w:r>
        <w:t xml:space="preserve"> — </w:t>
      </w:r>
      <w:r>
        <w:rPr>
          <w:i/>
          <w:iCs/>
        </w:rPr>
        <w:t xml:space="preserve">3.3v</w:t>
      </w:r>
    </w:p>
    <w:p>
      <w:pPr>
        <w:pStyle w:val="OutlineRow"/>
        <w:ind w:left="0"/>
      </w:pPr>
      <w:r>
        <w:t xml:space="preserve">III.</w:t>
      </w:r>
      <w:r>
        <w:t xml:space="preserve"> — </w:t>
      </w:r>
      <w:r>
        <w:t xml:space="preserve">Remarkable preservation of church</w:t>
      </w:r>
      <w:r>
        <w:t xml:space="preserve"> — </w:t>
      </w:r>
      <w:r>
        <w:rPr>
          <w:i/>
          <w:iCs/>
        </w:rPr>
        <w:t xml:space="preserve">3.9r</w:t>
      </w:r>
    </w:p>
    <w:p>
      <w:pPr>
        <w:pStyle w:val="OutlineRow"/>
        <w:ind w:left="576"/>
      </w:pPr>
      <w:r>
        <w:t xml:space="preserve">a.</w:t>
      </w:r>
      <w:r>
        <w:t xml:space="preserve"> — </w:t>
      </w:r>
      <w:r>
        <w:t xml:space="preserve">Babylonian captivity</w:t>
      </w:r>
      <w:r>
        <w:t xml:space="preserve"> — </w:t>
      </w:r>
      <w:r>
        <w:rPr>
          <w:i/>
          <w:iCs/>
        </w:rPr>
        <w:t xml:space="preserve">3.10r</w:t>
      </w:r>
    </w:p>
    <w:p>
      <w:pPr>
        <w:pStyle w:val="OutlineRow"/>
        <w:ind w:left="864"/>
      </w:pPr>
      <w:r>
        <w:t xml:space="preserve">(1.)</w:t>
      </w:r>
      <w:r>
        <w:t xml:space="preserve"> — </w:t>
      </w:r>
      <w:r>
        <w:t xml:space="preserve">End of idolatry</w:t>
      </w:r>
      <w:r>
        <w:t xml:space="preserve"> — </w:t>
      </w:r>
      <w:r>
        <w:rPr>
          <w:i/>
          <w:iCs/>
        </w:rPr>
        <w:t xml:space="preserve">3.10v</w:t>
      </w:r>
    </w:p>
    <w:p>
      <w:pPr>
        <w:pStyle w:val="OutlineRow"/>
        <w:ind w:left="864"/>
      </w:pPr>
      <w:r>
        <w:t xml:space="preserve">(2.)</w:t>
      </w:r>
      <w:r>
        <w:t xml:space="preserve"> — </w:t>
      </w:r>
      <w:r>
        <w:t xml:space="preserve">Decreased glory of Jewish dispensation</w:t>
      </w:r>
      <w:r>
        <w:t xml:space="preserve"> — </w:t>
      </w:r>
      <w:r>
        <w:rPr>
          <w:i/>
          <w:iCs/>
        </w:rPr>
        <w:t xml:space="preserve">3.11r</w:t>
      </w:r>
    </w:p>
    <w:p>
      <w:pPr>
        <w:pStyle w:val="OutlineRow"/>
        <w:ind w:left="1152"/>
      </w:pPr>
      <w:r>
        <w:t xml:space="preserve">(a.)</w:t>
      </w:r>
      <w:r>
        <w:t xml:space="preserve"> — </w:t>
      </w:r>
      <w:r>
        <w:t xml:space="preserve">End of house of David</w:t>
      </w:r>
    </w:p>
    <w:p>
      <w:pPr>
        <w:pStyle w:val="OutlineRow"/>
        <w:ind w:left="1152"/>
      </w:pPr>
      <w:r>
        <w:t xml:space="preserve">(b.)</w:t>
      </w:r>
      <w:r>
        <w:t xml:space="preserve"> — </w:t>
      </w:r>
      <w:r>
        <w:t xml:space="preserve">Decrease of glory</w:t>
      </w:r>
      <w:r>
        <w:t xml:space="preserve"> — </w:t>
      </w:r>
      <w:r>
        <w:rPr>
          <w:i/>
          <w:iCs/>
        </w:rPr>
        <w:t xml:space="preserve">3.11v</w:t>
      </w:r>
    </w:p>
    <w:p>
      <w:pPr>
        <w:pStyle w:val="OutlineRow"/>
        <w:ind w:left="1152"/>
      </w:pPr>
      <w:r>
        <w:t xml:space="preserve">(c.)</w:t>
      </w:r>
      <w:r>
        <w:t xml:space="preserve"> — </w:t>
      </w:r>
      <w:r>
        <w:t xml:space="preserve">Loss of tables of law</w:t>
      </w:r>
      <w:r>
        <w:t xml:space="preserve"> — </w:t>
      </w:r>
      <w:r>
        <w:rPr>
          <w:i/>
          <w:iCs/>
        </w:rPr>
        <w:t xml:space="preserve">3.12r</w:t>
      </w:r>
    </w:p>
    <w:p>
      <w:pPr>
        <w:pStyle w:val="OutlineRow"/>
        <w:ind w:left="1152"/>
      </w:pPr>
      <w:r>
        <w:t xml:space="preserve">(d.)</w:t>
      </w:r>
      <w:r>
        <w:t xml:space="preserve"> — </w:t>
      </w:r>
      <w:r>
        <w:t xml:space="preserve">Loss of Urim and Thummim</w:t>
      </w:r>
    </w:p>
    <w:p>
      <w:pPr>
        <w:pStyle w:val="OutlineRow"/>
        <w:ind w:left="1152"/>
      </w:pPr>
      <w:r>
        <w:t xml:space="preserve">(e.)</w:t>
      </w:r>
      <w:r>
        <w:t xml:space="preserve"> — </w:t>
      </w:r>
      <w:r>
        <w:t xml:space="preserve">Loss of Shekhinah</w:t>
      </w:r>
      <w:r>
        <w:t xml:space="preserve"> — </w:t>
      </w:r>
      <w:r>
        <w:rPr>
          <w:i/>
          <w:iCs/>
        </w:rPr>
        <w:t xml:space="preserve">3.12v</w:t>
      </w:r>
    </w:p>
    <w:p>
      <w:pPr>
        <w:pStyle w:val="OutlineRow"/>
        <w:ind w:left="1152"/>
      </w:pPr>
      <w:r>
        <w:t xml:space="preserve">(f.)</w:t>
      </w:r>
      <w:r>
        <w:t xml:space="preserve"> — </w:t>
      </w:r>
      <w:r>
        <w:t xml:space="preserve">Loss of fire on altar</w:t>
      </w:r>
    </w:p>
    <w:p>
      <w:pPr>
        <w:pStyle w:val="OutlineRow"/>
        <w:ind w:left="1440"/>
      </w:pPr>
      <w:r>
        <w:t xml:space="preserve">SERMON 11</w:t>
      </w:r>
      <w:r>
        <w:t xml:space="preserve"> — </w:t>
      </w:r>
      <w:r>
        <w:rPr>
          <w:i/>
          <w:iCs/>
        </w:rPr>
        <w:t xml:space="preserve">3.13r</w:t>
      </w:r>
    </w:p>
    <w:p>
      <w:pPr>
        <w:pStyle w:val="OutlineRow"/>
        <w:ind w:left="864"/>
      </w:pPr>
      <w:r>
        <w:t xml:space="preserve">(3.)</w:t>
      </w:r>
      <w:r>
        <w:t xml:space="preserve"> — </w:t>
      </w:r>
      <w:r>
        <w:t xml:space="preserve">Dispersal of Jews</w:t>
      </w:r>
      <w:r>
        <w:t xml:space="preserve"> — </w:t>
      </w:r>
      <w:r>
        <w:rPr>
          <w:i/>
          <w:iCs/>
        </w:rPr>
        <w:t xml:space="preserve">3.13v</w:t>
      </w:r>
    </w:p>
    <w:p>
      <w:pPr>
        <w:pStyle w:val="OutlineRow"/>
        <w:ind w:left="1152"/>
      </w:pPr>
      <w:r>
        <w:t xml:space="preserve">(a.)</w:t>
      </w:r>
      <w:r>
        <w:t xml:space="preserve"> — </w:t>
      </w:r>
      <w:r>
        <w:t xml:space="preserve">Expectation of messiah</w:t>
      </w:r>
      <w:r>
        <w:t xml:space="preserve"> — </w:t>
      </w:r>
      <w:r>
        <w:rPr>
          <w:i/>
          <w:iCs/>
        </w:rPr>
        <w:t xml:space="preserve">3.14v</w:t>
      </w:r>
    </w:p>
    <w:p>
      <w:pPr>
        <w:pStyle w:val="OutlineRow"/>
        <w:ind w:left="1152"/>
      </w:pPr>
      <w:r>
        <w:t xml:space="preserve">(b.)</w:t>
      </w:r>
      <w:r>
        <w:t xml:space="preserve"> — </w:t>
      </w:r>
      <w:r>
        <w:t xml:space="preserve">Need of new dispensation</w:t>
      </w:r>
      <w:r>
        <w:t xml:space="preserve"> — </w:t>
      </w:r>
      <w:r>
        <w:rPr>
          <w:i/>
          <w:iCs/>
        </w:rPr>
        <w:t xml:space="preserve">3.15r</w:t>
      </w:r>
    </w:p>
    <w:p>
      <w:pPr>
        <w:pStyle w:val="OutlineRow"/>
        <w:ind w:left="1152"/>
      </w:pPr>
      <w:r>
        <w:t xml:space="preserve">(c.)</w:t>
      </w:r>
      <w:r>
        <w:t xml:space="preserve"> — </w:t>
      </w:r>
      <w:r>
        <w:t xml:space="preserve">Publicizing Jesus as Christ</w:t>
      </w:r>
      <w:r>
        <w:t xml:space="preserve"> — </w:t>
      </w:r>
      <w:r>
        <w:rPr>
          <w:i/>
          <w:iCs/>
        </w:rPr>
        <w:t xml:space="preserve">3.15v</w:t>
      </w:r>
    </w:p>
    <w:p>
      <w:pPr>
        <w:pStyle w:val="OutlineRow"/>
        <w:ind w:left="1152"/>
      </w:pPr>
      <w:r>
        <w:t xml:space="preserve">(d.)</w:t>
      </w:r>
      <w:r>
        <w:t xml:space="preserve"> — </w:t>
      </w:r>
      <w:r>
        <w:t xml:space="preserve">Opening for apostles</w:t>
      </w:r>
      <w:r>
        <w:t xml:space="preserve"> — </w:t>
      </w:r>
      <w:r>
        <w:rPr>
          <w:i/>
          <w:iCs/>
        </w:rPr>
        <w:t xml:space="preserve">3.16v</w:t>
      </w:r>
    </w:p>
    <w:p>
      <w:pPr>
        <w:pStyle w:val="OutlineRow"/>
        <w:ind w:left="576"/>
      </w:pPr>
      <w:r>
        <w:t xml:space="preserve">b.</w:t>
      </w:r>
      <w:r>
        <w:t xml:space="preserve"> — </w:t>
      </w:r>
      <w:r>
        <w:t xml:space="preserve">Addition to canon of Scripture</w:t>
      </w:r>
      <w:r>
        <w:t xml:space="preserve"> — </w:t>
      </w:r>
      <w:r>
        <w:rPr>
          <w:i/>
          <w:iCs/>
        </w:rPr>
        <w:t xml:space="preserve">3.17v</w:t>
      </w:r>
    </w:p>
    <w:p>
      <w:pPr>
        <w:pStyle w:val="OutlineRow"/>
        <w:ind w:left="576"/>
      </w:pPr>
      <w:r>
        <w:t xml:space="preserve">c.</w:t>
      </w:r>
      <w:r>
        <w:t xml:space="preserve"> — </w:t>
      </w:r>
      <w:r>
        <w:t xml:space="preserve">Destruction of Babylon</w:t>
      </w:r>
      <w:r>
        <w:t xml:space="preserve"> — </w:t>
      </w:r>
      <w:r>
        <w:rPr>
          <w:i/>
          <w:iCs/>
        </w:rPr>
        <w:t xml:space="preserve">3.21r</w:t>
      </w:r>
    </w:p>
    <w:p>
      <w:pPr>
        <w:pStyle w:val="OutlineRow"/>
        <w:ind w:left="576"/>
      </w:pPr>
      <w:r>
        <w:t xml:space="preserve">d.</w:t>
      </w:r>
      <w:r>
        <w:t xml:space="preserve"> — </w:t>
      </w:r>
      <w:r>
        <w:t xml:space="preserve">Return of Jews</w:t>
      </w:r>
      <w:r>
        <w:t xml:space="preserve"> — </w:t>
      </w:r>
      <w:r>
        <w:rPr>
          <w:i/>
          <w:iCs/>
        </w:rPr>
        <w:t xml:space="preserve">3.22r</w:t>
      </w:r>
    </w:p>
    <w:p>
      <w:pPr>
        <w:pStyle w:val="OutlineRow"/>
        <w:ind w:left="576"/>
      </w:pPr>
      <w:r>
        <w:t xml:space="preserve">e.</w:t>
      </w:r>
      <w:r>
        <w:t xml:space="preserve"> — </w:t>
      </w:r>
      <w:r>
        <w:t xml:space="preserve">Addition to canon by prophets</w:t>
      </w:r>
      <w:r>
        <w:t xml:space="preserve"> — </w:t>
      </w:r>
      <w:r>
        <w:rPr>
          <w:i/>
          <w:iCs/>
        </w:rPr>
        <w:t xml:space="preserve">3.24r</w:t>
      </w:r>
    </w:p>
    <w:p>
      <w:pPr>
        <w:pStyle w:val="OutlineRow"/>
        <w:ind w:left="576"/>
      </w:pPr>
      <w:r>
        <w:t xml:space="preserve">f.</w:t>
      </w:r>
      <w:r>
        <w:t xml:space="preserve"> — </w:t>
      </w:r>
      <w:r>
        <w:t xml:space="preserve">Pouring out of Spirit</w:t>
      </w:r>
      <w:r>
        <w:t xml:space="preserve"> — </w:t>
      </w:r>
      <w:r>
        <w:rPr>
          <w:i/>
          <w:iCs/>
        </w:rPr>
        <w:t xml:space="preserve">3.24v</w:t>
      </w:r>
    </w:p>
    <w:p>
      <w:pPr>
        <w:pStyle w:val="OutlineRow"/>
        <w:ind w:left="576"/>
      </w:pPr>
      <w:r>
        <w:t xml:space="preserve">g.</w:t>
      </w:r>
      <w:r>
        <w:t xml:space="preserve"> — </w:t>
      </w:r>
      <w:r>
        <w:t xml:space="preserve">Ezra adds to canon</w:t>
      </w:r>
      <w:r>
        <w:t xml:space="preserve"> — </w:t>
      </w:r>
      <w:r>
        <w:rPr>
          <w:i/>
          <w:iCs/>
        </w:rPr>
        <w:t xml:space="preserve">3.25v</w:t>
      </w:r>
    </w:p>
    <w:p>
      <w:pPr>
        <w:pStyle w:val="OutlineRow"/>
        <w:ind w:left="576"/>
      </w:pPr>
      <w:r>
        <w:t xml:space="preserve">h.</w:t>
      </w:r>
      <w:r>
        <w:t xml:space="preserve"> — </w:t>
      </w:r>
      <w:r>
        <w:t xml:space="preserve">Ezra organizes Scriptures</w:t>
      </w:r>
      <w:r>
        <w:t xml:space="preserve"> — </w:t>
      </w:r>
      <w:r>
        <w:rPr>
          <w:i/>
          <w:iCs/>
        </w:rPr>
        <w:t xml:space="preserve">3.26r</w:t>
      </w:r>
    </w:p>
    <w:p>
      <w:pPr>
        <w:pStyle w:val="OutlineRow"/>
        <w:ind w:left="576"/>
      </w:pPr>
      <w:r>
        <w:t xml:space="preserve">i.</w:t>
      </w:r>
      <w:r>
        <w:t xml:space="preserve"> — </w:t>
      </w:r>
      <w:r>
        <w:t xml:space="preserve">Publicizing law</w:t>
      </w:r>
      <w:r>
        <w:t xml:space="preserve"> — </w:t>
      </w:r>
      <w:r>
        <w:rPr>
          <w:i/>
          <w:iCs/>
        </w:rPr>
        <w:t xml:space="preserve">3.26v</w:t>
      </w:r>
    </w:p>
    <w:p>
      <w:pPr>
        <w:pStyle w:val="OutlineRow"/>
        <w:ind w:left="576"/>
      </w:pPr>
      <w:r>
        <w:t xml:space="preserve">j.</w:t>
      </w:r>
      <w:r>
        <w:t xml:space="preserve"> — </w:t>
      </w:r>
      <w:r>
        <w:t xml:space="preserve">Preservation of church</w:t>
      </w:r>
      <w:r>
        <w:t xml:space="preserve"> — </w:t>
      </w:r>
      <w:r>
        <w:rPr>
          <w:i/>
          <w:iCs/>
        </w:rPr>
        <w:t xml:space="preserve">3.27v</w:t>
      </w:r>
    </w:p>
    <w:p>
      <w:pPr>
        <w:pStyle w:val="OutlineRow"/>
        <w:ind w:left="576"/>
      </w:pPr>
      <w:r>
        <w:t xml:space="preserve">k.</w:t>
      </w:r>
      <w:r>
        <w:t xml:space="preserve"> — </w:t>
      </w:r>
      <w:r>
        <w:t xml:space="preserve">Nehemiah and Esther added</w:t>
      </w:r>
    </w:p>
    <w:p>
      <w:pPr>
        <w:pStyle w:val="OutlineRow"/>
        <w:ind w:left="576"/>
      </w:pPr>
      <w:r>
        <w:t xml:space="preserve">l.</w:t>
      </w:r>
      <w:r>
        <w:t xml:space="preserve"> — </w:t>
      </w:r>
      <w:r>
        <w:t xml:space="preserve">Malachi completes canon</w:t>
      </w:r>
      <w:r>
        <w:t xml:space="preserve"> — </w:t>
      </w:r>
      <w:r>
        <w:rPr>
          <w:i/>
          <w:iCs/>
        </w:rPr>
        <w:t xml:space="preserve">3.28r</w:t>
      </w:r>
    </w:p>
    <w:p>
      <w:pPr>
        <w:pStyle w:val="OutlineRow"/>
        <w:ind w:left="576"/>
      </w:pPr>
      <w:r>
        <w:t xml:space="preserve">m.</w:t>
      </w:r>
      <w:r>
        <w:t xml:space="preserve"> — </w:t>
      </w:r>
      <w:r>
        <w:t xml:space="preserve">Spirit of prophecy ceases</w:t>
      </w:r>
      <w:r>
        <w:t xml:space="preserve"> — </w:t>
      </w:r>
      <w:r>
        <w:rPr>
          <w:i/>
          <w:iCs/>
        </w:rPr>
        <w:t xml:space="preserve">3.28v</w:t>
      </w:r>
    </w:p>
    <w:p>
      <w:pPr>
        <w:pStyle w:val="OutlineRow"/>
        <w:ind w:left="1440"/>
      </w:pPr>
      <w:r>
        <w:t xml:space="preserve">SERMON 12</w:t>
      </w:r>
      <w:r>
        <w:t xml:space="preserve"> — </w:t>
      </w:r>
      <w:r>
        <w:rPr>
          <w:i/>
          <w:iCs/>
        </w:rPr>
        <w:t xml:space="preserve">4.1r</w:t>
      </w:r>
    </w:p>
    <w:p>
      <w:pPr>
        <w:pStyle w:val="OutlineRow"/>
        <w:ind w:left="576"/>
      </w:pPr>
      <w:r>
        <w:t xml:space="preserve">n.</w:t>
      </w:r>
      <w:r>
        <w:t xml:space="preserve"> — </w:t>
      </w:r>
      <w:r>
        <w:t xml:space="preserve">Greek empire replaces Persian</w:t>
      </w:r>
    </w:p>
    <w:p>
      <w:pPr>
        <w:pStyle w:val="OutlineRow"/>
        <w:ind w:left="576"/>
      </w:pPr>
      <w:r>
        <w:t xml:space="preserve">o.</w:t>
      </w:r>
      <w:r>
        <w:t xml:space="preserve"> — </w:t>
      </w:r>
      <w:r>
        <w:t xml:space="preserve">Septuagint</w:t>
      </w:r>
      <w:r>
        <w:t xml:space="preserve"> — </w:t>
      </w:r>
      <w:r>
        <w:rPr>
          <w:i/>
          <w:iCs/>
        </w:rPr>
        <w:t xml:space="preserve">4.3r</w:t>
      </w:r>
    </w:p>
    <w:p>
      <w:pPr>
        <w:pStyle w:val="OutlineRow"/>
        <w:ind w:left="576"/>
      </w:pPr>
      <w:r>
        <w:t xml:space="preserve">p.</w:t>
      </w:r>
      <w:r>
        <w:t xml:space="preserve"> — </w:t>
      </w:r>
      <w:r>
        <w:t xml:space="preserve">Preservation of church</w:t>
      </w:r>
      <w:r>
        <w:t xml:space="preserve"> — </w:t>
      </w:r>
      <w:r>
        <w:rPr>
          <w:i/>
          <w:iCs/>
        </w:rPr>
        <w:t xml:space="preserve">4.4v</w:t>
      </w:r>
    </w:p>
    <w:p>
      <w:pPr>
        <w:pStyle w:val="OutlineRow"/>
        <w:ind w:left="576"/>
      </w:pPr>
      <w:r>
        <w:t xml:space="preserve">q.</w:t>
      </w:r>
      <w:r>
        <w:t xml:space="preserve"> — </w:t>
      </w:r>
      <w:r>
        <w:t xml:space="preserve">Roman empire replaces Greek</w:t>
      </w:r>
      <w:r>
        <w:t xml:space="preserve"> — </w:t>
      </w:r>
      <w:r>
        <w:rPr>
          <w:i/>
          <w:iCs/>
        </w:rPr>
        <w:t xml:space="preserve">4.6v</w:t>
      </w:r>
    </w:p>
    <w:p>
      <w:pPr>
        <w:pStyle w:val="OutlineRow"/>
        <w:ind w:left="576"/>
      </w:pPr>
      <w:r>
        <w:t xml:space="preserve">r.</w:t>
      </w:r>
      <w:r>
        <w:t xml:space="preserve"> — </w:t>
      </w:r>
      <w:r>
        <w:t xml:space="preserve">Learning and philosophy flourish</w:t>
      </w:r>
      <w:r>
        <w:t xml:space="preserve"> — </w:t>
      </w:r>
      <w:r>
        <w:rPr>
          <w:i/>
          <w:iCs/>
        </w:rPr>
        <w:t xml:space="preserve">4.7v</w:t>
      </w:r>
    </w:p>
    <w:p>
      <w:pPr>
        <w:pStyle w:val="OutlineRow"/>
        <w:ind w:left="576"/>
      </w:pPr>
      <w:r>
        <w:t xml:space="preserve">s.</w:t>
      </w:r>
      <w:r>
        <w:t xml:space="preserve"> — </w:t>
      </w:r>
      <w:r>
        <w:t xml:space="preserve">Peace of Roman world</w:t>
      </w:r>
      <w:r>
        <w:t xml:space="preserve"> — </w:t>
      </w:r>
      <w:r>
        <w:rPr>
          <w:i/>
          <w:iCs/>
        </w:rPr>
        <w:t xml:space="preserve">4.9r</w:t>
      </w:r>
    </w:p>
    <w:p>
      <w:pPr>
        <w:pStyle w:val="OutlineRow"/>
        <w:ind w:left="1440"/>
      </w:pPr>
      <w:r>
        <w:t xml:space="preserve">SERMON 13</w:t>
      </w:r>
      <w:r>
        <w:t xml:space="preserve"> — </w:t>
      </w:r>
      <w:r>
        <w:rPr>
          <w:i/>
          <w:iCs/>
        </w:rPr>
        <w:t xml:space="preserve">4.10v</w:t>
      </w:r>
    </w:p>
    <w:p>
      <w:pPr>
        <w:pStyle w:val="OutlineRow"/>
        <w:ind w:left="1440"/>
      </w:pPr>
      <w:r>
        <w:t xml:space="preserve">[IMPROVEMENT]</w:t>
      </w:r>
    </w:p>
    <w:p>
      <w:pPr>
        <w:pStyle w:val="OutlineRow"/>
        <w:ind w:left="0"/>
      </w:pPr>
      <w:r>
        <w:t xml:space="preserve">I.</w:t>
      </w:r>
      <w:r>
        <w:t xml:space="preserve"> — </w:t>
      </w:r>
      <w:r>
        <w:t xml:space="preserve">Proof Jesus Son of God</w:t>
      </w:r>
    </w:p>
    <w:p>
      <w:pPr>
        <w:pStyle w:val="OutlineRow"/>
        <w:ind w:left="0"/>
      </w:pPr>
      <w:r>
        <w:t xml:space="preserve">II.</w:t>
      </w:r>
      <w:r>
        <w:t xml:space="preserve"> — </w:t>
      </w:r>
      <w:r>
        <w:t xml:space="preserve">Divine authority of Old Testament</w:t>
      </w:r>
      <w:r>
        <w:t xml:space="preserve"> — </w:t>
      </w:r>
      <w:r>
        <w:rPr>
          <w:i/>
          <w:iCs/>
        </w:rPr>
        <w:t xml:space="preserve">4.12r</w:t>
      </w:r>
    </w:p>
    <w:p>
      <w:pPr>
        <w:pStyle w:val="OutlineRow"/>
        <w:ind w:left="0"/>
      </w:pPr>
      <w:r>
        <w:t xml:space="preserve">III.</w:t>
      </w:r>
      <w:r>
        <w:t xml:space="preserve"> — </w:t>
      </w:r>
      <w:r>
        <w:t xml:space="preserve">Defense of Old Testament</w:t>
      </w:r>
      <w:r>
        <w:t xml:space="preserve"> — </w:t>
      </w:r>
      <w:r>
        <w:rPr>
          <w:i/>
          <w:iCs/>
        </w:rPr>
        <w:t xml:space="preserve">4.11v</w:t>
      </w:r>
    </w:p>
    <w:p>
      <w:pPr>
        <w:pStyle w:val="OutlineRow"/>
        <w:ind w:left="0"/>
      </w:pPr>
      <w:r>
        <w:t xml:space="preserve">IV.</w:t>
      </w:r>
      <w:r>
        <w:t xml:space="preserve"> — </w:t>
      </w:r>
      <w:r>
        <w:t xml:space="preserve">God's wisdom manifest in Old Testament</w:t>
      </w:r>
      <w:r>
        <w:t xml:space="preserve"> — </w:t>
      </w:r>
      <w:r>
        <w:rPr>
          <w:i/>
          <w:iCs/>
        </w:rPr>
        <w:t xml:space="preserve">4.16r</w:t>
      </w:r>
    </w:p>
    <w:p>
      <w:pPr>
        <w:pStyle w:val="OutlineRow"/>
        <w:ind w:left="0"/>
      </w:pPr>
      <w:r>
        <w:t xml:space="preserve">V.</w:t>
      </w:r>
      <w:r>
        <w:t xml:space="preserve"> — </w:t>
      </w:r>
      <w:r>
        <w:t xml:space="preserve">Redemption subject of whole Bible</w:t>
      </w:r>
      <w:r>
        <w:t xml:space="preserve"> — </w:t>
      </w:r>
      <w:r>
        <w:rPr>
          <w:i/>
          <w:iCs/>
        </w:rPr>
        <w:t xml:space="preserve">4.18v</w:t>
      </w:r>
    </w:p>
    <w:p>
      <w:pPr>
        <w:pStyle w:val="OutlineRow"/>
        <w:ind w:left="0"/>
      </w:pPr>
      <w:r>
        <w:t xml:space="preserve">VI.</w:t>
      </w:r>
      <w:r>
        <w:t xml:space="preserve"> — </w:t>
      </w:r>
      <w:r>
        <w:t xml:space="preserve">Usefulness and excellency of Old Testament</w:t>
      </w:r>
      <w:r>
        <w:t xml:space="preserve"> — </w:t>
      </w:r>
      <w:r>
        <w:t xml:space="preserve">4.19r</w:t>
      </w:r>
    </w:p>
    <w:p>
      <w:pPr>
        <w:pStyle w:val="OutlineRow"/>
        <w:ind w:left="0"/>
      </w:pPr>
      <w:r>
        <w:t xml:space="preserve">VII.</w:t>
      </w:r>
      <w:r>
        <w:t xml:space="preserve"> — </w:t>
      </w:r>
      <w:r>
        <w:t xml:space="preserve">Need for attention to Old Testament</w:t>
      </w:r>
      <w:r>
        <w:t xml:space="preserve"> — </w:t>
      </w:r>
      <w:r>
        <w:rPr>
          <w:i/>
          <w:iCs/>
        </w:rPr>
        <w:t xml:space="preserve">4.20r</w:t>
      </w:r>
    </w:p>
    <w:p>
      <w:pPr>
        <w:pStyle w:val="OutlineRow"/>
        <w:ind w:left="0"/>
      </w:pPr>
      <w:r>
        <w:t xml:space="preserve">VIII.</w:t>
      </w:r>
      <w:r>
        <w:t xml:space="preserve"> — </w:t>
      </w:r>
      <w:r>
        <w:t xml:space="preserve">Greatness of Jesus Christ</w:t>
      </w:r>
      <w:r>
        <w:t xml:space="preserve"> — </w:t>
      </w:r>
      <w:r>
        <w:rPr>
          <w:i/>
          <w:iCs/>
        </w:rPr>
        <w:t xml:space="preserve">4.21r</w:t>
      </w:r>
    </w:p>
    <w:p>
      <w:pPr>
        <w:pStyle w:val="OutlineRow"/>
        <w:ind w:left="1440"/>
      </w:pPr>
      <w:r>
        <w:t xml:space="preserve">SERMON 14</w:t>
      </w:r>
      <w:r>
        <w:t xml:space="preserve"> — </w:t>
      </w:r>
      <w:r>
        <w:rPr>
          <w:i/>
          <w:iCs/>
        </w:rPr>
        <w:t xml:space="preserve">5.1r</w:t>
      </w:r>
    </w:p>
    <w:p>
      <w:pPr>
        <w:pStyle w:val="OutlineRow"/>
        <w:ind w:left="1440"/>
      </w:pPr>
      <w:r>
        <w:t xml:space="preserve">Second. Incarnation Proposition Two</w:t>
      </w:r>
      <w:r>
        <w:t xml:space="preserve"> — </w:t>
      </w:r>
      <w:r>
        <w:rPr>
          <w:i/>
          <w:iCs/>
        </w:rPr>
        <w:t xml:space="preserve">5.1v</w:t>
      </w:r>
    </w:p>
    <w:p>
      <w:pPr>
        <w:pStyle w:val="OutlineRow"/>
        <w:ind w:left="288"/>
      </w:pPr>
      <w:r>
        <w:t xml:space="preserve">1.</w:t>
      </w:r>
      <w:r>
        <w:t xml:space="preserve"> — </w:t>
      </w:r>
      <w:r>
        <w:t xml:space="preserve">Coming into world</w:t>
      </w:r>
      <w:r>
        <w:t xml:space="preserve"> — </w:t>
      </w:r>
      <w:r>
        <w:rPr>
          <w:i/>
          <w:iCs/>
        </w:rPr>
        <w:t xml:space="preserve">5.2r</w:t>
      </w:r>
    </w:p>
    <w:p>
      <w:pPr>
        <w:pStyle w:val="OutlineRow"/>
        <w:ind w:left="576"/>
      </w:pPr>
      <w:r>
        <w:t xml:space="preserve">a.</w:t>
      </w:r>
      <w:r>
        <w:t xml:space="preserve"> — </w:t>
      </w:r>
      <w:r>
        <w:t xml:space="preserve">Necessity</w:t>
      </w:r>
      <w:r>
        <w:t xml:space="preserve"> — </w:t>
      </w:r>
      <w:r>
        <w:rPr>
          <w:i/>
          <w:iCs/>
        </w:rPr>
        <w:t xml:space="preserve">5.2v</w:t>
      </w:r>
    </w:p>
    <w:p>
      <w:pPr>
        <w:pStyle w:val="OutlineRow"/>
        <w:ind w:left="864"/>
      </w:pPr>
      <w:r>
        <w:t xml:space="preserve">(1.)</w:t>
      </w:r>
      <w:r>
        <w:t xml:space="preserve"> — </w:t>
      </w:r>
      <w:r>
        <w:t xml:space="preserve">Obedience to law</w:t>
      </w:r>
      <w:r>
        <w:t xml:space="preserve"> — </w:t>
      </w:r>
      <w:r>
        <w:rPr>
          <w:i/>
          <w:iCs/>
        </w:rPr>
        <w:t xml:space="preserve">5.3r</w:t>
      </w:r>
    </w:p>
    <w:p>
      <w:pPr>
        <w:pStyle w:val="OutlineRow"/>
        <w:ind w:left="864"/>
      </w:pPr>
      <w:r>
        <w:t xml:space="preserve">(2.)</w:t>
      </w:r>
      <w:r>
        <w:t xml:space="preserve"> — </w:t>
      </w:r>
      <w:r>
        <w:t xml:space="preserve">Death of nature that sinned</w:t>
      </w:r>
    </w:p>
    <w:p>
      <w:pPr>
        <w:pStyle w:val="OutlineRow"/>
        <w:ind w:left="864"/>
      </w:pPr>
      <w:r>
        <w:t xml:space="preserve">(3.)</w:t>
      </w:r>
      <w:r>
        <w:t xml:space="preserve"> — </w:t>
      </w:r>
      <w:r>
        <w:t xml:space="preserve">Same stage for redemption as fall</w:t>
      </w:r>
    </w:p>
    <w:p>
      <w:pPr>
        <w:pStyle w:val="OutlineRow"/>
        <w:ind w:left="576"/>
      </w:pPr>
      <w:r>
        <w:t xml:space="preserve">b.</w:t>
      </w:r>
      <w:r>
        <w:t xml:space="preserve"> — </w:t>
      </w:r>
      <w:r>
        <w:t xml:space="preserve">Observations</w:t>
      </w:r>
      <w:r>
        <w:t xml:space="preserve"> — </w:t>
      </w:r>
      <w:r>
        <w:rPr>
          <w:i/>
          <w:iCs/>
        </w:rPr>
        <w:t xml:space="preserve">5.3v</w:t>
      </w:r>
    </w:p>
    <w:p>
      <w:pPr>
        <w:pStyle w:val="OutlineRow"/>
        <w:ind w:left="864"/>
      </w:pPr>
      <w:r>
        <w:t xml:space="preserve">(1.)</w:t>
      </w:r>
      <w:r>
        <w:t xml:space="preserve"> — </w:t>
      </w:r>
      <w:r>
        <w:t xml:space="preserve">In itself</w:t>
      </w:r>
    </w:p>
    <w:p>
      <w:pPr>
        <w:pStyle w:val="OutlineRow"/>
        <w:ind w:left="1152"/>
      </w:pPr>
      <w:r>
        <w:t xml:space="preserve">(a.)</w:t>
      </w:r>
      <w:r>
        <w:t xml:space="preserve"> — </w:t>
      </w:r>
      <w:r>
        <w:t xml:space="preserve">Conception</w:t>
      </w:r>
    </w:p>
    <w:p>
      <w:pPr>
        <w:pStyle w:val="OutlineRow"/>
        <w:ind w:left="1152"/>
      </w:pPr>
      <w:r>
        <w:t xml:space="preserve">(b.)</w:t>
      </w:r>
      <w:r>
        <w:t xml:space="preserve"> — </w:t>
      </w:r>
      <w:r>
        <w:t xml:space="preserve">Birth</w:t>
      </w:r>
      <w:r>
        <w:t xml:space="preserve"> — </w:t>
      </w:r>
      <w:r>
        <w:rPr>
          <w:i/>
          <w:iCs/>
        </w:rPr>
        <w:t xml:space="preserve">5.4r</w:t>
      </w:r>
    </w:p>
    <w:p>
      <w:pPr>
        <w:pStyle w:val="OutlineRow"/>
        <w:ind w:left="864"/>
      </w:pPr>
      <w:r>
        <w:t xml:space="preserve">(2.)</w:t>
      </w:r>
      <w:r>
        <w:t xml:space="preserve"> — </w:t>
      </w:r>
      <w:r>
        <w:t xml:space="preserve">Its time</w:t>
      </w:r>
    </w:p>
    <w:p>
      <w:pPr>
        <w:pStyle w:val="OutlineRow"/>
        <w:ind w:left="864"/>
      </w:pPr>
      <w:r>
        <w:t xml:space="preserve">(3.)</w:t>
      </w:r>
      <w:r>
        <w:t xml:space="preserve"> — </w:t>
      </w:r>
      <w:r>
        <w:t xml:space="preserve">Its greatness</w:t>
      </w:r>
      <w:r>
        <w:t xml:space="preserve"> — </w:t>
      </w:r>
      <w:r>
        <w:rPr>
          <w:i/>
          <w:iCs/>
        </w:rPr>
        <w:t xml:space="preserve">5.6v</w:t>
      </w:r>
    </w:p>
    <w:p>
      <w:pPr>
        <w:pStyle w:val="OutlineRow"/>
        <w:ind w:left="864"/>
      </w:pPr>
      <w:r>
        <w:t xml:space="preserve">(4.)</w:t>
      </w:r>
      <w:r>
        <w:t xml:space="preserve"> — </w:t>
      </w:r>
      <w:r>
        <w:t xml:space="preserve">Its circumstances</w:t>
      </w:r>
      <w:r>
        <w:t xml:space="preserve"> — </w:t>
      </w:r>
      <w:r>
        <w:rPr>
          <w:i/>
          <w:iCs/>
        </w:rPr>
        <w:t xml:space="preserve">5.7r</w:t>
      </w:r>
    </w:p>
    <w:p>
      <w:pPr>
        <w:pStyle w:val="OutlineRow"/>
        <w:ind w:left="864"/>
      </w:pPr>
      <w:r>
        <w:t xml:space="preserve">(5.)</w:t>
      </w:r>
      <w:r>
        <w:t xml:space="preserve"> — </w:t>
      </w:r>
      <w:r>
        <w:t xml:space="preserve">Its concomitants</w:t>
      </w:r>
      <w:r>
        <w:t xml:space="preserve"> — </w:t>
      </w:r>
      <w:r>
        <w:rPr>
          <w:i/>
          <w:iCs/>
        </w:rPr>
        <w:t xml:space="preserve">5.7v</w:t>
      </w:r>
    </w:p>
    <w:p>
      <w:pPr>
        <w:pStyle w:val="OutlineRow"/>
        <w:ind w:left="1152"/>
      </w:pPr>
      <w:r>
        <w:t xml:space="preserve">(a.)</w:t>
      </w:r>
      <w:r>
        <w:t xml:space="preserve"> — </w:t>
      </w:r>
      <w:r>
        <w:t xml:space="preserve">Return of Spirit</w:t>
      </w:r>
    </w:p>
    <w:p>
      <w:pPr>
        <w:pStyle w:val="OutlineRow"/>
        <w:ind w:left="1152"/>
      </w:pPr>
      <w:r>
        <w:t xml:space="preserve">(b.)</w:t>
      </w:r>
      <w:r>
        <w:t xml:space="preserve"> — </w:t>
      </w:r>
      <w:r>
        <w:t xml:space="preserve">Notice of it</w:t>
      </w:r>
      <w:r>
        <w:t xml:space="preserve"> — </w:t>
      </w:r>
      <w:r>
        <w:rPr>
          <w:i/>
          <w:iCs/>
        </w:rPr>
        <w:t xml:space="preserve">5.8r</w:t>
      </w:r>
    </w:p>
    <w:p>
      <w:pPr>
        <w:pStyle w:val="OutlineRow"/>
        <w:ind w:left="1440"/>
      </w:pPr>
      <w:r>
        <w:t xml:space="preserve">1.</w:t>
      </w:r>
      <w:r>
        <w:t xml:space="preserve"> — </w:t>
      </w:r>
      <w:r>
        <w:t xml:space="preserve">Among angels</w:t>
      </w:r>
    </w:p>
    <w:p>
      <w:pPr>
        <w:pStyle w:val="OutlineRow"/>
        <w:ind w:left="1440"/>
      </w:pPr>
      <w:r>
        <w:t xml:space="preserve">2.</w:t>
      </w:r>
      <w:r>
        <w:t xml:space="preserve"> — </w:t>
      </w:r>
      <w:r>
        <w:t xml:space="preserve">Among Jews</w:t>
      </w:r>
      <w:r>
        <w:t xml:space="preserve"> — </w:t>
      </w:r>
      <w:r>
        <w:rPr>
          <w:i/>
          <w:iCs/>
        </w:rPr>
        <w:t xml:space="preserve">5.8v</w:t>
      </w:r>
    </w:p>
    <w:p>
      <w:pPr>
        <w:pStyle w:val="OutlineRow"/>
        <w:ind w:left="1440"/>
      </w:pPr>
      <w:r>
        <w:t xml:space="preserve">3.</w:t>
      </w:r>
      <w:r>
        <w:t xml:space="preserve"> — </w:t>
      </w:r>
      <w:r>
        <w:t xml:space="preserve">Among Gentiles</w:t>
      </w:r>
      <w:r>
        <w:t xml:space="preserve"> — </w:t>
      </w:r>
      <w:r>
        <w:rPr>
          <w:i/>
          <w:iCs/>
        </w:rPr>
        <w:t xml:space="preserve">5.9r</w:t>
      </w:r>
    </w:p>
    <w:p>
      <w:pPr>
        <w:pStyle w:val="OutlineRow"/>
        <w:ind w:left="1152"/>
      </w:pPr>
      <w:r>
        <w:t xml:space="preserve">(c.)</w:t>
      </w:r>
      <w:r>
        <w:t xml:space="preserve"> — </w:t>
      </w:r>
      <w:r>
        <w:t xml:space="preserve">His circumcision</w:t>
      </w:r>
      <w:r>
        <w:t xml:space="preserve"> — </w:t>
      </w:r>
      <w:r>
        <w:rPr>
          <w:i/>
          <w:iCs/>
        </w:rPr>
        <w:t xml:space="preserve">5.9v</w:t>
      </w:r>
    </w:p>
    <w:p>
      <w:pPr>
        <w:pStyle w:val="OutlineRow"/>
        <w:ind w:left="1152"/>
      </w:pPr>
      <w:r>
        <w:t xml:space="preserve">(d.)</w:t>
      </w:r>
      <w:r>
        <w:t xml:space="preserve"> — </w:t>
      </w:r>
      <w:r>
        <w:t xml:space="preserve">Coming into Temple</w:t>
      </w:r>
    </w:p>
    <w:p>
      <w:pPr>
        <w:pStyle w:val="OutlineRow"/>
        <w:ind w:left="1152"/>
      </w:pPr>
      <w:r>
        <w:t xml:space="preserve">(e.)</w:t>
      </w:r>
      <w:r>
        <w:t xml:space="preserve"> — </w:t>
      </w:r>
      <w:r>
        <w:t xml:space="preserve">End of Judah</w:t>
      </w:r>
      <w:r>
        <w:t xml:space="preserve"> — </w:t>
      </w:r>
      <w:r>
        <w:rPr>
          <w:i/>
          <w:iCs/>
        </w:rPr>
        <w:t xml:space="preserve">5.10r</w:t>
      </w:r>
    </w:p>
    <w:p>
      <w:pPr>
        <w:pStyle w:val="OutlineRow"/>
        <w:ind w:left="288"/>
      </w:pPr>
      <w:r>
        <w:t xml:space="preserve">2.</w:t>
      </w:r>
      <w:r>
        <w:t xml:space="preserve"> — </w:t>
      </w:r>
      <w:r>
        <w:t xml:space="preserve">Purchase of redemption</w:t>
      </w:r>
      <w:r>
        <w:t xml:space="preserve"> — </w:t>
      </w:r>
      <w:r>
        <w:rPr>
          <w:i/>
          <w:iCs/>
        </w:rPr>
        <w:t xml:space="preserve">5.11r</w:t>
      </w:r>
    </w:p>
    <w:p>
      <w:pPr>
        <w:pStyle w:val="OutlineRow"/>
        <w:ind w:left="576"/>
      </w:pPr>
      <w:r>
        <w:t xml:space="preserve">a.</w:t>
      </w:r>
      <w:r>
        <w:t xml:space="preserve"> — </w:t>
      </w:r>
      <w:r>
        <w:t xml:space="preserve">Intention: Satisfaction and merit</w:t>
      </w:r>
    </w:p>
    <w:p>
      <w:pPr>
        <w:pStyle w:val="OutlineRow"/>
        <w:ind w:left="576"/>
      </w:pPr>
      <w:r>
        <w:t xml:space="preserve">b.</w:t>
      </w:r>
      <w:r>
        <w:t xml:space="preserve"> — </w:t>
      </w:r>
      <w:r>
        <w:t xml:space="preserve">Observations</w:t>
      </w:r>
      <w:r>
        <w:t xml:space="preserve"> — </w:t>
      </w:r>
      <w:r>
        <w:rPr>
          <w:i/>
          <w:iCs/>
        </w:rPr>
        <w:t xml:space="preserve">5.12r</w:t>
      </w:r>
    </w:p>
    <w:p>
      <w:pPr>
        <w:pStyle w:val="OutlineRow"/>
        <w:ind w:left="864"/>
      </w:pPr>
      <w:r>
        <w:t xml:space="preserve">(1.)</w:t>
      </w:r>
      <w:r>
        <w:t xml:space="preserve"> — </w:t>
      </w:r>
      <w:r>
        <w:t xml:space="preserve">Nature of above</w:t>
      </w:r>
    </w:p>
    <w:p>
      <w:pPr>
        <w:pStyle w:val="OutlineRow"/>
        <w:ind w:left="1440"/>
      </w:pPr>
      <w:r>
        <w:t xml:space="preserve">SERMON 15</w:t>
      </w:r>
      <w:r>
        <w:t xml:space="preserve"> — </w:t>
      </w:r>
      <w:r>
        <w:rPr>
          <w:i/>
          <w:iCs/>
        </w:rPr>
        <w:t xml:space="preserve">5.13r</w:t>
      </w:r>
    </w:p>
    <w:p>
      <w:pPr>
        <w:pStyle w:val="OutlineRow"/>
        <w:ind w:left="864"/>
      </w:pPr>
      <w:r>
        <w:t xml:space="preserve">(2.)</w:t>
      </w:r>
      <w:r>
        <w:t xml:space="preserve"> — </w:t>
      </w:r>
      <w:r>
        <w:t xml:space="preserve">Throughout lifetime</w:t>
      </w:r>
    </w:p>
    <w:p>
      <w:pPr>
        <w:pStyle w:val="OutlineRow"/>
        <w:ind w:left="864"/>
      </w:pPr>
      <w:r>
        <w:t xml:space="preserve">(3.)</w:t>
      </w:r>
      <w:r>
        <w:t xml:space="preserve"> — </w:t>
      </w:r>
      <w:r>
        <w:t xml:space="preserve">Same acts entailed both</w:t>
      </w:r>
      <w:r>
        <w:t xml:space="preserve"> — </w:t>
      </w:r>
      <w:r>
        <w:rPr>
          <w:i/>
          <w:iCs/>
        </w:rPr>
        <w:t xml:space="preserve">5.14r</w:t>
      </w:r>
    </w:p>
    <w:p>
      <w:pPr>
        <w:pStyle w:val="OutlineRow"/>
        <w:ind w:left="576"/>
      </w:pPr>
      <w:r>
        <w:t xml:space="preserve">c.</w:t>
      </w:r>
      <w:r>
        <w:t xml:space="preserve"> — </w:t>
      </w:r>
      <w:r>
        <w:t xml:space="preserve">Christ's actions</w:t>
      </w:r>
      <w:r>
        <w:t xml:space="preserve"> — </w:t>
      </w:r>
      <w:r>
        <w:rPr>
          <w:i/>
          <w:iCs/>
        </w:rPr>
        <w:t xml:space="preserve">5.15r</w:t>
      </w:r>
    </w:p>
    <w:p>
      <w:pPr>
        <w:pStyle w:val="OutlineRow"/>
        <w:ind w:left="864"/>
      </w:pPr>
      <w:r>
        <w:t xml:space="preserve">(1.)</w:t>
      </w:r>
      <w:r>
        <w:t xml:space="preserve"> — </w:t>
      </w:r>
      <w:r>
        <w:t xml:space="preserve">With respect to righteousness</w:t>
      </w:r>
      <w:r>
        <w:t xml:space="preserve"> — </w:t>
      </w:r>
      <w:r>
        <w:rPr>
          <w:i/>
          <w:iCs/>
        </w:rPr>
        <w:t xml:space="preserve">5.15v</w:t>
      </w:r>
    </w:p>
    <w:p>
      <w:pPr>
        <w:pStyle w:val="OutlineRow"/>
        <w:ind w:left="1152"/>
      </w:pPr>
      <w:r>
        <w:t xml:space="preserve">(a.)</w:t>
      </w:r>
      <w:r>
        <w:t xml:space="preserve"> — </w:t>
      </w:r>
      <w:r>
        <w:t xml:space="preserve">Legal</w:t>
      </w:r>
    </w:p>
    <w:p>
      <w:pPr>
        <w:pStyle w:val="OutlineRow"/>
        <w:ind w:left="1440"/>
      </w:pPr>
      <w:r>
        <w:t xml:space="preserve">1.</w:t>
      </w:r>
      <w:r>
        <w:t xml:space="preserve"> — </w:t>
      </w:r>
      <w:r>
        <w:t xml:space="preserve">As human</w:t>
      </w:r>
      <w:r>
        <w:t xml:space="preserve"> — </w:t>
      </w:r>
      <w:r>
        <w:rPr>
          <w:i/>
          <w:iCs/>
        </w:rPr>
        <w:t xml:space="preserve">5.16v</w:t>
      </w:r>
    </w:p>
    <w:p>
      <w:pPr>
        <w:pStyle w:val="OutlineRow"/>
        <w:ind w:left="1440"/>
      </w:pPr>
      <w:r>
        <w:t xml:space="preserve">2.</w:t>
      </w:r>
      <w:r>
        <w:t xml:space="preserve"> — </w:t>
      </w:r>
      <w:r>
        <w:t xml:space="preserve">As Jew</w:t>
      </w:r>
    </w:p>
    <w:p>
      <w:pPr>
        <w:pStyle w:val="OutlineRow"/>
        <w:ind w:left="1440"/>
      </w:pPr>
      <w:r>
        <w:t xml:space="preserve">3.</w:t>
      </w:r>
      <w:r>
        <w:t xml:space="preserve"> — </w:t>
      </w:r>
      <w:r>
        <w:t xml:space="preserve">As mediator</w:t>
      </w:r>
      <w:r>
        <w:t xml:space="preserve"> — </w:t>
      </w:r>
      <w:r>
        <w:rPr>
          <w:i/>
          <w:iCs/>
        </w:rPr>
        <w:t xml:space="preserve">5.17r</w:t>
      </w:r>
    </w:p>
    <w:p>
      <w:pPr>
        <w:pStyle w:val="OutlineRow"/>
        <w:ind w:left="1440"/>
      </w:pPr>
      <w:r>
        <w:t xml:space="preserve">4.</w:t>
      </w:r>
      <w:r>
        <w:t xml:space="preserve"> — </w:t>
      </w:r>
      <w:r>
        <w:t xml:space="preserve">Observations</w:t>
      </w:r>
      <w:r>
        <w:t xml:space="preserve"> — </w:t>
      </w:r>
      <w:r>
        <w:rPr>
          <w:i/>
          <w:iCs/>
        </w:rPr>
        <w:t xml:space="preserve">5.18r</w:t>
      </w:r>
    </w:p>
    <w:p>
      <w:pPr>
        <w:pStyle w:val="OutlineRow"/>
        <w:ind w:left="1440"/>
      </w:pPr>
      <w:r>
        <w:t xml:space="preserve">a.</w:t>
      </w:r>
      <w:r>
        <w:t xml:space="preserve"> — </w:t>
      </w:r>
      <w:r>
        <w:t xml:space="preserve">Perfect obedience</w:t>
      </w:r>
    </w:p>
    <w:p>
      <w:pPr>
        <w:pStyle w:val="OutlineRow"/>
        <w:ind w:left="1440"/>
      </w:pPr>
      <w:r>
        <w:t xml:space="preserve">b.</w:t>
      </w:r>
      <w:r>
        <w:t xml:space="preserve"> — </w:t>
      </w:r>
      <w:r>
        <w:t xml:space="preserve">Trials and temptations</w:t>
      </w:r>
      <w:r>
        <w:t xml:space="preserve"> — </w:t>
      </w:r>
      <w:r>
        <w:rPr>
          <w:i/>
          <w:iCs/>
        </w:rPr>
        <w:t xml:space="preserve">5.19r</w:t>
      </w:r>
    </w:p>
    <w:p>
      <w:pPr>
        <w:pStyle w:val="OutlineRow"/>
        <w:ind w:left="1440"/>
      </w:pPr>
      <w:r>
        <w:t xml:space="preserve">c.</w:t>
      </w:r>
      <w:r>
        <w:t xml:space="preserve"> — </w:t>
      </w:r>
      <w:r>
        <w:t xml:space="preserve">Respect to God</w:t>
      </w:r>
    </w:p>
    <w:p>
      <w:pPr>
        <w:pStyle w:val="OutlineRow"/>
        <w:ind w:left="1152"/>
      </w:pPr>
      <w:r>
        <w:t xml:space="preserve">(b.)</w:t>
      </w:r>
      <w:r>
        <w:t xml:space="preserve"> — </w:t>
      </w:r>
      <w:r>
        <w:t xml:space="preserve">Different parts of life</w:t>
      </w:r>
      <w:r>
        <w:t xml:space="preserve"> — </w:t>
      </w:r>
      <w:r>
        <w:rPr>
          <w:i/>
          <w:iCs/>
        </w:rPr>
        <w:t xml:space="preserve">5.19v</w:t>
      </w:r>
    </w:p>
    <w:p>
      <w:pPr>
        <w:pStyle w:val="OutlineRow"/>
        <w:ind w:left="1440"/>
      </w:pPr>
      <w:r>
        <w:t xml:space="preserve">1.</w:t>
      </w:r>
      <w:r>
        <w:t xml:space="preserve"> — </w:t>
      </w:r>
      <w:r>
        <w:t xml:space="preserve">Private</w:t>
      </w:r>
    </w:p>
    <w:p>
      <w:pPr>
        <w:pStyle w:val="OutlineRow"/>
        <w:ind w:left="1440"/>
      </w:pPr>
      <w:r>
        <w:t xml:space="preserve">2.</w:t>
      </w:r>
      <w:r>
        <w:t xml:space="preserve"> — </w:t>
      </w:r>
      <w:r>
        <w:t xml:space="preserve">Public</w:t>
      </w:r>
      <w:r>
        <w:t xml:space="preserve"> — </w:t>
      </w:r>
      <w:r>
        <w:rPr>
          <w:i/>
          <w:iCs/>
        </w:rPr>
        <w:t xml:space="preserve">5.20r</w:t>
      </w:r>
    </w:p>
    <w:p>
      <w:pPr>
        <w:pStyle w:val="OutlineRow"/>
        <w:ind w:left="1440"/>
      </w:pPr>
      <w:r>
        <w:t xml:space="preserve">a.</w:t>
      </w:r>
      <w:r>
        <w:t xml:space="preserve"> — </w:t>
      </w:r>
      <w:r>
        <w:t xml:space="preserve">John the Baptist forerunner</w:t>
      </w:r>
      <w:r>
        <w:t xml:space="preserve"> — </w:t>
      </w:r>
      <w:r>
        <w:rPr>
          <w:i/>
          <w:iCs/>
        </w:rPr>
        <w:t xml:space="preserve">5.20v</w:t>
      </w:r>
    </w:p>
    <w:p>
      <w:pPr>
        <w:pStyle w:val="OutlineRow"/>
        <w:ind w:left="1440"/>
      </w:pPr>
      <w:r>
        <w:t xml:space="preserve">b.</w:t>
      </w:r>
      <w:r>
        <w:t xml:space="preserve"> — </w:t>
      </w:r>
      <w:r>
        <w:t xml:space="preserve">Temptation in wilderness</w:t>
      </w:r>
      <w:r>
        <w:t xml:space="preserve"> — </w:t>
      </w:r>
      <w:r>
        <w:rPr>
          <w:i/>
          <w:iCs/>
        </w:rPr>
        <w:t xml:space="preserve">5.22r</w:t>
      </w:r>
    </w:p>
    <w:p>
      <w:pPr>
        <w:pStyle w:val="OutlineRow"/>
        <w:ind w:left="1440"/>
      </w:pPr>
      <w:r>
        <w:t xml:space="preserve">c.</w:t>
      </w:r>
      <w:r>
        <w:t xml:space="preserve"> — </w:t>
      </w:r>
      <w:r>
        <w:t xml:space="preserve">Works</w:t>
      </w:r>
      <w:r>
        <w:t xml:space="preserve"> — </w:t>
      </w:r>
      <w:r>
        <w:rPr>
          <w:i/>
          <w:iCs/>
        </w:rPr>
        <w:t xml:space="preserve">5.22v</w:t>
      </w:r>
    </w:p>
    <w:p>
      <w:pPr>
        <w:pStyle w:val="OutlineRow"/>
        <w:ind w:left="1440"/>
      </w:pPr>
      <w:r>
        <w:t xml:space="preserve">(1.)</w:t>
      </w:r>
      <w:r>
        <w:t xml:space="preserve"> — </w:t>
      </w:r>
      <w:r>
        <w:t xml:space="preserve">Preaching</w:t>
      </w:r>
    </w:p>
    <w:p>
      <w:pPr>
        <w:pStyle w:val="OutlineRow"/>
        <w:ind w:left="1440"/>
      </w:pPr>
      <w:r>
        <w:t xml:space="preserve">(2.)</w:t>
      </w:r>
      <w:r>
        <w:t xml:space="preserve"> — </w:t>
      </w:r>
      <w:r>
        <w:t xml:space="preserve">Miracles</w:t>
      </w:r>
      <w:r>
        <w:t xml:space="preserve"> — </w:t>
      </w:r>
      <w:r>
        <w:rPr>
          <w:i/>
          <w:iCs/>
        </w:rPr>
        <w:t xml:space="preserve">5.23v</w:t>
      </w:r>
    </w:p>
    <w:p>
      <w:pPr>
        <w:pStyle w:val="OutlineRow"/>
        <w:ind w:left="1440"/>
      </w:pPr>
      <w:r>
        <w:t xml:space="preserve">(a.)</w:t>
      </w:r>
      <w:r>
        <w:t xml:space="preserve"> — </w:t>
      </w:r>
      <w:r>
        <w:t xml:space="preserve">Multitudes</w:t>
      </w:r>
    </w:p>
    <w:p>
      <w:pPr>
        <w:pStyle w:val="OutlineRow"/>
        <w:ind w:left="1440"/>
      </w:pPr>
      <w:r>
        <w:t xml:space="preserve">(b.)</w:t>
      </w:r>
      <w:r>
        <w:t xml:space="preserve"> — </w:t>
      </w:r>
      <w:r>
        <w:t xml:space="preserve">Merciful</w:t>
      </w:r>
    </w:p>
    <w:p>
      <w:pPr>
        <w:pStyle w:val="OutlineRow"/>
        <w:ind w:left="1440"/>
      </w:pPr>
      <w:r>
        <w:t xml:space="preserve">(c.)</w:t>
      </w:r>
      <w:r>
        <w:t xml:space="preserve"> — </w:t>
      </w:r>
      <w:r>
        <w:t xml:space="preserve">Works of God</w:t>
      </w:r>
    </w:p>
    <w:p>
      <w:pPr>
        <w:pStyle w:val="OutlineRow"/>
        <w:ind w:left="1440"/>
      </w:pPr>
      <w:r>
        <w:t xml:space="preserve">(d.)</w:t>
      </w:r>
      <w:r>
        <w:t xml:space="preserve"> — </w:t>
      </w:r>
      <w:r>
        <w:t xml:space="preserve">Images of great work</w:t>
      </w:r>
      <w:r>
        <w:t xml:space="preserve"> — </w:t>
      </w:r>
      <w:r>
        <w:rPr>
          <w:i/>
          <w:iCs/>
        </w:rPr>
        <w:t xml:space="preserve">5.24r</w:t>
      </w:r>
    </w:p>
    <w:p>
      <w:pPr>
        <w:pStyle w:val="OutlineRow"/>
        <w:ind w:left="1440"/>
      </w:pPr>
      <w:r>
        <w:t xml:space="preserve">(e.)</w:t>
      </w:r>
      <w:r>
        <w:t xml:space="preserve"> — </w:t>
      </w:r>
      <w:r>
        <w:t xml:space="preserve">By his own power</w:t>
      </w:r>
    </w:p>
    <w:p>
      <w:pPr>
        <w:pStyle w:val="OutlineRow"/>
        <w:ind w:left="1440"/>
      </w:pPr>
      <w:r>
        <w:t xml:space="preserve">(3.)</w:t>
      </w:r>
      <w:r>
        <w:t xml:space="preserve"> — </w:t>
      </w:r>
      <w:r>
        <w:t xml:space="preserve">Calling disciples</w:t>
      </w:r>
      <w:r>
        <w:t xml:space="preserve"> — </w:t>
      </w:r>
      <w:r>
        <w:rPr>
          <w:i/>
          <w:iCs/>
        </w:rPr>
        <w:t xml:space="preserve">5.24v</w:t>
      </w:r>
    </w:p>
    <w:p>
      <w:pPr>
        <w:pStyle w:val="OutlineRow"/>
        <w:ind w:left="1440"/>
      </w:pPr>
      <w:r>
        <w:t xml:space="preserve">d.</w:t>
      </w:r>
      <w:r>
        <w:t xml:space="preserve"> — </w:t>
      </w:r>
      <w:r>
        <w:t xml:space="preserve">How completed</w:t>
      </w:r>
      <w:r>
        <w:t xml:space="preserve"> — </w:t>
      </w:r>
      <w:r>
        <w:rPr>
          <w:i/>
          <w:iCs/>
        </w:rPr>
        <w:t xml:space="preserve">5.25r</w:t>
      </w:r>
    </w:p>
    <w:p>
      <w:pPr>
        <w:pStyle w:val="OutlineRow"/>
        <w:ind w:left="1440"/>
      </w:pPr>
      <w:r>
        <w:t xml:space="preserve">(1.)</w:t>
      </w:r>
      <w:r>
        <w:t xml:space="preserve"> — </w:t>
      </w:r>
      <w:r>
        <w:t xml:space="preserve">Disciples</w:t>
      </w:r>
    </w:p>
    <w:p>
      <w:pPr>
        <w:pStyle w:val="OutlineRow"/>
        <w:ind w:left="1440"/>
      </w:pPr>
      <w:r>
        <w:t xml:space="preserve">(2.)</w:t>
      </w:r>
      <w:r>
        <w:t xml:space="preserve"> — </w:t>
      </w:r>
      <w:r>
        <w:t xml:space="preserve">Memorial of death</w:t>
      </w:r>
      <w:r>
        <w:t xml:space="preserve"> — </w:t>
      </w:r>
      <w:r>
        <w:rPr>
          <w:i/>
          <w:iCs/>
        </w:rPr>
        <w:t xml:space="preserve">5.25v</w:t>
      </w:r>
    </w:p>
    <w:p>
      <w:pPr>
        <w:pStyle w:val="OutlineRow"/>
        <w:ind w:left="1440"/>
      </w:pPr>
      <w:r>
        <w:t xml:space="preserve">(3.)</w:t>
      </w:r>
      <w:r>
        <w:t xml:space="preserve"> — </w:t>
      </w:r>
      <w:r>
        <w:t xml:space="preserve">Sacrifice of self</w:t>
      </w:r>
    </w:p>
    <w:p>
      <w:pPr>
        <w:pStyle w:val="OutlineRow"/>
        <w:ind w:left="1440"/>
      </w:pPr>
      <w:r>
        <w:t xml:space="preserve">SERMON 16</w:t>
      </w:r>
      <w:r>
        <w:t xml:space="preserve"> — </w:t>
      </w:r>
      <w:r>
        <w:t xml:space="preserve">6.1r</w:t>
      </w:r>
    </w:p>
    <w:p>
      <w:pPr>
        <w:pStyle w:val="OutlineRow"/>
        <w:ind w:left="1152"/>
      </w:pPr>
      <w:r>
        <w:t xml:space="preserve">(c.)</w:t>
      </w:r>
      <w:r>
        <w:t xml:space="preserve"> — </w:t>
      </w:r>
      <w:r>
        <w:t xml:space="preserve">Virtues manifested</w:t>
      </w:r>
      <w:r>
        <w:t xml:space="preserve"> — </w:t>
      </w:r>
      <w:r>
        <w:t xml:space="preserve">6.1v</w:t>
      </w:r>
    </w:p>
    <w:p>
      <w:pPr>
        <w:pStyle w:val="OutlineRow"/>
        <w:ind w:left="1440"/>
      </w:pPr>
      <w:r>
        <w:t xml:space="preserve">1.</w:t>
      </w:r>
      <w:r>
        <w:t xml:space="preserve"> — </w:t>
      </w:r>
      <w:r>
        <w:t xml:space="preserve">With respect to God</w:t>
      </w:r>
      <w:r>
        <w:t xml:space="preserve"> — </w:t>
      </w:r>
      <w:r>
        <w:rPr>
          <w:i/>
          <w:iCs/>
        </w:rPr>
        <w:t xml:space="preserve">6.2r</w:t>
      </w:r>
    </w:p>
    <w:p>
      <w:pPr>
        <w:pStyle w:val="OutlineRow"/>
        <w:ind w:left="1440"/>
      </w:pPr>
      <w:r>
        <w:t xml:space="preserve">2.</w:t>
      </w:r>
      <w:r>
        <w:t xml:space="preserve"> — </w:t>
      </w:r>
      <w:r>
        <w:t xml:space="preserve">With respect to self</w:t>
      </w:r>
      <w:r>
        <w:t xml:space="preserve"> — </w:t>
      </w:r>
      <w:r>
        <w:rPr>
          <w:i/>
          <w:iCs/>
        </w:rPr>
        <w:t xml:space="preserve">6.2v</w:t>
      </w:r>
    </w:p>
    <w:p>
      <w:pPr>
        <w:pStyle w:val="OutlineRow"/>
        <w:ind w:left="1440"/>
      </w:pPr>
      <w:r>
        <w:t xml:space="preserve">3.</w:t>
      </w:r>
      <w:r>
        <w:t xml:space="preserve"> — </w:t>
      </w:r>
      <w:r>
        <w:t xml:space="preserve">With respect to men</w:t>
      </w:r>
      <w:r>
        <w:t xml:space="preserve"> — </w:t>
      </w:r>
      <w:r>
        <w:rPr>
          <w:i/>
          <w:iCs/>
        </w:rPr>
        <w:t xml:space="preserve">6.4r</w:t>
      </w:r>
    </w:p>
    <w:p>
      <w:pPr>
        <w:pStyle w:val="OutlineRow"/>
        <w:ind w:left="864"/>
      </w:pPr>
      <w:r>
        <w:t xml:space="preserve">(2.)</w:t>
      </w:r>
      <w:r>
        <w:t xml:space="preserve"> — </w:t>
      </w:r>
      <w:r>
        <w:t xml:space="preserve">With respect to satisfaction for sins</w:t>
      </w:r>
      <w:r>
        <w:t xml:space="preserve"> — </w:t>
      </w:r>
      <w:r>
        <w:rPr>
          <w:i/>
          <w:iCs/>
        </w:rPr>
        <w:t xml:space="preserve">6.5v</w:t>
      </w:r>
    </w:p>
    <w:p>
      <w:pPr>
        <w:pStyle w:val="OutlineRow"/>
        <w:ind w:left="1152"/>
      </w:pPr>
      <w:r>
        <w:t xml:space="preserve">(a.)</w:t>
      </w:r>
      <w:r>
        <w:t xml:space="preserve"> — </w:t>
      </w:r>
      <w:r>
        <w:t xml:space="preserve">Uncommon suffering</w:t>
      </w:r>
    </w:p>
    <w:p>
      <w:pPr>
        <w:pStyle w:val="OutlineRow"/>
        <w:ind w:left="1152"/>
      </w:pPr>
      <w:r>
        <w:t xml:space="preserve">(b.)</w:t>
      </w:r>
      <w:r>
        <w:t xml:space="preserve"> — </w:t>
      </w:r>
      <w:r>
        <w:t xml:space="preserve">Humiliation in private life</w:t>
      </w:r>
      <w:r>
        <w:t xml:space="preserve"> — </w:t>
      </w:r>
      <w:r>
        <w:rPr>
          <w:i/>
          <w:iCs/>
        </w:rPr>
        <w:t xml:space="preserve">6.6v</w:t>
      </w:r>
    </w:p>
    <w:p>
      <w:pPr>
        <w:pStyle w:val="OutlineRow"/>
        <w:ind w:left="1152"/>
      </w:pPr>
      <w:r>
        <w:t xml:space="preserve">(c.)</w:t>
      </w:r>
      <w:r>
        <w:t xml:space="preserve"> — </w:t>
      </w:r>
      <w:r>
        <w:t xml:space="preserve">Humiliation in public life</w:t>
      </w:r>
      <w:r>
        <w:t xml:space="preserve"> — </w:t>
      </w:r>
      <w:r>
        <w:rPr>
          <w:i/>
          <w:iCs/>
        </w:rPr>
        <w:t xml:space="preserve">6.7r</w:t>
      </w:r>
    </w:p>
    <w:p>
      <w:pPr>
        <w:pStyle w:val="OutlineRow"/>
        <w:ind w:left="1440"/>
      </w:pPr>
      <w:r>
        <w:t xml:space="preserve">1.</w:t>
      </w:r>
      <w:r>
        <w:t xml:space="preserve"> — </w:t>
      </w:r>
      <w:r>
        <w:t xml:space="preserve">Poverty</w:t>
      </w:r>
    </w:p>
    <w:p>
      <w:pPr>
        <w:pStyle w:val="OutlineRow"/>
        <w:ind w:left="1440"/>
      </w:pPr>
      <w:r>
        <w:t xml:space="preserve">2.</w:t>
      </w:r>
      <w:r>
        <w:t xml:space="preserve"> — </w:t>
      </w:r>
      <w:r>
        <w:t xml:space="preserve">Hatred and reproach</w:t>
      </w:r>
      <w:r>
        <w:t xml:space="preserve"> — </w:t>
      </w:r>
      <w:r>
        <w:rPr>
          <w:i/>
          <w:iCs/>
        </w:rPr>
        <w:t xml:space="preserve">6.7v</w:t>
      </w:r>
    </w:p>
    <w:p>
      <w:pPr>
        <w:pStyle w:val="OutlineRow"/>
        <w:ind w:left="1440"/>
      </w:pPr>
      <w:r>
        <w:t xml:space="preserve">3.</w:t>
      </w:r>
      <w:r>
        <w:t xml:space="preserve"> — </w:t>
      </w:r>
      <w:r>
        <w:t xml:space="preserve">Buffetings of devil</w:t>
      </w:r>
      <w:r>
        <w:t xml:space="preserve"> — </w:t>
      </w:r>
      <w:r>
        <w:rPr>
          <w:i/>
          <w:iCs/>
        </w:rPr>
        <w:t xml:space="preserve">6.8v</w:t>
      </w:r>
    </w:p>
    <w:p>
      <w:pPr>
        <w:pStyle w:val="OutlineRow"/>
        <w:ind w:left="1440"/>
      </w:pPr>
      <w:r>
        <w:t xml:space="preserve">4.</w:t>
      </w:r>
      <w:r>
        <w:t xml:space="preserve"> — </w:t>
      </w:r>
      <w:r>
        <w:t xml:space="preserve">His betrayal to resurrection</w:t>
      </w:r>
      <w:r>
        <w:t xml:space="preserve"> — </w:t>
      </w:r>
      <w:r>
        <w:rPr>
          <w:i/>
          <w:iCs/>
        </w:rPr>
        <w:t xml:space="preserve">6.9r</w:t>
      </w:r>
    </w:p>
    <w:p>
      <w:pPr>
        <w:pStyle w:val="OutlineRow"/>
        <w:ind w:left="1440"/>
      </w:pPr>
      <w:r>
        <w:t xml:space="preserve">SERMON 17</w:t>
      </w:r>
      <w:r>
        <w:t xml:space="preserve"> — </w:t>
      </w:r>
      <w:r>
        <w:rPr>
          <w:i/>
          <w:iCs/>
        </w:rPr>
        <w:t xml:space="preserve">6.13r</w:t>
      </w:r>
    </w:p>
    <w:p>
      <w:pPr>
        <w:pStyle w:val="OutlineRow"/>
        <w:ind w:left="1440"/>
      </w:pPr>
      <w:r>
        <w:t xml:space="preserve">[APPLICATION]</w:t>
      </w:r>
    </w:p>
    <w:p>
      <w:pPr>
        <w:pStyle w:val="OutlineRow"/>
        <w:ind w:left="0"/>
      </w:pPr>
      <w:r>
        <w:t xml:space="preserve">I.</w:t>
      </w:r>
      <w:r>
        <w:t xml:space="preserve"> — </w:t>
      </w:r>
      <w:r>
        <w:t xml:space="preserve">Reproof</w:t>
      </w:r>
      <w:r>
        <w:t xml:space="preserve"> — </w:t>
      </w:r>
      <w:r>
        <w:rPr>
          <w:i/>
          <w:iCs/>
        </w:rPr>
        <w:t xml:space="preserve">6.14r</w:t>
      </w:r>
    </w:p>
    <w:p>
      <w:pPr>
        <w:pStyle w:val="OutlineRow"/>
        <w:ind w:left="1440"/>
      </w:pPr>
      <w:r>
        <w:t xml:space="preserve">First. Unbelief</w:t>
      </w:r>
    </w:p>
    <w:p>
      <w:pPr>
        <w:pStyle w:val="OutlineRow"/>
        <w:ind w:left="1440"/>
      </w:pPr>
      <w:r>
        <w:t xml:space="preserve">Second. Self-righteousness</w:t>
      </w:r>
      <w:r>
        <w:t xml:space="preserve"> — </w:t>
      </w:r>
      <w:r>
        <w:rPr>
          <w:i/>
          <w:iCs/>
        </w:rPr>
        <w:t xml:space="preserve">6.15v</w:t>
      </w:r>
    </w:p>
    <w:p>
      <w:pPr>
        <w:pStyle w:val="OutlineRow"/>
        <w:ind w:left="288"/>
      </w:pPr>
      <w:r>
        <w:t xml:space="preserve">1.</w:t>
      </w:r>
      <w:r>
        <w:t xml:space="preserve"> — </w:t>
      </w:r>
      <w:r>
        <w:t xml:space="preserve">Work own salvation</w:t>
      </w:r>
      <w:r>
        <w:t xml:space="preserve"> — </w:t>
      </w:r>
      <w:r>
        <w:rPr>
          <w:i/>
          <w:iCs/>
        </w:rPr>
        <w:t xml:space="preserve">6.16r</w:t>
      </w:r>
    </w:p>
    <w:p>
      <w:pPr>
        <w:pStyle w:val="OutlineRow"/>
        <w:ind w:left="288"/>
      </w:pPr>
      <w:r>
        <w:t xml:space="preserve">2.</w:t>
      </w:r>
      <w:r>
        <w:t xml:space="preserve"> — </w:t>
      </w:r>
      <w:r>
        <w:t xml:space="preserve">Christ's work in vain</w:t>
      </w:r>
      <w:r>
        <w:t xml:space="preserve"> — </w:t>
      </w:r>
      <w:r>
        <w:rPr>
          <w:i/>
          <w:iCs/>
        </w:rPr>
        <w:t xml:space="preserve">6.16v</w:t>
      </w:r>
    </w:p>
    <w:p>
      <w:pPr>
        <w:pStyle w:val="OutlineRow"/>
        <w:ind w:left="288"/>
      </w:pPr>
      <w:r>
        <w:t xml:space="preserve">3.</w:t>
      </w:r>
      <w:r>
        <w:t xml:space="preserve"> — </w:t>
      </w:r>
      <w:r>
        <w:t xml:space="preserve">Arrogate God's work to self</w:t>
      </w:r>
      <w:r>
        <w:t xml:space="preserve"> — </w:t>
      </w:r>
      <w:r>
        <w:rPr>
          <w:i/>
          <w:iCs/>
        </w:rPr>
        <w:t xml:space="preserve">6.17v</w:t>
      </w:r>
    </w:p>
    <w:p>
      <w:pPr>
        <w:pStyle w:val="OutlineRow"/>
        <w:ind w:left="1440"/>
      </w:pPr>
      <w:r>
        <w:t xml:space="preserve">Third. Neglect. (Expostulatory interrogations)</w:t>
      </w:r>
      <w:r>
        <w:t xml:space="preserve"> — </w:t>
      </w:r>
      <w:r>
        <w:rPr>
          <w:i/>
          <w:iCs/>
        </w:rPr>
        <w:t xml:space="preserve">6.20r</w:t>
      </w:r>
    </w:p>
    <w:p>
      <w:pPr>
        <w:pStyle w:val="OutlineRow"/>
        <w:ind w:left="288"/>
      </w:pPr>
      <w:r>
        <w:t xml:space="preserve">1.</w:t>
      </w:r>
      <w:r>
        <w:t xml:space="preserve"> — </w:t>
      </w:r>
      <w:r>
        <w:t xml:space="preserve">What others have sought</w:t>
      </w:r>
      <w:r>
        <w:t xml:space="preserve"> — </w:t>
      </w:r>
      <w:r>
        <w:rPr>
          <w:i/>
          <w:iCs/>
        </w:rPr>
        <w:t xml:space="preserve">6.20v</w:t>
      </w:r>
    </w:p>
    <w:p>
      <w:pPr>
        <w:pStyle w:val="OutlineRow"/>
        <w:ind w:left="288"/>
      </w:pPr>
      <w:r>
        <w:t xml:space="preserve">2.</w:t>
      </w:r>
      <w:r>
        <w:t xml:space="preserve"> — </w:t>
      </w:r>
      <w:r>
        <w:t xml:space="preserve">What angels have engaged with</w:t>
      </w:r>
      <w:r>
        <w:t xml:space="preserve"> — </w:t>
      </w:r>
      <w:r>
        <w:rPr>
          <w:i/>
          <w:iCs/>
        </w:rPr>
        <w:t xml:space="preserve">6.21v</w:t>
      </w:r>
    </w:p>
    <w:p>
      <w:pPr>
        <w:pStyle w:val="OutlineRow"/>
        <w:ind w:left="288"/>
      </w:pPr>
      <w:r>
        <w:t xml:space="preserve">3.</w:t>
      </w:r>
      <w:r>
        <w:t xml:space="preserve"> — </w:t>
      </w:r>
      <w:r>
        <w:t xml:space="preserve">What Christ has wrought</w:t>
      </w:r>
      <w:r>
        <w:t xml:space="preserve"> — </w:t>
      </w:r>
      <w:r>
        <w:rPr>
          <w:i/>
          <w:iCs/>
        </w:rPr>
        <w:t xml:space="preserve">6.22v</w:t>
      </w:r>
    </w:p>
    <w:p>
      <w:pPr>
        <w:pStyle w:val="OutlineRow"/>
        <w:ind w:left="288"/>
      </w:pPr>
      <w:r>
        <w:t xml:space="preserve">4.</w:t>
      </w:r>
      <w:r>
        <w:t xml:space="preserve"> — </w:t>
      </w:r>
      <w:r>
        <w:t xml:space="preserve">What God has worked</w:t>
      </w:r>
      <w:r>
        <w:t xml:space="preserve"> — </w:t>
      </w:r>
      <w:r>
        <w:rPr>
          <w:i/>
          <w:iCs/>
        </w:rPr>
        <w:t xml:space="preserve">6.23r</w:t>
      </w:r>
    </w:p>
    <w:p>
      <w:pPr>
        <w:pStyle w:val="OutlineRow"/>
        <w:ind w:left="0"/>
      </w:pPr>
      <w:r>
        <w:t xml:space="preserve">II.</w:t>
      </w:r>
      <w:r>
        <w:t xml:space="preserve"> — </w:t>
      </w:r>
      <w:r>
        <w:t xml:space="preserve">Encouragement</w:t>
      </w:r>
      <w:r>
        <w:t xml:space="preserve"> — </w:t>
      </w:r>
      <w:r>
        <w:rPr>
          <w:i/>
          <w:iCs/>
        </w:rPr>
        <w:t xml:space="preserve">6.24r</w:t>
      </w:r>
    </w:p>
    <w:p>
      <w:pPr>
        <w:pStyle w:val="OutlineRow"/>
        <w:ind w:left="1440"/>
      </w:pPr>
      <w:r>
        <w:t xml:space="preserve">First. Completeness of purchase</w:t>
      </w:r>
      <w:r>
        <w:t xml:space="preserve"> — </w:t>
      </w:r>
      <w:r>
        <w:rPr>
          <w:i/>
          <w:iCs/>
        </w:rPr>
        <w:t xml:space="preserve">6.24v</w:t>
      </w:r>
    </w:p>
    <w:p>
      <w:pPr>
        <w:pStyle w:val="OutlineRow"/>
        <w:ind w:left="1440"/>
      </w:pPr>
      <w:r>
        <w:t xml:space="preserve">Second. Christ and God welcome</w:t>
      </w:r>
      <w:r>
        <w:t xml:space="preserve"> — </w:t>
      </w:r>
      <w:r>
        <w:t xml:space="preserve">6.25r</w:t>
      </w:r>
    </w:p>
    <w:p>
      <w:pPr>
        <w:pStyle w:val="OutlineRow"/>
        <w:ind w:left="1440"/>
      </w:pPr>
      <w:r>
        <w:t xml:space="preserve">SERMON 18</w:t>
      </w:r>
      <w:r>
        <w:t xml:space="preserve"> — </w:t>
      </w:r>
      <w:r>
        <w:rPr>
          <w:i/>
          <w:iCs/>
        </w:rPr>
        <w:t xml:space="preserve">7.1r</w:t>
      </w:r>
    </w:p>
    <w:p>
      <w:pPr>
        <w:pStyle w:val="OutlineRow"/>
        <w:ind w:left="1440"/>
      </w:pPr>
      <w:r>
        <w:t xml:space="preserve">Third. Christ's resurrection to end of world Proposition Three</w:t>
      </w:r>
    </w:p>
    <w:p>
      <w:pPr>
        <w:pStyle w:val="OutlineRow"/>
        <w:ind w:left="288"/>
      </w:pPr>
      <w:r>
        <w:t xml:space="preserve">1.</w:t>
      </w:r>
      <w:r>
        <w:t xml:space="preserve"> — </w:t>
      </w:r>
      <w:r>
        <w:t xml:space="preserve">General observations</w:t>
      </w:r>
      <w:r>
        <w:t xml:space="preserve"> — </w:t>
      </w:r>
      <w:r>
        <w:rPr>
          <w:i/>
          <w:iCs/>
        </w:rPr>
        <w:t xml:space="preserve">7.2v</w:t>
      </w:r>
    </w:p>
    <w:p>
      <w:pPr>
        <w:pStyle w:val="OutlineRow"/>
        <w:ind w:left="576"/>
      </w:pPr>
      <w:r>
        <w:t xml:space="preserve">a.</w:t>
      </w:r>
      <w:r>
        <w:t xml:space="preserve"> — </w:t>
      </w:r>
      <w:r>
        <w:t xml:space="preserve">"Latter days" of Old Testament</w:t>
      </w:r>
    </w:p>
    <w:p>
      <w:pPr>
        <w:pStyle w:val="OutlineRow"/>
        <w:ind w:left="576"/>
      </w:pPr>
      <w:r>
        <w:t xml:space="preserve">b.</w:t>
      </w:r>
      <w:r>
        <w:t xml:space="preserve"> — </w:t>
      </w:r>
      <w:r>
        <w:t xml:space="preserve">Period called "end of the world"</w:t>
      </w:r>
      <w:r>
        <w:t xml:space="preserve"> — </w:t>
      </w:r>
      <w:r>
        <w:rPr>
          <w:i/>
          <w:iCs/>
        </w:rPr>
        <w:t xml:space="preserve">7.3r</w:t>
      </w:r>
    </w:p>
    <w:p>
      <w:pPr>
        <w:pStyle w:val="OutlineRow"/>
        <w:ind w:left="576"/>
      </w:pPr>
      <w:r>
        <w:t xml:space="preserve">c.</w:t>
      </w:r>
      <w:r>
        <w:t xml:space="preserve"> — </w:t>
      </w:r>
      <w:r>
        <w:t xml:space="preserve">"A new heaven and a new earth"</w:t>
      </w:r>
      <w:r>
        <w:t xml:space="preserve"> — </w:t>
      </w:r>
      <w:r>
        <w:rPr>
          <w:i/>
          <w:iCs/>
        </w:rPr>
        <w:t xml:space="preserve">7.5r</w:t>
      </w:r>
    </w:p>
    <w:p>
      <w:pPr>
        <w:pStyle w:val="OutlineRow"/>
        <w:ind w:left="576"/>
      </w:pPr>
      <w:r>
        <w:t xml:space="preserve">d.</w:t>
      </w:r>
      <w:r>
        <w:t xml:space="preserve"> — </w:t>
      </w:r>
      <w:r>
        <w:t xml:space="preserve">"Kingdom of heaven" or "Kingdom of God"</w:t>
      </w:r>
      <w:r>
        <w:t xml:space="preserve"> — </w:t>
      </w:r>
      <w:r>
        <w:rPr>
          <w:i/>
          <w:iCs/>
        </w:rPr>
        <w:t xml:space="preserve">7.6v</w:t>
      </w:r>
    </w:p>
    <w:p>
      <w:pPr>
        <w:pStyle w:val="OutlineRow"/>
        <w:ind w:left="864"/>
      </w:pPr>
      <w:r>
        <w:t xml:space="preserve">(1.)</w:t>
      </w:r>
      <w:r>
        <w:t xml:space="preserve"> — </w:t>
      </w:r>
      <w:r>
        <w:t xml:space="preserve">Four successive great events accomplished</w:t>
      </w:r>
      <w:r>
        <w:t xml:space="preserve"> — </w:t>
      </w:r>
      <w:r>
        <w:rPr>
          <w:i/>
          <w:iCs/>
        </w:rPr>
        <w:t xml:space="preserve">7.7v</w:t>
      </w:r>
    </w:p>
    <w:p>
      <w:pPr>
        <w:pStyle w:val="OutlineRow"/>
        <w:ind w:left="864"/>
      </w:pPr>
      <w:r>
        <w:t xml:space="preserve">(2.)</w:t>
      </w:r>
      <w:r>
        <w:t xml:space="preserve"> — </w:t>
      </w:r>
      <w:r>
        <w:t xml:space="preserve">Three former types and image of fourth</w:t>
      </w:r>
      <w:r>
        <w:t xml:space="preserve"> — </w:t>
      </w:r>
      <w:r>
        <w:rPr>
          <w:i/>
          <w:iCs/>
        </w:rPr>
        <w:t xml:space="preserve">7.8r</w:t>
      </w:r>
    </w:p>
    <w:p>
      <w:pPr>
        <w:pStyle w:val="OutlineRow"/>
        <w:ind w:left="864"/>
      </w:pPr>
      <w:r>
        <w:t xml:space="preserve">(3.)</w:t>
      </w:r>
      <w:r>
        <w:t xml:space="preserve"> — </w:t>
      </w:r>
      <w:r>
        <w:t xml:space="preserve">While separate, each part of one event</w:t>
      </w:r>
      <w:r>
        <w:t xml:space="preserve"> — </w:t>
      </w:r>
      <w:r>
        <w:rPr>
          <w:i/>
          <w:iCs/>
        </w:rPr>
        <w:t xml:space="preserve">7.9v</w:t>
      </w:r>
    </w:p>
    <w:p>
      <w:pPr>
        <w:pStyle w:val="OutlineRow"/>
        <w:ind w:left="864"/>
      </w:pPr>
      <w:r>
        <w:t xml:space="preserve">(4.)</w:t>
      </w:r>
      <w:r>
        <w:t xml:space="preserve"> — </w:t>
      </w:r>
      <w:r>
        <w:t xml:space="preserve">Each builds on former</w:t>
      </w:r>
      <w:r>
        <w:t xml:space="preserve"> — </w:t>
      </w:r>
      <w:r>
        <w:rPr>
          <w:i/>
          <w:iCs/>
        </w:rPr>
        <w:t xml:space="preserve">7.10v</w:t>
      </w:r>
    </w:p>
    <w:p>
      <w:pPr>
        <w:pStyle w:val="OutlineRow"/>
        <w:ind w:left="864"/>
      </w:pPr>
      <w:r>
        <w:t xml:space="preserve">(5.)</w:t>
      </w:r>
      <w:r>
        <w:t xml:space="preserve"> — </w:t>
      </w:r>
      <w:r>
        <w:t xml:space="preserve">Intervening providences connect [Inquiry: Why gradual?]</w:t>
      </w:r>
      <w:r>
        <w:t xml:space="preserve"> — </w:t>
      </w:r>
      <w:r>
        <w:rPr>
          <w:i/>
          <w:iCs/>
        </w:rPr>
        <w:t xml:space="preserve">7.11v</w:t>
      </w:r>
    </w:p>
    <w:p>
      <w:pPr>
        <w:pStyle w:val="OutlineRow"/>
        <w:ind w:left="0"/>
      </w:pPr>
      <w:r>
        <w:t xml:space="preserve">I.</w:t>
      </w:r>
      <w:r>
        <w:t xml:space="preserve"> — </w:t>
      </w:r>
      <w:r>
        <w:t xml:space="preserve">Visibility of God's work</w:t>
      </w:r>
    </w:p>
    <w:p>
      <w:pPr>
        <w:pStyle w:val="OutlineRow"/>
        <w:ind w:left="0"/>
      </w:pPr>
      <w:r>
        <w:t xml:space="preserve">II.</w:t>
      </w:r>
      <w:r>
        <w:t xml:space="preserve"> — </w:t>
      </w:r>
      <w:r>
        <w:t xml:space="preserve">Satan's defeat more glorious</w:t>
      </w:r>
      <w:r>
        <w:t xml:space="preserve"> — </w:t>
      </w:r>
      <w:r>
        <w:rPr>
          <w:i/>
          <w:iCs/>
        </w:rPr>
        <w:t xml:space="preserve">7.12r</w:t>
      </w:r>
    </w:p>
    <w:p>
      <w:pPr>
        <w:pStyle w:val="OutlineRow"/>
        <w:ind w:left="1440"/>
      </w:pPr>
      <w:r>
        <w:t xml:space="preserve">SERMON 19</w:t>
      </w:r>
      <w:r>
        <w:t xml:space="preserve"> — </w:t>
      </w:r>
      <w:r>
        <w:rPr>
          <w:i/>
          <w:iCs/>
        </w:rPr>
        <w:t xml:space="preserve">7.13r</w:t>
      </w:r>
    </w:p>
    <w:p>
      <w:pPr>
        <w:pStyle w:val="OutlineRow"/>
        <w:ind w:left="288"/>
      </w:pPr>
      <w:r>
        <w:t xml:space="preserve">2.</w:t>
      </w:r>
      <w:r>
        <w:t xml:space="preserve"> — </w:t>
      </w:r>
      <w:r>
        <w:t xml:space="preserve">Particular events</w:t>
      </w:r>
    </w:p>
    <w:p>
      <w:pPr>
        <w:pStyle w:val="OutlineRow"/>
        <w:ind w:left="576"/>
      </w:pPr>
      <w:r>
        <w:t xml:space="preserve">a.</w:t>
      </w:r>
      <w:r>
        <w:t xml:space="preserve"> — </w:t>
      </w:r>
      <w:r>
        <w:t xml:space="preserve">How Christ capacitated to work redemption</w:t>
      </w:r>
    </w:p>
    <w:p>
      <w:pPr>
        <w:pStyle w:val="OutlineRow"/>
        <w:ind w:left="864"/>
      </w:pPr>
      <w:r>
        <w:t xml:space="preserve">(1.)</w:t>
      </w:r>
      <w:r>
        <w:t xml:space="preserve"> — </w:t>
      </w:r>
      <w:r>
        <w:t xml:space="preserve">His resurrection</w:t>
      </w:r>
      <w:r>
        <w:t xml:space="preserve"> — </w:t>
      </w:r>
      <w:r>
        <w:rPr>
          <w:i/>
          <w:iCs/>
        </w:rPr>
        <w:t xml:space="preserve">7.13v</w:t>
      </w:r>
    </w:p>
    <w:p>
      <w:pPr>
        <w:pStyle w:val="OutlineRow"/>
        <w:ind w:left="864"/>
      </w:pPr>
      <w:r>
        <w:t xml:space="preserve">(2.)</w:t>
      </w:r>
      <w:r>
        <w:t xml:space="preserve"> — </w:t>
      </w:r>
      <w:r>
        <w:t xml:space="preserve">His ascension</w:t>
      </w:r>
      <w:r>
        <w:t xml:space="preserve"> — </w:t>
      </w:r>
      <w:r>
        <w:rPr>
          <w:i/>
          <w:iCs/>
        </w:rPr>
        <w:t xml:space="preserve">7.16r</w:t>
      </w:r>
    </w:p>
    <w:p>
      <w:pPr>
        <w:pStyle w:val="OutlineRow"/>
        <w:ind w:left="576"/>
      </w:pPr>
      <w:r>
        <w:t xml:space="preserve">b.</w:t>
      </w:r>
      <w:r>
        <w:t xml:space="preserve"> — </w:t>
      </w:r>
      <w:r>
        <w:t xml:space="preserve">How Christ accomplished work</w:t>
      </w:r>
      <w:r>
        <w:t xml:space="preserve"> — </w:t>
      </w:r>
      <w:r>
        <w:rPr>
          <w:i/>
          <w:iCs/>
        </w:rPr>
        <w:t xml:space="preserve">7.17v</w:t>
      </w:r>
    </w:p>
    <w:p>
      <w:pPr>
        <w:pStyle w:val="OutlineRow"/>
        <w:ind w:left="864"/>
      </w:pPr>
      <w:r>
        <w:t xml:space="preserve">(1.)</w:t>
      </w:r>
      <w:r>
        <w:t xml:space="preserve"> — </w:t>
      </w:r>
      <w:r>
        <w:t xml:space="preserve">Work through grace</w:t>
      </w:r>
      <w:r>
        <w:t xml:space="preserve"> — </w:t>
      </w:r>
      <w:r>
        <w:rPr>
          <w:i/>
          <w:iCs/>
        </w:rPr>
        <w:t xml:space="preserve">7.18r</w:t>
      </w:r>
    </w:p>
    <w:p>
      <w:pPr>
        <w:pStyle w:val="OutlineRow"/>
        <w:ind w:left="1152"/>
      </w:pPr>
      <w:r>
        <w:t xml:space="preserve">(a.)</w:t>
      </w:r>
      <w:r>
        <w:t xml:space="preserve"> — </w:t>
      </w:r>
      <w:r>
        <w:t xml:space="preserve">Dispensations of providence</w:t>
      </w:r>
    </w:p>
    <w:p>
      <w:pPr>
        <w:pStyle w:val="OutlineRow"/>
        <w:ind w:left="1440"/>
      </w:pPr>
      <w:r>
        <w:t xml:space="preserve">1.</w:t>
      </w:r>
      <w:r>
        <w:t xml:space="preserve"> — </w:t>
      </w:r>
      <w:r>
        <w:t xml:space="preserve">Abolishing Jewish dispensation</w:t>
      </w:r>
      <w:r>
        <w:t xml:space="preserve"> — </w:t>
      </w:r>
      <w:r>
        <w:rPr>
          <w:i/>
          <w:iCs/>
        </w:rPr>
        <w:t xml:space="preserve">7.19v</w:t>
      </w:r>
    </w:p>
    <w:p>
      <w:pPr>
        <w:pStyle w:val="OutlineRow"/>
        <w:ind w:left="1440"/>
      </w:pPr>
      <w:r>
        <w:t xml:space="preserve">2.</w:t>
      </w:r>
      <w:r>
        <w:t xml:space="preserve"> — </w:t>
      </w:r>
      <w:r>
        <w:t xml:space="preserve">Appointment of Christian sabbath</w:t>
      </w:r>
      <w:r>
        <w:t xml:space="preserve"> — </w:t>
      </w:r>
      <w:r>
        <w:rPr>
          <w:i/>
          <w:iCs/>
        </w:rPr>
        <w:t xml:space="preserve">7.18r</w:t>
      </w:r>
    </w:p>
    <w:p>
      <w:pPr>
        <w:pStyle w:val="OutlineRow"/>
        <w:ind w:left="1440"/>
      </w:pPr>
      <w:r>
        <w:t xml:space="preserve">3.</w:t>
      </w:r>
      <w:r>
        <w:t xml:space="preserve"> — </w:t>
      </w:r>
      <w:r>
        <w:t xml:space="preserve">Appointment of gospel ministry</w:t>
      </w:r>
      <w:r>
        <w:t xml:space="preserve"> — </w:t>
      </w:r>
      <w:r>
        <w:rPr>
          <w:i/>
          <w:iCs/>
        </w:rPr>
        <w:t xml:space="preserve">7.18v</w:t>
      </w:r>
    </w:p>
    <w:p>
      <w:pPr>
        <w:pStyle w:val="OutlineRow"/>
        <w:ind w:left="1440"/>
      </w:pPr>
      <w:r>
        <w:t xml:space="preserve">a.</w:t>
      </w:r>
      <w:r>
        <w:t xml:space="preserve"> — </w:t>
      </w:r>
      <w:r>
        <w:t xml:space="preserve">Office of ministry</w:t>
      </w:r>
      <w:r>
        <w:t xml:space="preserve"> — </w:t>
      </w:r>
      <w:r>
        <w:rPr>
          <w:i/>
          <w:iCs/>
        </w:rPr>
        <w:t xml:space="preserve">7.19r</w:t>
      </w:r>
    </w:p>
    <w:p>
      <w:pPr>
        <w:pStyle w:val="OutlineRow"/>
        <w:ind w:left="1440"/>
      </w:pPr>
      <w:r>
        <w:t xml:space="preserve">b.</w:t>
      </w:r>
      <w:r>
        <w:t xml:space="preserve"> — </w:t>
      </w:r>
      <w:r>
        <w:t xml:space="preserve">Communication to whole world</w:t>
      </w:r>
    </w:p>
    <w:p>
      <w:pPr>
        <w:pStyle w:val="OutlineRow"/>
        <w:ind w:left="1440"/>
      </w:pPr>
      <w:r>
        <w:t xml:space="preserve">c.</w:t>
      </w:r>
      <w:r>
        <w:t xml:space="preserve"> — </w:t>
      </w:r>
      <w:r>
        <w:t xml:space="preserve">Christian baptism</w:t>
      </w:r>
      <w:r>
        <w:t xml:space="preserve"> — </w:t>
      </w:r>
      <w:r>
        <w:rPr>
          <w:i/>
          <w:iCs/>
        </w:rPr>
        <w:t xml:space="preserve">7.19v</w:t>
      </w:r>
    </w:p>
    <w:p>
      <w:pPr>
        <w:pStyle w:val="OutlineRow"/>
        <w:ind w:left="1440"/>
      </w:pPr>
      <w:r>
        <w:t xml:space="preserve">4.</w:t>
      </w:r>
      <w:r>
        <w:t xml:space="preserve"> — </w:t>
      </w:r>
      <w:r>
        <w:t xml:space="preserve">Gifts of Holy Spirit</w:t>
      </w:r>
      <w:r>
        <w:t xml:space="preserve"> — </w:t>
      </w:r>
      <w:r>
        <w:rPr>
          <w:i/>
          <w:iCs/>
        </w:rPr>
        <w:t xml:space="preserve">7.20v</w:t>
      </w:r>
    </w:p>
    <w:p>
      <w:pPr>
        <w:pStyle w:val="OutlineRow"/>
        <w:ind w:left="1440"/>
      </w:pPr>
      <w:r>
        <w:t xml:space="preserve">5.</w:t>
      </w:r>
      <w:r>
        <w:t xml:space="preserve"> — </w:t>
      </w:r>
      <w:r>
        <w:t xml:space="preserve">Revealing of doctrines</w:t>
      </w:r>
      <w:r>
        <w:t xml:space="preserve"> — </w:t>
      </w:r>
      <w:r>
        <w:rPr>
          <w:i/>
          <w:iCs/>
        </w:rPr>
        <w:t xml:space="preserve">7.21v</w:t>
      </w:r>
    </w:p>
    <w:p>
      <w:pPr>
        <w:pStyle w:val="OutlineRow"/>
        <w:ind w:left="1440"/>
      </w:pPr>
      <w:r>
        <w:t xml:space="preserve">6.</w:t>
      </w:r>
      <w:r>
        <w:t xml:space="preserve"> — </w:t>
      </w:r>
      <w:r>
        <w:t xml:space="preserve">Office of deacons</w:t>
      </w:r>
      <w:r>
        <w:t xml:space="preserve"> — </w:t>
      </w:r>
      <w:r>
        <w:rPr>
          <w:i/>
          <w:iCs/>
        </w:rPr>
        <w:t xml:space="preserve">7.23r</w:t>
      </w:r>
    </w:p>
    <w:p>
      <w:pPr>
        <w:pStyle w:val="OutlineRow"/>
        <w:ind w:left="1440"/>
      </w:pPr>
      <w:r>
        <w:t xml:space="preserve">7.</w:t>
      </w:r>
      <w:r>
        <w:t xml:space="preserve"> — </w:t>
      </w:r>
      <w:r>
        <w:t xml:space="preserve">Calling, sending Paul</w:t>
      </w:r>
    </w:p>
    <w:p>
      <w:pPr>
        <w:pStyle w:val="OutlineRow"/>
        <w:ind w:left="1440"/>
      </w:pPr>
      <w:r>
        <w:t xml:space="preserve">8.</w:t>
      </w:r>
      <w:r>
        <w:t xml:space="preserve"> — </w:t>
      </w:r>
      <w:r>
        <w:t xml:space="preserve">Church councils</w:t>
      </w:r>
      <w:r>
        <w:t xml:space="preserve"> — </w:t>
      </w:r>
      <w:r>
        <w:rPr>
          <w:i/>
          <w:iCs/>
        </w:rPr>
        <w:t xml:space="preserve">7.23v</w:t>
      </w:r>
    </w:p>
    <w:p>
      <w:pPr>
        <w:pStyle w:val="OutlineRow"/>
        <w:ind w:left="1440"/>
      </w:pPr>
      <w:r>
        <w:t xml:space="preserve">9.</w:t>
      </w:r>
      <w:r>
        <w:t xml:space="preserve"> — </w:t>
      </w:r>
      <w:r>
        <w:t xml:space="preserve">Writing New Testament</w:t>
      </w:r>
      <w:r>
        <w:t xml:space="preserve"> — </w:t>
      </w:r>
      <w:r>
        <w:rPr>
          <w:i/>
          <w:iCs/>
        </w:rPr>
        <w:t xml:space="preserve">7.24r</w:t>
      </w:r>
    </w:p>
    <w:p>
      <w:pPr>
        <w:pStyle w:val="OutlineRow"/>
        <w:ind w:left="1440"/>
      </w:pPr>
      <w:r>
        <w:t xml:space="preserve">SERMON 20</w:t>
      </w:r>
      <w:r>
        <w:t xml:space="preserve"> — </w:t>
      </w:r>
      <w:r>
        <w:rPr>
          <w:i/>
          <w:iCs/>
        </w:rPr>
        <w:t xml:space="preserve">8.1r</w:t>
      </w:r>
    </w:p>
    <w:p>
      <w:pPr>
        <w:pStyle w:val="OutlineRow"/>
        <w:ind w:left="1152"/>
      </w:pPr>
      <w:r>
        <w:t xml:space="preserve">(b.)</w:t>
      </w:r>
      <w:r>
        <w:t xml:space="preserve"> — </w:t>
      </w:r>
      <w:r>
        <w:t xml:space="preserve">How work carried on</w:t>
      </w:r>
      <w:r>
        <w:t xml:space="preserve"> — </w:t>
      </w:r>
      <w:r>
        <w:rPr>
          <w:i/>
          <w:iCs/>
        </w:rPr>
        <w:t xml:space="preserve">8.1v</w:t>
      </w:r>
    </w:p>
    <w:p>
      <w:pPr>
        <w:pStyle w:val="OutlineRow"/>
        <w:ind w:left="1440"/>
      </w:pPr>
      <w:r>
        <w:t xml:space="preserve">1.</w:t>
      </w:r>
      <w:r>
        <w:t xml:space="preserve"> — </w:t>
      </w:r>
      <w:r>
        <w:t xml:space="preserve">Under suffering state of church</w:t>
      </w:r>
      <w:r>
        <w:t xml:space="preserve"> — </w:t>
      </w:r>
      <w:r>
        <w:rPr>
          <w:i/>
          <w:iCs/>
        </w:rPr>
        <w:t xml:space="preserve">8.2r</w:t>
      </w:r>
    </w:p>
    <w:p>
      <w:pPr>
        <w:pStyle w:val="OutlineRow"/>
        <w:ind w:left="1440"/>
      </w:pPr>
      <w:r>
        <w:t xml:space="preserve">a.</w:t>
      </w:r>
      <w:r>
        <w:t xml:space="preserve"> — </w:t>
      </w:r>
      <w:r>
        <w:t xml:space="preserve">To destruction of Jerusalem</w:t>
      </w:r>
      <w:r>
        <w:t xml:space="preserve"> — </w:t>
      </w:r>
      <w:r>
        <w:rPr>
          <w:i/>
          <w:iCs/>
        </w:rPr>
        <w:t xml:space="preserve">8.4v</w:t>
      </w:r>
    </w:p>
    <w:p>
      <w:pPr>
        <w:pStyle w:val="OutlineRow"/>
        <w:ind w:left="1440"/>
      </w:pPr>
      <w:r>
        <w:t xml:space="preserve">(1.)</w:t>
      </w:r>
      <w:r>
        <w:t xml:space="preserve"> — </w:t>
      </w:r>
      <w:r>
        <w:t xml:space="preserve">Success itself</w:t>
      </w:r>
    </w:p>
    <w:p>
      <w:pPr>
        <w:pStyle w:val="OutlineRow"/>
        <w:ind w:left="1440"/>
      </w:pPr>
      <w:r>
        <w:t xml:space="preserve">(a.)</w:t>
      </w:r>
      <w:r>
        <w:t xml:space="preserve"> — </w:t>
      </w:r>
      <w:r>
        <w:t xml:space="preserve">Among Jews</w:t>
      </w:r>
      <w:r>
        <w:t xml:space="preserve"> — </w:t>
      </w:r>
      <w:r>
        <w:rPr>
          <w:i/>
          <w:iCs/>
        </w:rPr>
        <w:t xml:space="preserve">8.5v</w:t>
      </w:r>
    </w:p>
    <w:p>
      <w:pPr>
        <w:pStyle w:val="OutlineRow"/>
        <w:ind w:left="1440"/>
      </w:pPr>
      <w:r>
        <w:t xml:space="preserve">(b.)</w:t>
      </w:r>
      <w:r>
        <w:t xml:space="preserve"> — </w:t>
      </w:r>
      <w:r>
        <w:t xml:space="preserve">Among Samaritans</w:t>
      </w:r>
      <w:r>
        <w:t xml:space="preserve"> — </w:t>
      </w:r>
      <w:r>
        <w:rPr>
          <w:i/>
          <w:iCs/>
        </w:rPr>
        <w:t xml:space="preserve">8.7v</w:t>
      </w:r>
    </w:p>
    <w:p>
      <w:pPr>
        <w:pStyle w:val="OutlineRow"/>
        <w:ind w:left="1440"/>
      </w:pPr>
      <w:r>
        <w:t xml:space="preserve">(c.)</w:t>
      </w:r>
      <w:r>
        <w:t xml:space="preserve"> — </w:t>
      </w:r>
      <w:r>
        <w:t xml:space="preserve">Calling Gentiles</w:t>
      </w:r>
      <w:r>
        <w:t xml:space="preserve"> — </w:t>
      </w:r>
      <w:r>
        <w:rPr>
          <w:i/>
          <w:iCs/>
        </w:rPr>
        <w:t xml:space="preserve">8.8v</w:t>
      </w:r>
    </w:p>
    <w:p>
      <w:pPr>
        <w:pStyle w:val="OutlineRow"/>
        <w:ind w:left="1440"/>
      </w:pPr>
      <w:r>
        <w:t xml:space="preserve">(2.)</w:t>
      </w:r>
      <w:r>
        <w:t xml:space="preserve"> — </w:t>
      </w:r>
      <w:r>
        <w:t xml:space="preserve">Opposition</w:t>
      </w:r>
      <w:r>
        <w:t xml:space="preserve"> — </w:t>
      </w:r>
      <w:r>
        <w:rPr>
          <w:i/>
          <w:iCs/>
        </w:rPr>
        <w:t xml:space="preserve">8.11r</w:t>
      </w:r>
    </w:p>
    <w:p>
      <w:pPr>
        <w:pStyle w:val="OutlineRow"/>
        <w:ind w:left="1440"/>
      </w:pPr>
      <w:r>
        <w:t xml:space="preserve">(3.)</w:t>
      </w:r>
      <w:r>
        <w:t xml:space="preserve"> — </w:t>
      </w:r>
      <w:r>
        <w:t xml:space="preserve">Judgments on enemies</w:t>
      </w:r>
      <w:r>
        <w:t xml:space="preserve"> — </w:t>
      </w:r>
      <w:r>
        <w:rPr>
          <w:i/>
          <w:iCs/>
        </w:rPr>
        <w:t xml:space="preserve">8.12r</w:t>
      </w:r>
    </w:p>
    <w:p>
      <w:pPr>
        <w:pStyle w:val="OutlineRow"/>
        <w:ind w:left="1440"/>
      </w:pPr>
      <w:r>
        <w:t xml:space="preserve">(a.)</w:t>
      </w:r>
      <w:r>
        <w:t xml:space="preserve"> — </w:t>
      </w:r>
      <w:r>
        <w:t xml:space="preserve">Judicial blindness</w:t>
      </w:r>
    </w:p>
    <w:p>
      <w:pPr>
        <w:pStyle w:val="OutlineRow"/>
        <w:ind w:left="1440"/>
      </w:pPr>
      <w:r>
        <w:t xml:space="preserve">(b.)</w:t>
      </w:r>
      <w:r>
        <w:t xml:space="preserve"> — </w:t>
      </w:r>
      <w:r>
        <w:t xml:space="preserve">Rejection</w:t>
      </w:r>
      <w:r>
        <w:t xml:space="preserve"> — </w:t>
      </w:r>
      <w:r>
        <w:rPr>
          <w:i/>
          <w:iCs/>
        </w:rPr>
        <w:t xml:space="preserve">8.12v</w:t>
      </w:r>
    </w:p>
    <w:p>
      <w:pPr>
        <w:pStyle w:val="OutlineRow"/>
        <w:ind w:left="1440"/>
      </w:pPr>
      <w:r>
        <w:t xml:space="preserve">(c.)</w:t>
      </w:r>
      <w:r>
        <w:t xml:space="preserve"> — </w:t>
      </w:r>
      <w:r>
        <w:t xml:space="preserve">Destruction</w:t>
      </w:r>
      <w:r>
        <w:t xml:space="preserve"> — </w:t>
      </w:r>
      <w:r>
        <w:rPr>
          <w:i/>
          <w:iCs/>
        </w:rPr>
        <w:t xml:space="preserve">8.13r</w:t>
      </w:r>
    </w:p>
    <w:p>
      <w:pPr>
        <w:pStyle w:val="OutlineRow"/>
        <w:ind w:left="1440"/>
      </w:pPr>
      <w:r>
        <w:t xml:space="preserve">SERMON 21</w:t>
      </w:r>
      <w:r>
        <w:t xml:space="preserve"> — </w:t>
      </w:r>
      <w:r>
        <w:rPr>
          <w:i/>
          <w:iCs/>
        </w:rPr>
        <w:t xml:space="preserve">8.15v</w:t>
      </w:r>
    </w:p>
    <w:p>
      <w:pPr>
        <w:pStyle w:val="OutlineRow"/>
        <w:ind w:left="1440"/>
      </w:pPr>
      <w:r>
        <w:t xml:space="preserve">b.</w:t>
      </w:r>
      <w:r>
        <w:t xml:space="preserve"> — </w:t>
      </w:r>
      <w:r>
        <w:t xml:space="preserve">To Constantine (destruction of Rome)</w:t>
      </w:r>
    </w:p>
    <w:p>
      <w:pPr>
        <w:pStyle w:val="OutlineRow"/>
        <w:ind w:left="1440"/>
      </w:pPr>
      <w:r>
        <w:t xml:space="preserve">(1.)</w:t>
      </w:r>
      <w:r>
        <w:t xml:space="preserve"> — </w:t>
      </w:r>
      <w:r>
        <w:t xml:space="preserve">Opposition by Rome</w:t>
      </w:r>
      <w:r>
        <w:t xml:space="preserve"> — </w:t>
      </w:r>
      <w:r>
        <w:rPr>
          <w:i/>
          <w:iCs/>
        </w:rPr>
        <w:t xml:space="preserve">8.16r</w:t>
      </w:r>
    </w:p>
    <w:p>
      <w:pPr>
        <w:pStyle w:val="OutlineRow"/>
        <w:ind w:left="1440"/>
      </w:pPr>
      <w:r>
        <w:t xml:space="preserve">(a.)</w:t>
      </w:r>
      <w:r>
        <w:t xml:space="preserve"> — </w:t>
      </w:r>
      <w:r>
        <w:t xml:space="preserve">Learning and philosophy</w:t>
      </w:r>
    </w:p>
    <w:p>
      <w:pPr>
        <w:pStyle w:val="OutlineRow"/>
        <w:ind w:left="1440"/>
      </w:pPr>
      <w:r>
        <w:t xml:space="preserve">(b.)</w:t>
      </w:r>
      <w:r>
        <w:t xml:space="preserve"> — </w:t>
      </w:r>
      <w:r>
        <w:t xml:space="preserve">Persecution of Christianity</w:t>
      </w:r>
      <w:r>
        <w:t xml:space="preserve"> — </w:t>
      </w:r>
      <w:r>
        <w:rPr>
          <w:i/>
          <w:iCs/>
        </w:rPr>
        <w:t xml:space="preserve">8.17r</w:t>
      </w:r>
    </w:p>
    <w:p>
      <w:pPr>
        <w:pStyle w:val="OutlineRow"/>
        <w:ind w:left="1440"/>
      </w:pPr>
      <w:r>
        <w:t xml:space="preserve">(2.)</w:t>
      </w:r>
      <w:r>
        <w:t xml:space="preserve"> — </w:t>
      </w:r>
      <w:r>
        <w:t xml:space="preserve">Success under Rome</w:t>
      </w:r>
      <w:r>
        <w:t xml:space="preserve"> — </w:t>
      </w:r>
      <w:r>
        <w:rPr>
          <w:i/>
          <w:iCs/>
        </w:rPr>
        <w:t xml:space="preserve">8.19r</w:t>
      </w:r>
    </w:p>
    <w:p>
      <w:pPr>
        <w:pStyle w:val="OutlineRow"/>
        <w:ind w:left="1440"/>
      </w:pPr>
      <w:r>
        <w:t xml:space="preserve">(3.)</w:t>
      </w:r>
      <w:r>
        <w:t xml:space="preserve"> — </w:t>
      </w:r>
      <w:r>
        <w:t xml:space="preserve">Circumstances in Constantine's time</w:t>
      </w:r>
      <w:r>
        <w:t xml:space="preserve"> — </w:t>
      </w:r>
      <w:r>
        <w:rPr>
          <w:i/>
          <w:iCs/>
        </w:rPr>
        <w:t xml:space="preserve">8.21v</w:t>
      </w:r>
    </w:p>
    <w:p>
      <w:pPr>
        <w:pStyle w:val="OutlineRow"/>
        <w:ind w:left="1440"/>
      </w:pPr>
      <w:r>
        <w:t xml:space="preserve">(4.)</w:t>
      </w:r>
      <w:r>
        <w:t xml:space="preserve"> — </w:t>
      </w:r>
      <w:r>
        <w:t xml:space="preserve">Revolution under Constantine</w:t>
      </w:r>
      <w:r>
        <w:t xml:space="preserve"> — </w:t>
      </w:r>
      <w:r>
        <w:rPr>
          <w:i/>
          <w:iCs/>
        </w:rPr>
        <w:t xml:space="preserve">8.23r</w:t>
      </w:r>
    </w:p>
    <w:p>
      <w:pPr>
        <w:pStyle w:val="OutlineRow"/>
        <w:ind w:left="1440"/>
      </w:pPr>
      <w:r>
        <w:t xml:space="preserve">(a.)</w:t>
      </w:r>
      <w:r>
        <w:t xml:space="preserve"> — </w:t>
      </w:r>
      <w:r>
        <w:t xml:space="preserve">Church no longer persecuted</w:t>
      </w:r>
      <w:r>
        <w:t xml:space="preserve"> — </w:t>
      </w:r>
      <w:r>
        <w:rPr>
          <w:i/>
          <w:iCs/>
        </w:rPr>
        <w:t xml:space="preserve">8.23v</w:t>
      </w:r>
    </w:p>
    <w:p>
      <w:pPr>
        <w:pStyle w:val="OutlineRow"/>
        <w:ind w:left="1440"/>
      </w:pPr>
      <w:r>
        <w:t xml:space="preserve">(b.)</w:t>
      </w:r>
      <w:r>
        <w:t xml:space="preserve"> — </w:t>
      </w:r>
      <w:r>
        <w:t xml:space="preserve">God's judgments on enemies</w:t>
      </w:r>
    </w:p>
    <w:p>
      <w:pPr>
        <w:pStyle w:val="OutlineRow"/>
        <w:ind w:left="1440"/>
      </w:pPr>
      <w:r>
        <w:t xml:space="preserve">(c.)</w:t>
      </w:r>
      <w:r>
        <w:t xml:space="preserve"> — </w:t>
      </w:r>
      <w:r>
        <w:t xml:space="preserve">Heathenism abolished</w:t>
      </w:r>
      <w:r>
        <w:t xml:space="preserve"> — </w:t>
      </w:r>
      <w:r>
        <w:rPr>
          <w:i/>
          <w:iCs/>
        </w:rPr>
        <w:t xml:space="preserve">8.24r</w:t>
      </w:r>
    </w:p>
    <w:p>
      <w:pPr>
        <w:pStyle w:val="OutlineRow"/>
        <w:ind w:left="1440"/>
      </w:pPr>
      <w:r>
        <w:t xml:space="preserve">(d.)</w:t>
      </w:r>
      <w:r>
        <w:t xml:space="preserve"> — </w:t>
      </w:r>
      <w:r>
        <w:t xml:space="preserve">Peace and prosperity for church</w:t>
      </w:r>
      <w:r>
        <w:t xml:space="preserve"> — </w:t>
      </w:r>
      <w:r>
        <w:rPr>
          <w:i/>
          <w:iCs/>
        </w:rPr>
        <w:t xml:space="preserve">8.24v</w:t>
      </w:r>
    </w:p>
    <w:p>
      <w:pPr>
        <w:pStyle w:val="OutlineRow"/>
        <w:ind w:left="1440"/>
      </w:pPr>
      <w:r>
        <w:t xml:space="preserve">[IMPROVEMENT]</w:t>
      </w:r>
      <w:r>
        <w:t xml:space="preserve"> — </w:t>
      </w:r>
      <w:r>
        <w:rPr>
          <w:i/>
          <w:iCs/>
        </w:rPr>
        <w:t xml:space="preserve">8.26v</w:t>
      </w:r>
    </w:p>
    <w:p>
      <w:pPr>
        <w:pStyle w:val="OutlineRow"/>
        <w:ind w:left="0"/>
      </w:pPr>
      <w:r>
        <w:t xml:space="preserve">I.</w:t>
      </w:r>
      <w:r>
        <w:t xml:space="preserve"> — </w:t>
      </w:r>
      <w:r>
        <w:t xml:space="preserve">Inference: Work of God</w:t>
      </w:r>
    </w:p>
    <w:p>
      <w:pPr>
        <w:pStyle w:val="OutlineRow"/>
        <w:ind w:left="1440"/>
      </w:pPr>
      <w:r>
        <w:t xml:space="preserve">First. Gospel true means</w:t>
      </w:r>
      <w:r>
        <w:t xml:space="preserve"> — </w:t>
      </w:r>
      <w:r>
        <w:rPr>
          <w:i/>
          <w:iCs/>
        </w:rPr>
        <w:t xml:space="preserve">8.27r</w:t>
      </w:r>
    </w:p>
    <w:p>
      <w:pPr>
        <w:pStyle w:val="OutlineRow"/>
        <w:ind w:left="1440"/>
      </w:pPr>
      <w:r>
        <w:t xml:space="preserve">Second. Success proves God's hand</w:t>
      </w:r>
      <w:r>
        <w:t xml:space="preserve"> — </w:t>
      </w:r>
      <w:r>
        <w:rPr>
          <w:i/>
          <w:iCs/>
        </w:rPr>
        <w:t xml:space="preserve">8.28v</w:t>
      </w:r>
    </w:p>
    <w:p>
      <w:pPr>
        <w:pStyle w:val="OutlineRow"/>
        <w:ind w:left="1440"/>
      </w:pPr>
      <w:r>
        <w:t xml:space="preserve">Third. No other sufficient cause</w:t>
      </w:r>
      <w:r>
        <w:t xml:space="preserve"> — </w:t>
      </w:r>
      <w:r>
        <w:rPr>
          <w:i/>
          <w:iCs/>
        </w:rPr>
        <w:t xml:space="preserve">8.29r</w:t>
      </w:r>
    </w:p>
    <w:p>
      <w:pPr>
        <w:pStyle w:val="OutlineRow"/>
        <w:ind w:left="1440"/>
      </w:pPr>
      <w:r>
        <w:t xml:space="preserve">Fourth. Agreeable to prophecies</w:t>
      </w:r>
      <w:r>
        <w:t xml:space="preserve"> — </w:t>
      </w:r>
      <w:r>
        <w:rPr>
          <w:i/>
          <w:iCs/>
        </w:rPr>
        <w:t xml:space="preserve">8.29v</w:t>
      </w:r>
    </w:p>
    <w:p>
      <w:pPr>
        <w:pStyle w:val="OutlineRow"/>
        <w:ind w:left="1440"/>
      </w:pPr>
      <w:r>
        <w:t xml:space="preserve">SERMON 22</w:t>
      </w:r>
      <w:r>
        <w:t xml:space="preserve"> — </w:t>
      </w:r>
      <w:r>
        <w:rPr>
          <w:i/>
          <w:iCs/>
        </w:rPr>
        <w:t xml:space="preserve">9.1r</w:t>
      </w:r>
    </w:p>
    <w:p>
      <w:pPr>
        <w:pStyle w:val="OutlineRow"/>
        <w:ind w:left="1440"/>
      </w:pPr>
      <w:r>
        <w:t xml:space="preserve">c.</w:t>
      </w:r>
      <w:r>
        <w:t xml:space="preserve"> — </w:t>
      </w:r>
      <w:r>
        <w:t xml:space="preserve">To fall of Antichrist</w:t>
      </w:r>
    </w:p>
    <w:p>
      <w:pPr>
        <w:pStyle w:val="OutlineRow"/>
        <w:ind w:left="1440"/>
      </w:pPr>
      <w:r>
        <w:t xml:space="preserve">(1.)</w:t>
      </w:r>
      <w:r>
        <w:t xml:space="preserve"> — </w:t>
      </w:r>
      <w:r>
        <w:t xml:space="preserve">Fall of Rome to rise of Antichrist</w:t>
      </w:r>
      <w:r>
        <w:t xml:space="preserve"> — </w:t>
      </w:r>
      <w:r>
        <w:rPr>
          <w:i/>
          <w:iCs/>
        </w:rPr>
        <w:t xml:space="preserve">9.2v</w:t>
      </w:r>
    </w:p>
    <w:p>
      <w:pPr>
        <w:pStyle w:val="OutlineRow"/>
        <w:ind w:left="1440"/>
      </w:pPr>
      <w:r>
        <w:t xml:space="preserve">(a.)</w:t>
      </w:r>
      <w:r>
        <w:t xml:space="preserve"> — </w:t>
      </w:r>
      <w:r>
        <w:t xml:space="preserve">Opposition</w:t>
      </w:r>
    </w:p>
    <w:p>
      <w:pPr>
        <w:pStyle w:val="OutlineRow"/>
        <w:ind w:left="1440"/>
      </w:pPr>
      <w:r>
        <w:t xml:space="preserve">1.</w:t>
      </w:r>
      <w:r>
        <w:t xml:space="preserve"> — </w:t>
      </w:r>
      <w:r>
        <w:t xml:space="preserve">Heresies</w:t>
      </w:r>
      <w:r>
        <w:t xml:space="preserve"> — </w:t>
      </w:r>
      <w:r>
        <w:rPr>
          <w:i/>
          <w:iCs/>
        </w:rPr>
        <w:t xml:space="preserve">9.3r</w:t>
      </w:r>
    </w:p>
    <w:p>
      <w:pPr>
        <w:pStyle w:val="OutlineRow"/>
        <w:ind w:left="1440"/>
      </w:pPr>
      <w:r>
        <w:t xml:space="preserve">2.</w:t>
      </w:r>
      <w:r>
        <w:t xml:space="preserve"> — </w:t>
      </w:r>
      <w:r>
        <w:t xml:space="preserve">Restoration of paganism</w:t>
      </w:r>
      <w:r>
        <w:t xml:space="preserve"> — </w:t>
      </w:r>
      <w:r>
        <w:rPr>
          <w:i/>
          <w:iCs/>
        </w:rPr>
        <w:t xml:space="preserve">9.4r</w:t>
      </w:r>
    </w:p>
    <w:p>
      <w:pPr>
        <w:pStyle w:val="OutlineRow"/>
        <w:ind w:left="1440"/>
      </w:pPr>
      <w:r>
        <w:t xml:space="preserve">a.</w:t>
      </w:r>
      <w:r>
        <w:t xml:space="preserve"> — </w:t>
      </w:r>
      <w:r>
        <w:t xml:space="preserve">Julian</w:t>
      </w:r>
    </w:p>
    <w:p>
      <w:pPr>
        <w:pStyle w:val="OutlineRow"/>
        <w:ind w:left="1440"/>
      </w:pPr>
      <w:r>
        <w:t xml:space="preserve">b.</w:t>
      </w:r>
      <w:r>
        <w:t xml:space="preserve"> — </w:t>
      </w:r>
      <w:r>
        <w:t xml:space="preserve">Heathen conquests</w:t>
      </w:r>
      <w:r>
        <w:t xml:space="preserve"> — </w:t>
      </w:r>
      <w:r>
        <w:rPr>
          <w:i/>
          <w:iCs/>
        </w:rPr>
        <w:t xml:space="preserve">9.5r</w:t>
      </w:r>
    </w:p>
    <w:p>
      <w:pPr>
        <w:pStyle w:val="OutlineRow"/>
        <w:ind w:left="1440"/>
      </w:pPr>
      <w:r>
        <w:t xml:space="preserve">(b.)</w:t>
      </w:r>
      <w:r>
        <w:t xml:space="preserve"> — </w:t>
      </w:r>
      <w:r>
        <w:t xml:space="preserve">Success nonetheless</w:t>
      </w:r>
      <w:r>
        <w:t xml:space="preserve"> — </w:t>
      </w:r>
      <w:r>
        <w:rPr>
          <w:i/>
          <w:iCs/>
        </w:rPr>
        <w:t xml:space="preserve">9.4v</w:t>
      </w:r>
    </w:p>
    <w:p>
      <w:pPr>
        <w:pStyle w:val="OutlineRow"/>
        <w:ind w:left="1440"/>
      </w:pPr>
      <w:r>
        <w:t xml:space="preserve">1.</w:t>
      </w:r>
      <w:r>
        <w:t xml:space="preserve"> — </w:t>
      </w:r>
      <w:r>
        <w:t xml:space="preserve">Satan baffled</w:t>
      </w:r>
      <w:r>
        <w:t xml:space="preserve"> — </w:t>
      </w:r>
      <w:r>
        <w:rPr>
          <w:i/>
          <w:iCs/>
        </w:rPr>
        <w:t xml:space="preserve">9.6r</w:t>
      </w:r>
    </w:p>
    <w:p>
      <w:pPr>
        <w:pStyle w:val="OutlineRow"/>
        <w:ind w:left="1440"/>
      </w:pPr>
      <w:r>
        <w:t xml:space="preserve">2.</w:t>
      </w:r>
      <w:r>
        <w:t xml:space="preserve"> — </w:t>
      </w:r>
      <w:r>
        <w:t xml:space="preserve">Gospel propagated</w:t>
      </w:r>
    </w:p>
    <w:p>
      <w:pPr>
        <w:pStyle w:val="OutlineRow"/>
        <w:ind w:left="1440"/>
      </w:pPr>
      <w:r>
        <w:t xml:space="preserve">(2.)</w:t>
      </w:r>
      <w:r>
        <w:t xml:space="preserve"> — </w:t>
      </w:r>
      <w:r>
        <w:t xml:space="preserve">Rise of Antichrist</w:t>
      </w:r>
      <w:r>
        <w:t xml:space="preserve"> — </w:t>
      </w:r>
      <w:r>
        <w:rPr>
          <w:i/>
          <w:iCs/>
        </w:rPr>
        <w:t xml:space="preserve">9.8r</w:t>
      </w:r>
    </w:p>
    <w:p>
      <w:pPr>
        <w:pStyle w:val="OutlineRow"/>
        <w:ind w:left="1440"/>
      </w:pPr>
      <w:r>
        <w:t xml:space="preserve">(a.)</w:t>
      </w:r>
      <w:r>
        <w:t xml:space="preserve"> — </w:t>
      </w:r>
      <w:r>
        <w:t xml:space="preserve">Works of devil</w:t>
      </w:r>
      <w:r>
        <w:t xml:space="preserve"> — </w:t>
      </w:r>
      <w:r>
        <w:rPr>
          <w:i/>
          <w:iCs/>
        </w:rPr>
        <w:t xml:space="preserve">9.8v</w:t>
      </w:r>
    </w:p>
    <w:p>
      <w:pPr>
        <w:pStyle w:val="OutlineRow"/>
        <w:ind w:left="1440"/>
      </w:pPr>
      <w:r>
        <w:t xml:space="preserve">1.</w:t>
      </w:r>
      <w:r>
        <w:t xml:space="preserve"> — </w:t>
      </w:r>
      <w:r>
        <w:t xml:space="preserve">Kingdom of Antichrist</w:t>
      </w:r>
      <w:r>
        <w:t xml:space="preserve"> — </w:t>
      </w:r>
      <w:r>
        <w:rPr>
          <w:i/>
          <w:iCs/>
        </w:rPr>
        <w:t xml:space="preserve">9.9v</w:t>
      </w:r>
    </w:p>
    <w:p>
      <w:pPr>
        <w:pStyle w:val="OutlineRow"/>
        <w:ind w:left="1440"/>
      </w:pPr>
      <w:r>
        <w:t xml:space="preserve">2.</w:t>
      </w:r>
      <w:r>
        <w:t xml:space="preserve"> — </w:t>
      </w:r>
      <w:r>
        <w:t xml:space="preserve">Mohammedan kingdom</w:t>
      </w:r>
      <w:r>
        <w:t xml:space="preserve"> — </w:t>
      </w:r>
      <w:r>
        <w:rPr>
          <w:i/>
          <w:iCs/>
        </w:rPr>
        <w:t xml:space="preserve">9.13r</w:t>
      </w:r>
    </w:p>
    <w:p>
      <w:pPr>
        <w:pStyle w:val="OutlineRow"/>
        <w:ind w:left="1440"/>
      </w:pPr>
      <w:r>
        <w:t xml:space="preserve">SERMON 23</w:t>
      </w:r>
      <w:r>
        <w:t xml:space="preserve"> — </w:t>
      </w:r>
      <w:r>
        <w:rPr>
          <w:i/>
          <w:iCs/>
        </w:rPr>
        <w:t xml:space="preserve">9.15r</w:t>
      </w:r>
    </w:p>
    <w:p>
      <w:pPr>
        <w:pStyle w:val="OutlineRow"/>
        <w:ind w:left="1440"/>
      </w:pPr>
      <w:r>
        <w:t xml:space="preserve">(b.)</w:t>
      </w:r>
      <w:r>
        <w:t xml:space="preserve"> — </w:t>
      </w:r>
      <w:r>
        <w:t xml:space="preserve">Church of Christ upheld</w:t>
      </w:r>
      <w:r>
        <w:t xml:space="preserve"> — </w:t>
      </w:r>
      <w:r>
        <w:rPr>
          <w:i/>
          <w:iCs/>
        </w:rPr>
        <w:t xml:space="preserve">9.15v</w:t>
      </w:r>
    </w:p>
    <w:p>
      <w:pPr>
        <w:pStyle w:val="OutlineRow"/>
        <w:ind w:left="1440"/>
      </w:pPr>
      <w:r>
        <w:t xml:space="preserve">1.</w:t>
      </w:r>
      <w:r>
        <w:t xml:space="preserve"> — </w:t>
      </w:r>
      <w:r>
        <w:t xml:space="preserve">Opposition to corruptions</w:t>
      </w:r>
    </w:p>
    <w:p>
      <w:pPr>
        <w:pStyle w:val="OutlineRow"/>
        <w:ind w:left="1440"/>
      </w:pPr>
      <w:r>
        <w:t xml:space="preserve">2.</w:t>
      </w:r>
      <w:r>
        <w:t xml:space="preserve"> — </w:t>
      </w:r>
      <w:r>
        <w:t xml:space="preserve">Testimonies against corruptions</w:t>
      </w:r>
      <w:r>
        <w:t xml:space="preserve"> — </w:t>
      </w:r>
      <w:r>
        <w:rPr>
          <w:i/>
          <w:iCs/>
        </w:rPr>
        <w:t xml:space="preserve">9.16r</w:t>
      </w:r>
    </w:p>
    <w:p>
      <w:pPr>
        <w:pStyle w:val="OutlineRow"/>
        <w:ind w:left="1440"/>
      </w:pPr>
      <w:r>
        <w:t xml:space="preserve">3.</w:t>
      </w:r>
      <w:r>
        <w:t xml:space="preserve"> — </w:t>
      </w:r>
      <w:r>
        <w:t xml:space="preserve">Waldenses</w:t>
      </w:r>
      <w:r>
        <w:t xml:space="preserve"> — </w:t>
      </w:r>
      <w:r>
        <w:rPr>
          <w:i/>
          <w:iCs/>
        </w:rPr>
        <w:t xml:space="preserve">9.16v</w:t>
      </w:r>
    </w:p>
    <w:p>
      <w:pPr>
        <w:pStyle w:val="OutlineRow"/>
        <w:ind w:left="1440"/>
      </w:pPr>
      <w:r>
        <w:t xml:space="preserve">4.</w:t>
      </w:r>
      <w:r>
        <w:t xml:space="preserve"> — </w:t>
      </w:r>
      <w:r>
        <w:t xml:space="preserve">Noted divines</w:t>
      </w:r>
      <w:r>
        <w:t xml:space="preserve"> — </w:t>
      </w:r>
      <w:r>
        <w:rPr>
          <w:i/>
          <w:iCs/>
        </w:rPr>
        <w:t xml:space="preserve">9.18v</w:t>
      </w:r>
    </w:p>
    <w:p>
      <w:pPr>
        <w:pStyle w:val="OutlineRow"/>
        <w:ind w:left="1440"/>
      </w:pPr>
      <w:r>
        <w:t xml:space="preserve">(3.)</w:t>
      </w:r>
      <w:r>
        <w:t xml:space="preserve"> — </w:t>
      </w:r>
      <w:r>
        <w:t xml:space="preserve">Reformation to present time</w:t>
      </w:r>
      <w:r>
        <w:t xml:space="preserve"> — </w:t>
      </w:r>
      <w:r>
        <w:rPr>
          <w:i/>
          <w:iCs/>
        </w:rPr>
        <w:t xml:space="preserve">9.19r</w:t>
      </w:r>
    </w:p>
    <w:p>
      <w:pPr>
        <w:pStyle w:val="OutlineRow"/>
        <w:ind w:left="1440"/>
      </w:pPr>
      <w:r>
        <w:t xml:space="preserve">(a.)</w:t>
      </w:r>
      <w:r>
        <w:t xml:space="preserve"> — </w:t>
      </w:r>
      <w:r>
        <w:t xml:space="preserve">Reformation</w:t>
      </w:r>
    </w:p>
    <w:p>
      <w:pPr>
        <w:pStyle w:val="OutlineRow"/>
        <w:ind w:left="1440"/>
      </w:pPr>
      <w:r>
        <w:t xml:space="preserve">(b.)</w:t>
      </w:r>
      <w:r>
        <w:t xml:space="preserve"> — </w:t>
      </w:r>
      <w:r>
        <w:t xml:space="preserve">Opposition</w:t>
      </w:r>
      <w:r>
        <w:t xml:space="preserve"> — </w:t>
      </w:r>
      <w:r>
        <w:rPr>
          <w:i/>
          <w:iCs/>
        </w:rPr>
        <w:t xml:space="preserve">9.22r</w:t>
      </w:r>
    </w:p>
    <w:p>
      <w:pPr>
        <w:pStyle w:val="OutlineRow"/>
        <w:ind w:left="1440"/>
      </w:pPr>
      <w:r>
        <w:t xml:space="preserve">1.</w:t>
      </w:r>
      <w:r>
        <w:t xml:space="preserve"> — </w:t>
      </w:r>
      <w:r>
        <w:t xml:space="preserve">Council of Trent</w:t>
      </w:r>
    </w:p>
    <w:p>
      <w:pPr>
        <w:pStyle w:val="OutlineRow"/>
        <w:ind w:left="1440"/>
      </w:pPr>
      <w:r>
        <w:t xml:space="preserve">2.</w:t>
      </w:r>
      <w:r>
        <w:t xml:space="preserve"> — </w:t>
      </w:r>
      <w:r>
        <w:t xml:space="preserve">Innumerable schemes</w:t>
      </w:r>
      <w:r>
        <w:t xml:space="preserve"> — </w:t>
      </w:r>
      <w:r>
        <w:rPr>
          <w:i/>
          <w:iCs/>
        </w:rPr>
        <w:t xml:space="preserve">9.23r</w:t>
      </w:r>
    </w:p>
    <w:p>
      <w:pPr>
        <w:pStyle w:val="OutlineRow"/>
        <w:ind w:left="1440"/>
      </w:pPr>
      <w:r>
        <w:t xml:space="preserve">3.</w:t>
      </w:r>
      <w:r>
        <w:t xml:space="preserve"> — </w:t>
      </w:r>
      <w:r>
        <w:t xml:space="preserve">Wars and invasions</w:t>
      </w:r>
      <w:r>
        <w:t xml:space="preserve"> — </w:t>
      </w:r>
      <w:r>
        <w:rPr>
          <w:i/>
          <w:iCs/>
        </w:rPr>
        <w:t xml:space="preserve">9.24r</w:t>
      </w:r>
    </w:p>
    <w:p>
      <w:pPr>
        <w:pStyle w:val="OutlineRow"/>
        <w:ind w:left="1440"/>
      </w:pPr>
      <w:r>
        <w:t xml:space="preserve">4.</w:t>
      </w:r>
      <w:r>
        <w:t xml:space="preserve"> — </w:t>
      </w:r>
      <w:r>
        <w:t xml:space="preserve">Cruel persecutions</w:t>
      </w:r>
      <w:r>
        <w:t xml:space="preserve"> — </w:t>
      </w:r>
      <w:r>
        <w:rPr>
          <w:i/>
          <w:iCs/>
        </w:rPr>
        <w:t xml:space="preserve">9.25r</w:t>
      </w:r>
    </w:p>
    <w:p>
      <w:pPr>
        <w:pStyle w:val="OutlineRow"/>
        <w:ind w:left="1440"/>
      </w:pPr>
      <w:r>
        <w:t xml:space="preserve">SERMON 24</w:t>
      </w:r>
      <w:r>
        <w:t xml:space="preserve"> — </w:t>
      </w:r>
      <w:r>
        <w:rPr>
          <w:i/>
          <w:iCs/>
        </w:rPr>
        <w:t xml:space="preserve">10.1r</w:t>
      </w:r>
    </w:p>
    <w:p>
      <w:pPr>
        <w:pStyle w:val="OutlineRow"/>
        <w:ind w:left="1440"/>
      </w:pPr>
      <w:r>
        <w:t xml:space="preserve">5.</w:t>
      </w:r>
      <w:r>
        <w:t xml:space="preserve"> — </w:t>
      </w:r>
      <w:r>
        <w:t xml:space="preserve">Corrupt opinions</w:t>
      </w:r>
    </w:p>
    <w:p>
      <w:pPr>
        <w:pStyle w:val="OutlineRow"/>
        <w:ind w:left="1440"/>
      </w:pPr>
      <w:r>
        <w:t xml:space="preserve">a.</w:t>
      </w:r>
      <w:r>
        <w:t xml:space="preserve"> — </w:t>
      </w:r>
      <w:r>
        <w:t xml:space="preserve">Anabaptists</w:t>
      </w:r>
    </w:p>
    <w:p>
      <w:pPr>
        <w:pStyle w:val="OutlineRow"/>
        <w:ind w:left="1440"/>
      </w:pPr>
      <w:r>
        <w:t xml:space="preserve">b.</w:t>
      </w:r>
      <w:r>
        <w:t xml:space="preserve"> — </w:t>
      </w:r>
      <w:r>
        <w:t xml:space="preserve">Enthusiasts</w:t>
      </w:r>
      <w:r>
        <w:t xml:space="preserve"> — </w:t>
      </w:r>
      <w:r>
        <w:rPr>
          <w:i/>
          <w:iCs/>
        </w:rPr>
        <w:t xml:space="preserve">10.1v</w:t>
      </w:r>
    </w:p>
    <w:p>
      <w:pPr>
        <w:pStyle w:val="OutlineRow"/>
        <w:ind w:left="1440"/>
      </w:pPr>
      <w:r>
        <w:t xml:space="preserve">c.</w:t>
      </w:r>
      <w:r>
        <w:t xml:space="preserve"> — </w:t>
      </w:r>
      <w:r>
        <w:t xml:space="preserve">Socinians</w:t>
      </w:r>
    </w:p>
    <w:p>
      <w:pPr>
        <w:pStyle w:val="OutlineRow"/>
        <w:ind w:left="1440"/>
      </w:pPr>
      <w:r>
        <w:t xml:space="preserve">d.</w:t>
      </w:r>
      <w:r>
        <w:t xml:space="preserve"> — </w:t>
      </w:r>
      <w:r>
        <w:t xml:space="preserve">Arminians</w:t>
      </w:r>
      <w:r>
        <w:t xml:space="preserve"> — </w:t>
      </w:r>
      <w:r>
        <w:rPr>
          <w:i/>
          <w:iCs/>
        </w:rPr>
        <w:t xml:space="preserve">10.2r</w:t>
      </w:r>
    </w:p>
    <w:p>
      <w:pPr>
        <w:pStyle w:val="OutlineRow"/>
        <w:ind w:left="1440"/>
      </w:pPr>
      <w:r>
        <w:t xml:space="preserve">e.</w:t>
      </w:r>
      <w:r>
        <w:t xml:space="preserve"> — </w:t>
      </w:r>
      <w:r>
        <w:t xml:space="preserve">Arianism</w:t>
      </w:r>
      <w:r>
        <w:t xml:space="preserve"> — </w:t>
      </w:r>
      <w:r>
        <w:rPr>
          <w:i/>
          <w:iCs/>
        </w:rPr>
        <w:t xml:space="preserve">10.2v</w:t>
      </w:r>
    </w:p>
    <w:p>
      <w:pPr>
        <w:pStyle w:val="OutlineRow"/>
        <w:ind w:left="1440"/>
      </w:pPr>
      <w:r>
        <w:t xml:space="preserve">f.</w:t>
      </w:r>
      <w:r>
        <w:t xml:space="preserve"> — </w:t>
      </w:r>
      <w:r>
        <w:t xml:space="preserve">Deism</w:t>
      </w:r>
    </w:p>
    <w:p>
      <w:pPr>
        <w:pStyle w:val="OutlineRow"/>
        <w:ind w:left="1440"/>
      </w:pPr>
      <w:r>
        <w:t xml:space="preserve">(c.)</w:t>
      </w:r>
      <w:r>
        <w:t xml:space="preserve"> — </w:t>
      </w:r>
      <w:r>
        <w:t xml:space="preserve">Success of gospel</w:t>
      </w:r>
      <w:r>
        <w:t xml:space="preserve"> — </w:t>
      </w:r>
      <w:r>
        <w:rPr>
          <w:i/>
          <w:iCs/>
        </w:rPr>
        <w:t xml:space="preserve">10.3r</w:t>
      </w:r>
    </w:p>
    <w:p>
      <w:pPr>
        <w:pStyle w:val="OutlineRow"/>
        <w:ind w:left="1440"/>
      </w:pPr>
      <w:r>
        <w:t xml:space="preserve">1.</w:t>
      </w:r>
      <w:r>
        <w:t xml:space="preserve"> — </w:t>
      </w:r>
      <w:r>
        <w:t xml:space="preserve">Reform of doctrine</w:t>
      </w:r>
    </w:p>
    <w:p>
      <w:pPr>
        <w:pStyle w:val="OutlineRow"/>
        <w:ind w:left="1440"/>
      </w:pPr>
      <w:r>
        <w:t xml:space="preserve">2.</w:t>
      </w:r>
      <w:r>
        <w:t xml:space="preserve"> — </w:t>
      </w:r>
      <w:r>
        <w:t xml:space="preserve">Propagation</w:t>
      </w:r>
      <w:r>
        <w:t xml:space="preserve"> — </w:t>
      </w:r>
      <w:r>
        <w:rPr>
          <w:i/>
          <w:iCs/>
        </w:rPr>
        <w:t xml:space="preserve">10.4r</w:t>
      </w:r>
    </w:p>
    <w:p>
      <w:pPr>
        <w:pStyle w:val="OutlineRow"/>
        <w:ind w:left="1440"/>
      </w:pPr>
      <w:r>
        <w:t xml:space="preserve">a.</w:t>
      </w:r>
      <w:r>
        <w:t xml:space="preserve"> — </w:t>
      </w:r>
      <w:r>
        <w:t xml:space="preserve">In America</w:t>
      </w:r>
    </w:p>
    <w:p>
      <w:pPr>
        <w:pStyle w:val="OutlineRow"/>
        <w:ind w:left="1440"/>
      </w:pPr>
      <w:r>
        <w:t xml:space="preserve">b.</w:t>
      </w:r>
      <w:r>
        <w:t xml:space="preserve"> — </w:t>
      </w:r>
      <w:r>
        <w:t xml:space="preserve">In Muscovy</w:t>
      </w:r>
      <w:r>
        <w:t xml:space="preserve"> — </w:t>
      </w:r>
      <w:r>
        <w:rPr>
          <w:i/>
          <w:iCs/>
        </w:rPr>
        <w:t xml:space="preserve">10.5v</w:t>
      </w:r>
    </w:p>
    <w:p>
      <w:pPr>
        <w:pStyle w:val="OutlineRow"/>
        <w:ind w:left="1440"/>
      </w:pPr>
      <w:r>
        <w:t xml:space="preserve">c.</w:t>
      </w:r>
      <w:r>
        <w:t xml:space="preserve"> — </w:t>
      </w:r>
      <w:r>
        <w:t xml:space="preserve">In East Indies</w:t>
      </w:r>
      <w:r>
        <w:t xml:space="preserve"> — </w:t>
      </w:r>
      <w:r>
        <w:rPr>
          <w:i/>
          <w:iCs/>
        </w:rPr>
        <w:t xml:space="preserve">10.6r</w:t>
      </w:r>
    </w:p>
    <w:p>
      <w:pPr>
        <w:pStyle w:val="OutlineRow"/>
        <w:ind w:left="1440"/>
      </w:pPr>
      <w:r>
        <w:t xml:space="preserve">3.</w:t>
      </w:r>
      <w:r>
        <w:t xml:space="preserve"> — </w:t>
      </w:r>
      <w:r>
        <w:t xml:space="preserve">Revivals of religion</w:t>
      </w:r>
    </w:p>
    <w:p>
      <w:pPr>
        <w:pStyle w:val="OutlineRow"/>
        <w:ind w:left="1440"/>
      </w:pPr>
      <w:r>
        <w:t xml:space="preserve">a.</w:t>
      </w:r>
      <w:r>
        <w:t xml:space="preserve"> — </w:t>
      </w:r>
      <w:r>
        <w:t xml:space="preserve">In Saxony</w:t>
      </w:r>
      <w:r>
        <w:t xml:space="preserve"> — </w:t>
      </w:r>
      <w:r>
        <w:rPr>
          <w:i/>
          <w:iCs/>
        </w:rPr>
        <w:t xml:space="preserve">10.6v</w:t>
      </w:r>
    </w:p>
    <w:p>
      <w:pPr>
        <w:pStyle w:val="OutlineRow"/>
        <w:ind w:left="1440"/>
      </w:pPr>
      <w:r>
        <w:t xml:space="preserve">b.</w:t>
      </w:r>
      <w:r>
        <w:t xml:space="preserve"> — </w:t>
      </w:r>
      <w:r>
        <w:t xml:space="preserve">In New England</w:t>
      </w:r>
      <w:r>
        <w:t xml:space="preserve"> — </w:t>
      </w:r>
      <w:r>
        <w:rPr>
          <w:i/>
          <w:iCs/>
        </w:rPr>
        <w:t xml:space="preserve">10.7r</w:t>
      </w:r>
    </w:p>
    <w:p>
      <w:pPr>
        <w:pStyle w:val="OutlineRow"/>
        <w:ind w:left="1440"/>
      </w:pPr>
      <w:r>
        <w:t xml:space="preserve">(d.)</w:t>
      </w:r>
      <w:r>
        <w:t xml:space="preserve"> — </w:t>
      </w:r>
      <w:r>
        <w:t xml:space="preserve">Current state</w:t>
      </w:r>
    </w:p>
    <w:p>
      <w:pPr>
        <w:pStyle w:val="OutlineRow"/>
        <w:ind w:left="1440"/>
      </w:pPr>
      <w:r>
        <w:t xml:space="preserve">1.</w:t>
      </w:r>
      <w:r>
        <w:t xml:space="preserve"> — </w:t>
      </w:r>
      <w:r>
        <w:t xml:space="preserve">Altered for worse</w:t>
      </w:r>
      <w:r>
        <w:t xml:space="preserve"> — </w:t>
      </w:r>
      <w:r>
        <w:rPr>
          <w:i/>
          <w:iCs/>
        </w:rPr>
        <w:t xml:space="preserve">10.7v</w:t>
      </w:r>
    </w:p>
    <w:p>
      <w:pPr>
        <w:pStyle w:val="OutlineRow"/>
        <w:ind w:left="1440"/>
      </w:pPr>
      <w:r>
        <w:t xml:space="preserve">a.</w:t>
      </w:r>
      <w:r>
        <w:t xml:space="preserve"> — </w:t>
      </w:r>
      <w:r>
        <w:t xml:space="preserve">Reformed church diminished</w:t>
      </w:r>
    </w:p>
    <w:p>
      <w:pPr>
        <w:pStyle w:val="OutlineRow"/>
        <w:ind w:left="1440"/>
      </w:pPr>
      <w:r>
        <w:t xml:space="preserve">b.</w:t>
      </w:r>
      <w:r>
        <w:t xml:space="preserve"> — </w:t>
      </w:r>
      <w:r>
        <w:t xml:space="preserve">Licentiousness</w:t>
      </w:r>
      <w:r>
        <w:t xml:space="preserve"> — </w:t>
      </w:r>
      <w:r>
        <w:rPr>
          <w:i/>
          <w:iCs/>
        </w:rPr>
        <w:t xml:space="preserve">10.8v</w:t>
      </w:r>
    </w:p>
    <w:p>
      <w:pPr>
        <w:pStyle w:val="OutlineRow"/>
        <w:ind w:left="1440"/>
      </w:pPr>
      <w:r>
        <w:t xml:space="preserve">c.</w:t>
      </w:r>
      <w:r>
        <w:t xml:space="preserve"> — </w:t>
      </w:r>
      <w:r>
        <w:t xml:space="preserve">Less godliness</w:t>
      </w:r>
      <w:r>
        <w:t xml:space="preserve"> — </w:t>
      </w:r>
      <w:r>
        <w:rPr>
          <w:i/>
          <w:iCs/>
        </w:rPr>
        <w:t xml:space="preserve">10.9r</w:t>
      </w:r>
    </w:p>
    <w:p>
      <w:pPr>
        <w:pStyle w:val="OutlineRow"/>
        <w:ind w:left="1440"/>
      </w:pPr>
      <w:r>
        <w:t xml:space="preserve">2.</w:t>
      </w:r>
      <w:r>
        <w:t xml:space="preserve"> — </w:t>
      </w:r>
      <w:r>
        <w:t xml:space="preserve">Changed for better</w:t>
      </w:r>
      <w:r>
        <w:t xml:space="preserve"> — </w:t>
      </w:r>
      <w:r>
        <w:rPr>
          <w:i/>
          <w:iCs/>
        </w:rPr>
        <w:t xml:space="preserve">10.9v</w:t>
      </w:r>
    </w:p>
    <w:p>
      <w:pPr>
        <w:pStyle w:val="OutlineRow"/>
        <w:ind w:left="1440"/>
      </w:pPr>
      <w:r>
        <w:t xml:space="preserve">a.</w:t>
      </w:r>
      <w:r>
        <w:t xml:space="preserve"> — </w:t>
      </w:r>
      <w:r>
        <w:t xml:space="preserve">Pope's power reduced</w:t>
      </w:r>
    </w:p>
    <w:p>
      <w:pPr>
        <w:pStyle w:val="OutlineRow"/>
        <w:ind w:left="1440"/>
      </w:pPr>
      <w:r>
        <w:t xml:space="preserve">b.</w:t>
      </w:r>
      <w:r>
        <w:t xml:space="preserve"> — </w:t>
      </w:r>
      <w:r>
        <w:t xml:space="preserve">Less persecution</w:t>
      </w:r>
    </w:p>
    <w:p>
      <w:pPr>
        <w:pStyle w:val="OutlineRow"/>
        <w:ind w:left="1440"/>
      </w:pPr>
      <w:r>
        <w:t xml:space="preserve">c.</w:t>
      </w:r>
      <w:r>
        <w:t xml:space="preserve"> — </w:t>
      </w:r>
      <w:r>
        <w:t xml:space="preserve">Increase of learning</w:t>
      </w:r>
      <w:r>
        <w:t xml:space="preserve"> — </w:t>
      </w:r>
      <w:r>
        <w:rPr>
          <w:i/>
          <w:iCs/>
        </w:rPr>
        <w:t xml:space="preserve">10.10v</w:t>
      </w:r>
    </w:p>
    <w:p>
      <w:pPr>
        <w:pStyle w:val="OutlineRow"/>
        <w:ind w:left="1440"/>
      </w:pPr>
      <w:r>
        <w:t xml:space="preserve">SERMON 25</w:t>
      </w:r>
      <w:r>
        <w:t xml:space="preserve"> — </w:t>
      </w:r>
      <w:r>
        <w:rPr>
          <w:i/>
          <w:iCs/>
        </w:rPr>
        <w:t xml:space="preserve">10.13r</w:t>
      </w:r>
    </w:p>
    <w:p>
      <w:pPr>
        <w:pStyle w:val="OutlineRow"/>
        <w:ind w:left="1440"/>
      </w:pPr>
      <w:r>
        <w:t xml:space="preserve">IMPROVEMENT</w:t>
      </w:r>
    </w:p>
    <w:p>
      <w:pPr>
        <w:pStyle w:val="OutlineRow"/>
        <w:ind w:left="0"/>
      </w:pPr>
      <w:r>
        <w:t xml:space="preserve">I.</w:t>
      </w:r>
      <w:r>
        <w:t xml:space="preserve"> — </w:t>
      </w:r>
      <w:r>
        <w:t xml:space="preserve">Evidence for truth of Christian religion</w:t>
      </w:r>
    </w:p>
    <w:p>
      <w:pPr>
        <w:pStyle w:val="OutlineRow"/>
        <w:ind w:left="1440"/>
      </w:pPr>
      <w:r>
        <w:t xml:space="preserve">First. Manifest through opposition</w:t>
      </w:r>
    </w:p>
    <w:p>
      <w:pPr>
        <w:pStyle w:val="OutlineRow"/>
        <w:ind w:left="1440"/>
      </w:pPr>
      <w:r>
        <w:t xml:space="preserve">Second. Endurance</w:t>
      </w:r>
      <w:r>
        <w:t xml:space="preserve"> — </w:t>
      </w:r>
      <w:r>
        <w:rPr>
          <w:i/>
          <w:iCs/>
        </w:rPr>
        <w:t xml:space="preserve">10.17r</w:t>
      </w:r>
    </w:p>
    <w:p>
      <w:pPr>
        <w:pStyle w:val="OutlineRow"/>
        <w:ind w:left="1440"/>
      </w:pPr>
      <w:r>
        <w:t xml:space="preserve">Third. Fulfillment of Scripture prophecy</w:t>
      </w:r>
      <w:r>
        <w:t xml:space="preserve"> — </w:t>
      </w:r>
      <w:r>
        <w:rPr>
          <w:i/>
          <w:iCs/>
        </w:rPr>
        <w:t xml:space="preserve">10.20r</w:t>
      </w:r>
    </w:p>
    <w:p>
      <w:pPr>
        <w:pStyle w:val="OutlineRow"/>
        <w:ind w:left="576"/>
      </w:pPr>
      <w:r>
        <w:t xml:space="preserve">1.</w:t>
      </w:r>
      <w:r>
        <w:t xml:space="preserve"> — </w:t>
      </w:r>
      <w:r>
        <w:t xml:space="preserve">Preserving church</w:t>
      </w:r>
    </w:p>
    <w:p>
      <w:pPr>
        <w:pStyle w:val="OutlineRow"/>
        <w:ind w:left="576"/>
      </w:pPr>
      <w:r>
        <w:t xml:space="preserve">2.</w:t>
      </w:r>
      <w:r>
        <w:t xml:space="preserve"> — </w:t>
      </w:r>
      <w:r>
        <w:t xml:space="preserve">Foretelling Antichrist's career</w:t>
      </w:r>
      <w:r>
        <w:t xml:space="preserve"> — </w:t>
      </w:r>
      <w:r>
        <w:rPr>
          <w:i/>
          <w:iCs/>
        </w:rPr>
        <w:t xml:space="preserve">10.21r</w:t>
      </w:r>
    </w:p>
    <w:p>
      <w:pPr>
        <w:pStyle w:val="OutlineRow"/>
        <w:ind w:left="0"/>
      </w:pPr>
      <w:r>
        <w:t xml:space="preserve">II.</w:t>
      </w:r>
      <w:r>
        <w:t xml:space="preserve"> — </w:t>
      </w:r>
      <w:r>
        <w:t xml:space="preserve">Inference: True Christian spirit a suffering one</w:t>
      </w:r>
      <w:r>
        <w:t xml:space="preserve"> — </w:t>
      </w:r>
      <w:r>
        <w:rPr>
          <w:i/>
          <w:iCs/>
        </w:rPr>
        <w:t xml:space="preserve">10.23r</w:t>
      </w:r>
    </w:p>
    <w:p>
      <w:pPr>
        <w:pStyle w:val="OutlineRow"/>
        <w:ind w:left="0"/>
      </w:pPr>
      <w:r>
        <w:t xml:space="preserve">III.</w:t>
      </w:r>
      <w:r>
        <w:t xml:space="preserve"> — </w:t>
      </w:r>
      <w:r>
        <w:t xml:space="preserve">Reason to expect rest that is foretold</w:t>
      </w:r>
      <w:r>
        <w:t xml:space="preserve"> — </w:t>
      </w:r>
      <w:r>
        <w:rPr>
          <w:i/>
          <w:iCs/>
        </w:rPr>
        <w:t xml:space="preserve">10.24r</w:t>
      </w:r>
    </w:p>
    <w:p>
      <w:pPr>
        <w:pStyle w:val="OutlineRow"/>
        <w:ind w:left="1440"/>
      </w:pPr>
      <w:r>
        <w:t xml:space="preserve">SERMON 26</w:t>
      </w:r>
      <w:r>
        <w:t xml:space="preserve"> — </w:t>
      </w:r>
      <w:r>
        <w:rPr>
          <w:i/>
          <w:iCs/>
        </w:rPr>
        <w:t xml:space="preserve">11.1r</w:t>
      </w:r>
    </w:p>
    <w:p>
      <w:pPr>
        <w:pStyle w:val="OutlineRow"/>
        <w:ind w:left="1440"/>
      </w:pPr>
      <w:r>
        <w:t xml:space="preserve">(4.)</w:t>
      </w:r>
      <w:r>
        <w:t xml:space="preserve"> — </w:t>
      </w:r>
      <w:r>
        <w:t xml:space="preserve">Present time till fall of Antichrist</w:t>
      </w:r>
      <w:r>
        <w:t xml:space="preserve"> — </w:t>
      </w:r>
      <w:r>
        <w:rPr>
          <w:i/>
          <w:iCs/>
        </w:rPr>
        <w:t xml:space="preserve">11.1v</w:t>
      </w:r>
    </w:p>
    <w:p>
      <w:pPr>
        <w:pStyle w:val="OutlineRow"/>
        <w:ind w:left="1440"/>
      </w:pPr>
      <w:r>
        <w:t xml:space="preserve">(a.)</w:t>
      </w:r>
      <w:r>
        <w:t xml:space="preserve"> — </w:t>
      </w:r>
      <w:r>
        <w:t xml:space="preserve">General observations</w:t>
      </w:r>
      <w:r>
        <w:t xml:space="preserve"> — </w:t>
      </w:r>
      <w:r>
        <w:rPr>
          <w:i/>
          <w:iCs/>
        </w:rPr>
        <w:t xml:space="preserve">11.2v</w:t>
      </w:r>
    </w:p>
    <w:p>
      <w:pPr>
        <w:pStyle w:val="OutlineRow"/>
        <w:ind w:left="1440"/>
      </w:pPr>
      <w:r>
        <w:t xml:space="preserve">1.</w:t>
      </w:r>
      <w:r>
        <w:t xml:space="preserve"> — </w:t>
      </w:r>
      <w:r>
        <w:t xml:space="preserve">Dark time precedes end</w:t>
      </w:r>
    </w:p>
    <w:p>
      <w:pPr>
        <w:pStyle w:val="OutlineRow"/>
        <w:ind w:left="1440"/>
      </w:pPr>
      <w:r>
        <w:t xml:space="preserve">2.</w:t>
      </w:r>
      <w:r>
        <w:t xml:space="preserve"> — </w:t>
      </w:r>
      <w:r>
        <w:t xml:space="preserve">Will be gradually wrought</w:t>
      </w:r>
      <w:r>
        <w:t xml:space="preserve"> — </w:t>
      </w:r>
      <w:r>
        <w:rPr>
          <w:i/>
          <w:iCs/>
        </w:rPr>
        <w:t xml:space="preserve">11.3v</w:t>
      </w:r>
    </w:p>
    <w:p>
      <w:pPr>
        <w:pStyle w:val="OutlineRow"/>
        <w:ind w:left="1440"/>
      </w:pPr>
      <w:r>
        <w:t xml:space="preserve">(b.)</w:t>
      </w:r>
      <w:r>
        <w:t xml:space="preserve"> — </w:t>
      </w:r>
      <w:r>
        <w:t xml:space="preserve">How accomplished</w:t>
      </w:r>
      <w:r>
        <w:t xml:space="preserve"> — </w:t>
      </w:r>
      <w:r>
        <w:rPr>
          <w:i/>
          <w:iCs/>
        </w:rPr>
        <w:t xml:space="preserve">11.4r</w:t>
      </w:r>
    </w:p>
    <w:p>
      <w:pPr>
        <w:pStyle w:val="OutlineRow"/>
        <w:ind w:left="1440"/>
      </w:pPr>
      <w:r>
        <w:t xml:space="preserve">1.</w:t>
      </w:r>
      <w:r>
        <w:t xml:space="preserve"> — </w:t>
      </w:r>
      <w:r>
        <w:t xml:space="preserve">Spirit poured out</w:t>
      </w:r>
      <w:r>
        <w:t xml:space="preserve"> — </w:t>
      </w:r>
      <w:r>
        <w:rPr>
          <w:i/>
          <w:iCs/>
        </w:rPr>
        <w:t xml:space="preserve">11.4v</w:t>
      </w:r>
    </w:p>
    <w:p>
      <w:pPr>
        <w:pStyle w:val="OutlineRow"/>
        <w:ind w:left="1440"/>
      </w:pPr>
      <w:r>
        <w:t xml:space="preserve">2.</w:t>
      </w:r>
      <w:r>
        <w:t xml:space="preserve"> — </w:t>
      </w:r>
      <w:r>
        <w:t xml:space="preserve">Resistance from Antichrist</w:t>
      </w:r>
      <w:r>
        <w:t xml:space="preserve"> — </w:t>
      </w:r>
      <w:r>
        <w:rPr>
          <w:i/>
          <w:iCs/>
        </w:rPr>
        <w:t xml:space="preserve">11.6r</w:t>
      </w:r>
    </w:p>
    <w:p>
      <w:pPr>
        <w:pStyle w:val="OutlineRow"/>
        <w:ind w:left="1440"/>
      </w:pPr>
      <w:r>
        <w:t xml:space="preserve">3.</w:t>
      </w:r>
      <w:r>
        <w:t xml:space="preserve"> — </w:t>
      </w:r>
      <w:r>
        <w:t xml:space="preserve">Complete victory for Christ</w:t>
      </w:r>
      <w:r>
        <w:t xml:space="preserve"> — </w:t>
      </w:r>
      <w:r>
        <w:t xml:space="preserve">11.8r</w:t>
      </w:r>
    </w:p>
    <w:p>
      <w:pPr>
        <w:pStyle w:val="OutlineRow"/>
        <w:ind w:left="1440"/>
      </w:pPr>
      <w:r>
        <w:t xml:space="preserve">4.</w:t>
      </w:r>
      <w:r>
        <w:t xml:space="preserve"> — </w:t>
      </w:r>
      <w:r>
        <w:t xml:space="preserve">Satan's visible kingdom destroyed</w:t>
      </w:r>
      <w:r>
        <w:t xml:space="preserve"> — </w:t>
      </w:r>
      <w:r>
        <w:rPr>
          <w:i/>
          <w:iCs/>
        </w:rPr>
        <w:t xml:space="preserve">11.10r</w:t>
      </w:r>
    </w:p>
    <w:p>
      <w:pPr>
        <w:pStyle w:val="OutlineRow"/>
        <w:ind w:left="1440"/>
      </w:pPr>
      <w:r>
        <w:t xml:space="preserve">a.</w:t>
      </w:r>
      <w:r>
        <w:t xml:space="preserve"> — </w:t>
      </w:r>
      <w:r>
        <w:t xml:space="preserve">What included</w:t>
      </w:r>
      <w:r>
        <w:t xml:space="preserve"> — </w:t>
      </w:r>
      <w:r>
        <w:rPr>
          <w:i/>
          <w:iCs/>
        </w:rPr>
        <w:t xml:space="preserve">11.11r</w:t>
      </w:r>
    </w:p>
    <w:p>
      <w:pPr>
        <w:pStyle w:val="OutlineRow"/>
        <w:ind w:left="1440"/>
      </w:pPr>
      <w:r>
        <w:t xml:space="preserve">(1.)</w:t>
      </w:r>
      <w:r>
        <w:t xml:space="preserve"> — </w:t>
      </w:r>
      <w:r>
        <w:t xml:space="preserve">Heresies, etc. abolished</w:t>
      </w:r>
      <w:r>
        <w:t xml:space="preserve"> — </w:t>
      </w:r>
      <w:r>
        <w:rPr>
          <w:i/>
          <w:iCs/>
        </w:rPr>
        <w:t xml:space="preserve">11.15v</w:t>
      </w:r>
    </w:p>
    <w:p>
      <w:pPr>
        <w:pStyle w:val="OutlineRow"/>
        <w:ind w:left="1440"/>
      </w:pPr>
      <w:r>
        <w:t xml:space="preserve">(2.)</w:t>
      </w:r>
      <w:r>
        <w:t xml:space="preserve"> — </w:t>
      </w:r>
      <w:r>
        <w:t xml:space="preserve">Antichrist's kingdom ended</w:t>
      </w:r>
      <w:r>
        <w:t xml:space="preserve"> — </w:t>
      </w:r>
      <w:r>
        <w:rPr>
          <w:i/>
          <w:iCs/>
        </w:rPr>
        <w:t xml:space="preserve">11.11v</w:t>
      </w:r>
    </w:p>
    <w:p>
      <w:pPr>
        <w:pStyle w:val="OutlineRow"/>
        <w:ind w:left="1440"/>
      </w:pPr>
      <w:r>
        <w:t xml:space="preserve">(3.)</w:t>
      </w:r>
      <w:r>
        <w:t xml:space="preserve"> — </w:t>
      </w:r>
      <w:r>
        <w:t xml:space="preserve">Mohammedan kingdom ended</w:t>
      </w:r>
      <w:r>
        <w:t xml:space="preserve"> — </w:t>
      </w:r>
      <w:r>
        <w:rPr>
          <w:i/>
          <w:iCs/>
        </w:rPr>
        <w:t xml:space="preserve">11.12v</w:t>
      </w:r>
    </w:p>
    <w:p>
      <w:pPr>
        <w:pStyle w:val="OutlineRow"/>
        <w:ind w:left="1440"/>
      </w:pPr>
      <w:r>
        <w:t xml:space="preserve">(4.)</w:t>
      </w:r>
      <w:r>
        <w:t xml:space="preserve"> — </w:t>
      </w:r>
      <w:r>
        <w:t xml:space="preserve">End of Jewish infidelity</w:t>
      </w:r>
    </w:p>
    <w:p>
      <w:pPr>
        <w:pStyle w:val="OutlineRow"/>
        <w:ind w:left="1440"/>
      </w:pPr>
      <w:r>
        <w:t xml:space="preserve">SERMON 27</w:t>
      </w:r>
      <w:r>
        <w:t xml:space="preserve"> — </w:t>
      </w:r>
      <w:r>
        <w:rPr>
          <w:i/>
          <w:iCs/>
        </w:rPr>
        <w:t xml:space="preserve">11.14r</w:t>
      </w:r>
    </w:p>
    <w:p>
      <w:pPr>
        <w:pStyle w:val="OutlineRow"/>
        <w:ind w:left="1440"/>
      </w:pPr>
      <w:r>
        <w:t xml:space="preserve">(5.)</w:t>
      </w:r>
      <w:r>
        <w:t xml:space="preserve"> — </w:t>
      </w:r>
      <w:r>
        <w:t xml:space="preserve">Satan's heathen kingdom ended</w:t>
      </w:r>
    </w:p>
    <w:p>
      <w:pPr>
        <w:pStyle w:val="OutlineRow"/>
        <w:ind w:left="1440"/>
      </w:pPr>
      <w:r>
        <w:t xml:space="preserve">b.</w:t>
      </w:r>
      <w:r>
        <w:t xml:space="preserve"> — </w:t>
      </w:r>
      <w:r>
        <w:t xml:space="preserve">Universality</w:t>
      </w:r>
      <w:r>
        <w:t xml:space="preserve"> — </w:t>
      </w:r>
      <w:r>
        <w:rPr>
          <w:i/>
          <w:iCs/>
        </w:rPr>
        <w:t xml:space="preserve">11.16r</w:t>
      </w:r>
    </w:p>
    <w:p>
      <w:pPr>
        <w:pStyle w:val="OutlineRow"/>
        <w:ind w:left="1440"/>
      </w:pPr>
      <w:r>
        <w:t xml:space="preserve">(1.)</w:t>
      </w:r>
      <w:r>
        <w:t xml:space="preserve"> — </w:t>
      </w:r>
      <w:r>
        <w:t xml:space="preserve">Greater than previous ones</w:t>
      </w:r>
      <w:r>
        <w:t xml:space="preserve"> — </w:t>
      </w:r>
      <w:r>
        <w:rPr>
          <w:i/>
          <w:iCs/>
        </w:rPr>
        <w:t xml:space="preserve">11.18r</w:t>
      </w:r>
    </w:p>
    <w:p>
      <w:pPr>
        <w:pStyle w:val="OutlineRow"/>
        <w:ind w:left="1440"/>
      </w:pPr>
      <w:r>
        <w:t xml:space="preserve">(2.)</w:t>
      </w:r>
      <w:r>
        <w:t xml:space="preserve"> — </w:t>
      </w:r>
      <w:r>
        <w:t xml:space="preserve">Spiritual resurrection</w:t>
      </w:r>
    </w:p>
    <w:p>
      <w:pPr>
        <w:pStyle w:val="OutlineRow"/>
        <w:ind w:left="1440"/>
      </w:pPr>
      <w:r>
        <w:t xml:space="preserve">(3.)</w:t>
      </w:r>
      <w:r>
        <w:t xml:space="preserve"> — </w:t>
      </w:r>
      <w:r>
        <w:t xml:space="preserve">God's hand against enemies</w:t>
      </w:r>
      <w:r>
        <w:t xml:space="preserve"> — </w:t>
      </w:r>
      <w:r>
        <w:rPr>
          <w:i/>
          <w:iCs/>
        </w:rPr>
        <w:t xml:space="preserve">11.18v</w:t>
      </w:r>
    </w:p>
    <w:p>
      <w:pPr>
        <w:pStyle w:val="OutlineRow"/>
        <w:ind w:left="1440"/>
      </w:pPr>
      <w:r>
        <w:t xml:space="preserve">(4.)</w:t>
      </w:r>
      <w:r>
        <w:t xml:space="preserve"> — </w:t>
      </w:r>
      <w:r>
        <w:t xml:space="preserve">End of church's suffering state</w:t>
      </w:r>
      <w:r>
        <w:t xml:space="preserve"> — </w:t>
      </w:r>
      <w:r>
        <w:rPr>
          <w:i/>
          <w:iCs/>
        </w:rPr>
        <w:t xml:space="preserve">11.19r</w:t>
      </w:r>
    </w:p>
    <w:p>
      <w:pPr>
        <w:pStyle w:val="OutlineRow"/>
        <w:ind w:left="1440"/>
      </w:pPr>
      <w:r>
        <w:t xml:space="preserve">(5.)</w:t>
      </w:r>
      <w:r>
        <w:t xml:space="preserve"> — </w:t>
      </w:r>
      <w:r>
        <w:t xml:space="preserve">Introduces kingdom of Christ</w:t>
      </w:r>
      <w:r>
        <w:t xml:space="preserve"> — </w:t>
      </w:r>
      <w:r>
        <w:rPr>
          <w:i/>
          <w:iCs/>
        </w:rPr>
        <w:t xml:space="preserve">11.21r</w:t>
      </w:r>
    </w:p>
    <w:p>
      <w:pPr>
        <w:pStyle w:val="OutlineRow"/>
        <w:ind w:left="1440"/>
      </w:pPr>
      <w:r>
        <w:t xml:space="preserve">2.</w:t>
      </w:r>
      <w:r>
        <w:t xml:space="preserve"> — </w:t>
      </w:r>
      <w:r>
        <w:t xml:space="preserve">Under state of peace and prosperity</w:t>
      </w:r>
      <w:r>
        <w:t xml:space="preserve"> — </w:t>
      </w:r>
      <w:r>
        <w:rPr>
          <w:i/>
          <w:iCs/>
        </w:rPr>
        <w:t xml:space="preserve">11.22r</w:t>
      </w:r>
    </w:p>
    <w:p>
      <w:pPr>
        <w:pStyle w:val="OutlineRow"/>
        <w:ind w:left="1440"/>
      </w:pPr>
      <w:r>
        <w:t xml:space="preserve">a.</w:t>
      </w:r>
      <w:r>
        <w:t xml:space="preserve"> — </w:t>
      </w:r>
      <w:r>
        <w:t xml:space="preserve">Prosperous state</w:t>
      </w:r>
      <w:r>
        <w:t xml:space="preserve"> — </w:t>
      </w:r>
      <w:r>
        <w:rPr>
          <w:i/>
          <w:iCs/>
        </w:rPr>
        <w:t xml:space="preserve">11.22v</w:t>
      </w:r>
    </w:p>
    <w:p>
      <w:pPr>
        <w:pStyle w:val="OutlineRow"/>
        <w:ind w:left="1440"/>
      </w:pPr>
      <w:r>
        <w:t xml:space="preserve">(1.)</w:t>
      </w:r>
      <w:r>
        <w:t xml:space="preserve"> — </w:t>
      </w:r>
      <w:r>
        <w:t xml:space="preserve">Description</w:t>
      </w:r>
    </w:p>
    <w:p>
      <w:pPr>
        <w:pStyle w:val="OutlineRow"/>
        <w:ind w:left="1440"/>
      </w:pPr>
      <w:r>
        <w:t xml:space="preserve">(a.)</w:t>
      </w:r>
      <w:r>
        <w:t xml:space="preserve"> — </w:t>
      </w:r>
      <w:r>
        <w:t xml:space="preserve">Kingdom of heaven on earth</w:t>
      </w:r>
      <w:r>
        <w:t xml:space="preserve"> — </w:t>
      </w:r>
      <w:r>
        <w:rPr>
          <w:i/>
          <w:iCs/>
        </w:rPr>
        <w:t xml:space="preserve">11.23v</w:t>
      </w:r>
    </w:p>
    <w:p>
      <w:pPr>
        <w:pStyle w:val="OutlineRow"/>
        <w:ind w:left="1440"/>
      </w:pPr>
      <w:r>
        <w:t xml:space="preserve">(b.)</w:t>
      </w:r>
      <w:r>
        <w:t xml:space="preserve"> — </w:t>
      </w:r>
      <w:r>
        <w:t xml:space="preserve">"Latter days"</w:t>
      </w:r>
    </w:p>
    <w:p>
      <w:pPr>
        <w:pStyle w:val="OutlineRow"/>
        <w:ind w:left="1440"/>
      </w:pPr>
      <w:r>
        <w:t xml:space="preserve">1.</w:t>
      </w:r>
      <w:r>
        <w:t xml:space="preserve"> — </w:t>
      </w:r>
      <w:r>
        <w:t xml:space="preserve">Time of light, etc.</w:t>
      </w:r>
      <w:r>
        <w:t xml:space="preserve"> — </w:t>
      </w:r>
      <w:r>
        <w:rPr>
          <w:i/>
          <w:iCs/>
        </w:rPr>
        <w:t xml:space="preserve">11.22v</w:t>
      </w:r>
    </w:p>
    <w:p>
      <w:pPr>
        <w:pStyle w:val="OutlineRow"/>
        <w:ind w:left="1440"/>
      </w:pPr>
      <w:r>
        <w:t xml:space="preserve">2.</w:t>
      </w:r>
      <w:r>
        <w:t xml:space="preserve"> — </w:t>
      </w:r>
      <w:r>
        <w:t xml:space="preserve">Great holiness</w:t>
      </w:r>
      <w:r>
        <w:t xml:space="preserve"> — </w:t>
      </w:r>
      <w:r>
        <w:rPr>
          <w:i/>
          <w:iCs/>
        </w:rPr>
        <w:t xml:space="preserve">11.24v</w:t>
      </w:r>
    </w:p>
    <w:p>
      <w:pPr>
        <w:pStyle w:val="OutlineRow"/>
        <w:ind w:left="1440"/>
      </w:pPr>
      <w:r>
        <w:t xml:space="preserve">3.</w:t>
      </w:r>
      <w:r>
        <w:t xml:space="preserve"> — </w:t>
      </w:r>
      <w:r>
        <w:t xml:space="preserve">Religion respected</w:t>
      </w:r>
      <w:r>
        <w:t xml:space="preserve"> — </w:t>
      </w:r>
      <w:r>
        <w:rPr>
          <w:i/>
          <w:iCs/>
        </w:rPr>
        <w:t xml:space="preserve">11.25v</w:t>
      </w:r>
    </w:p>
    <w:p>
      <w:pPr>
        <w:pStyle w:val="OutlineRow"/>
        <w:ind w:left="1440"/>
      </w:pPr>
      <w:r>
        <w:t xml:space="preserve">4.</w:t>
      </w:r>
      <w:r>
        <w:t xml:space="preserve"> — </w:t>
      </w:r>
      <w:r>
        <w:t xml:space="preserve">Peace and love</w:t>
      </w:r>
      <w:r>
        <w:t xml:space="preserve"> — </w:t>
      </w:r>
      <w:r>
        <w:rPr>
          <w:i/>
          <w:iCs/>
        </w:rPr>
        <w:t xml:space="preserve">11.26r</w:t>
      </w:r>
    </w:p>
    <w:p>
      <w:pPr>
        <w:pStyle w:val="OutlineRow"/>
        <w:ind w:left="1440"/>
      </w:pPr>
      <w:r>
        <w:t xml:space="preserve">5.</w:t>
      </w:r>
      <w:r>
        <w:t xml:space="preserve"> — </w:t>
      </w:r>
      <w:r>
        <w:t xml:space="preserve">Order in church</w:t>
      </w:r>
      <w:r>
        <w:t xml:space="preserve"> — </w:t>
      </w:r>
      <w:r>
        <w:rPr>
          <w:i/>
          <w:iCs/>
        </w:rPr>
        <w:t xml:space="preserve">11.27v</w:t>
      </w:r>
    </w:p>
    <w:p>
      <w:pPr>
        <w:pStyle w:val="OutlineRow"/>
        <w:ind w:left="1440"/>
      </w:pPr>
      <w:r>
        <w:t xml:space="preserve">6.</w:t>
      </w:r>
      <w:r>
        <w:t xml:space="preserve"> — </w:t>
      </w:r>
      <w:r>
        <w:t xml:space="preserve">Beauty in church</w:t>
      </w:r>
      <w:r>
        <w:t xml:space="preserve"> — </w:t>
      </w:r>
      <w:r>
        <w:rPr>
          <w:i/>
          <w:iCs/>
        </w:rPr>
        <w:t xml:space="preserve">11.28r</w:t>
      </w:r>
    </w:p>
    <w:p>
      <w:pPr>
        <w:pStyle w:val="OutlineRow"/>
        <w:ind w:left="1440"/>
      </w:pPr>
      <w:r>
        <w:t xml:space="preserve">7.</w:t>
      </w:r>
      <w:r>
        <w:t xml:space="preserve"> — </w:t>
      </w:r>
      <w:r>
        <w:t xml:space="preserve">Prosperity</w:t>
      </w:r>
    </w:p>
    <w:p>
      <w:pPr>
        <w:pStyle w:val="OutlineRow"/>
        <w:ind w:left="1440"/>
      </w:pPr>
      <w:r>
        <w:t xml:space="preserve">8.</w:t>
      </w:r>
      <w:r>
        <w:t xml:space="preserve"> — </w:t>
      </w:r>
      <w:r>
        <w:t xml:space="preserve">Rejoicing</w:t>
      </w:r>
      <w:r>
        <w:t xml:space="preserve"> — </w:t>
      </w:r>
      <w:r>
        <w:rPr>
          <w:i/>
          <w:iCs/>
        </w:rPr>
        <w:t xml:space="preserve">11.29r</w:t>
      </w:r>
    </w:p>
    <w:p>
      <w:pPr>
        <w:pStyle w:val="OutlineRow"/>
        <w:ind w:left="1440"/>
      </w:pPr>
      <w:r>
        <w:t xml:space="preserve">(2.)</w:t>
      </w:r>
      <w:r>
        <w:t xml:space="preserve"> — </w:t>
      </w:r>
      <w:r>
        <w:t xml:space="preserve">Duration: Long</w:t>
      </w:r>
    </w:p>
    <w:p>
      <w:pPr>
        <w:pStyle w:val="OutlineRow"/>
        <w:ind w:left="1440"/>
      </w:pPr>
      <w:r>
        <w:t xml:space="preserve">SERMON 28</w:t>
      </w:r>
      <w:r>
        <w:t xml:space="preserve"> — </w:t>
      </w:r>
      <w:r>
        <w:rPr>
          <w:i/>
          <w:iCs/>
        </w:rPr>
        <w:t xml:space="preserve">12.1r</w:t>
      </w:r>
    </w:p>
    <w:p>
      <w:pPr>
        <w:pStyle w:val="OutlineRow"/>
        <w:ind w:left="1440"/>
      </w:pPr>
      <w:r>
        <w:t xml:space="preserve">b.</w:t>
      </w:r>
      <w:r>
        <w:t xml:space="preserve"> — </w:t>
      </w:r>
      <w:r>
        <w:t xml:space="preserve">Apostasy</w:t>
      </w:r>
    </w:p>
    <w:p>
      <w:pPr>
        <w:pStyle w:val="OutlineRow"/>
        <w:ind w:left="1440"/>
      </w:pPr>
      <w:r>
        <w:t xml:space="preserve">(1.)</w:t>
      </w:r>
      <w:r>
        <w:t xml:space="preserve"> — </w:t>
      </w:r>
      <w:r>
        <w:t xml:space="preserve">Shortly before end of world</w:t>
      </w:r>
    </w:p>
    <w:p>
      <w:pPr>
        <w:pStyle w:val="OutlineRow"/>
        <w:ind w:left="1440"/>
      </w:pPr>
      <w:r>
        <w:t xml:space="preserve">(2.)</w:t>
      </w:r>
      <w:r>
        <w:t xml:space="preserve"> — </w:t>
      </w:r>
      <w:r>
        <w:t xml:space="preserve">Opposition to church</w:t>
      </w:r>
      <w:r>
        <w:t xml:space="preserve"> — </w:t>
      </w:r>
      <w:r>
        <w:rPr>
          <w:i/>
          <w:iCs/>
        </w:rPr>
        <w:t xml:space="preserve">12.2v</w:t>
      </w:r>
    </w:p>
    <w:p>
      <w:pPr>
        <w:pStyle w:val="OutlineRow"/>
        <w:ind w:left="1440"/>
      </w:pPr>
      <w:r>
        <w:t xml:space="preserve">(3.)</w:t>
      </w:r>
      <w:r>
        <w:t xml:space="preserve"> — </w:t>
      </w:r>
      <w:r>
        <w:t xml:space="preserve">Requires Christ coming to judgment</w:t>
      </w:r>
      <w:r>
        <w:t xml:space="preserve"> — </w:t>
      </w:r>
      <w:r>
        <w:rPr>
          <w:i/>
          <w:iCs/>
        </w:rPr>
        <w:t xml:space="preserve">12.3r</w:t>
      </w:r>
    </w:p>
    <w:p>
      <w:pPr>
        <w:pStyle w:val="OutlineRow"/>
        <w:ind w:left="864"/>
      </w:pPr>
      <w:r>
        <w:t xml:space="preserve">(2.)</w:t>
      </w:r>
      <w:r>
        <w:t xml:space="preserve"> — </w:t>
      </w:r>
      <w:r>
        <w:t xml:space="preserve">Work through glory</w:t>
      </w:r>
      <w:r>
        <w:t xml:space="preserve"> — </w:t>
      </w:r>
      <w:r>
        <w:rPr>
          <w:i/>
          <w:iCs/>
        </w:rPr>
        <w:t xml:space="preserve">12.6r</w:t>
      </w:r>
    </w:p>
    <w:p>
      <w:pPr>
        <w:pStyle w:val="OutlineRow"/>
        <w:ind w:left="1152"/>
      </w:pPr>
      <w:r>
        <w:t xml:space="preserve">(a.)</w:t>
      </w:r>
      <w:r>
        <w:t xml:space="preserve"> — </w:t>
      </w:r>
      <w:r>
        <w:t xml:space="preserve">General comments</w:t>
      </w:r>
    </w:p>
    <w:p>
      <w:pPr>
        <w:pStyle w:val="OutlineRow"/>
        <w:ind w:left="1440"/>
      </w:pPr>
      <w:r>
        <w:t xml:space="preserve">1.</w:t>
      </w:r>
      <w:r>
        <w:t xml:space="preserve"> — </w:t>
      </w:r>
      <w:r>
        <w:t xml:space="preserve">Greatness</w:t>
      </w:r>
    </w:p>
    <w:p>
      <w:pPr>
        <w:pStyle w:val="OutlineRow"/>
        <w:ind w:left="1440"/>
      </w:pPr>
      <w:r>
        <w:t xml:space="preserve">2.</w:t>
      </w:r>
      <w:r>
        <w:t xml:space="preserve"> — </w:t>
      </w:r>
      <w:r>
        <w:t xml:space="preserve">All before preparation for it</w:t>
      </w:r>
    </w:p>
    <w:p>
      <w:pPr>
        <w:pStyle w:val="OutlineRow"/>
        <w:ind w:left="1440"/>
      </w:pPr>
      <w:r>
        <w:t xml:space="preserve">3.</w:t>
      </w:r>
      <w:r>
        <w:t xml:space="preserve"> — </w:t>
      </w:r>
      <w:r>
        <w:t xml:space="preserve">All before but images of it</w:t>
      </w:r>
      <w:r>
        <w:t xml:space="preserve"> — </w:t>
      </w:r>
      <w:r>
        <w:rPr>
          <w:i/>
          <w:iCs/>
        </w:rPr>
        <w:t xml:space="preserve">12.6v</w:t>
      </w:r>
    </w:p>
    <w:p>
      <w:pPr>
        <w:pStyle w:val="OutlineRow"/>
        <w:ind w:left="1152"/>
      </w:pPr>
      <w:r>
        <w:t xml:space="preserve">(b.)</w:t>
      </w:r>
      <w:r>
        <w:t xml:space="preserve"> — </w:t>
      </w:r>
      <w:r>
        <w:t xml:space="preserve">Particulars</w:t>
      </w:r>
    </w:p>
    <w:p>
      <w:pPr>
        <w:pStyle w:val="OutlineRow"/>
        <w:ind w:left="1440"/>
      </w:pPr>
      <w:r>
        <w:t xml:space="preserve">1.</w:t>
      </w:r>
      <w:r>
        <w:t xml:space="preserve"> — </w:t>
      </w:r>
      <w:r>
        <w:t xml:space="preserve">Christ appears in glory</w:t>
      </w:r>
    </w:p>
    <w:p>
      <w:pPr>
        <w:pStyle w:val="OutlineRow"/>
        <w:ind w:left="1440"/>
      </w:pPr>
      <w:r>
        <w:t xml:space="preserve">2.</w:t>
      </w:r>
      <w:r>
        <w:t xml:space="preserve"> — </w:t>
      </w:r>
      <w:r>
        <w:t xml:space="preserve">Last trumpet</w:t>
      </w:r>
      <w:r>
        <w:t xml:space="preserve"> — </w:t>
      </w:r>
      <w:r>
        <w:rPr>
          <w:i/>
          <w:iCs/>
        </w:rPr>
        <w:t xml:space="preserve">12.8v</w:t>
      </w:r>
    </w:p>
    <w:p>
      <w:pPr>
        <w:pStyle w:val="OutlineRow"/>
        <w:ind w:left="1440"/>
      </w:pPr>
      <w:r>
        <w:t xml:space="preserve">3.</w:t>
      </w:r>
      <w:r>
        <w:t xml:space="preserve"> — </w:t>
      </w:r>
      <w:r>
        <w:t xml:space="preserve">Whole church caught up</w:t>
      </w:r>
      <w:r>
        <w:t xml:space="preserve"> — </w:t>
      </w:r>
      <w:r>
        <w:rPr>
          <w:i/>
          <w:iCs/>
        </w:rPr>
        <w:t xml:space="preserve">12.10v</w:t>
      </w:r>
    </w:p>
    <w:p>
      <w:pPr>
        <w:pStyle w:val="OutlineRow"/>
        <w:ind w:left="1440"/>
      </w:pPr>
      <w:r>
        <w:t xml:space="preserve">SERMON 29</w:t>
      </w:r>
      <w:r>
        <w:t xml:space="preserve"> — </w:t>
      </w:r>
      <w:r>
        <w:rPr>
          <w:i/>
          <w:iCs/>
        </w:rPr>
        <w:t xml:space="preserve">12.15r</w:t>
      </w:r>
    </w:p>
    <w:p>
      <w:pPr>
        <w:pStyle w:val="OutlineRow"/>
        <w:ind w:left="1440"/>
      </w:pPr>
      <w:r>
        <w:t xml:space="preserve">4.</w:t>
      </w:r>
      <w:r>
        <w:t xml:space="preserve"> — </w:t>
      </w:r>
      <w:r>
        <w:t xml:space="preserve">Righteousness of church</w:t>
      </w:r>
    </w:p>
    <w:p>
      <w:pPr>
        <w:pStyle w:val="OutlineRow"/>
        <w:ind w:left="1440"/>
      </w:pPr>
      <w:r>
        <w:t xml:space="preserve">5.</w:t>
      </w:r>
      <w:r>
        <w:t xml:space="preserve"> — </w:t>
      </w:r>
      <w:r>
        <w:t xml:space="preserve">Sentencing of righteous and wicked</w:t>
      </w:r>
      <w:r>
        <w:t xml:space="preserve"> — </w:t>
      </w:r>
      <w:r>
        <w:rPr>
          <w:i/>
          <w:iCs/>
        </w:rPr>
        <w:t xml:space="preserve">12.16v</w:t>
      </w:r>
    </w:p>
    <w:p>
      <w:pPr>
        <w:pStyle w:val="OutlineRow"/>
        <w:ind w:left="1440"/>
      </w:pPr>
      <w:r>
        <w:t xml:space="preserve">6.</w:t>
      </w:r>
      <w:r>
        <w:t xml:space="preserve"> — </w:t>
      </w:r>
      <w:r>
        <w:t xml:space="preserve">Ascent of Christ and church</w:t>
      </w:r>
      <w:r>
        <w:t xml:space="preserve"> — </w:t>
      </w:r>
      <w:r>
        <w:rPr>
          <w:i/>
          <w:iCs/>
        </w:rPr>
        <w:t xml:space="preserve">12.17r</w:t>
      </w:r>
    </w:p>
    <w:p>
      <w:pPr>
        <w:pStyle w:val="OutlineRow"/>
        <w:ind w:left="1440"/>
      </w:pPr>
      <w:r>
        <w:t xml:space="preserve">7.</w:t>
      </w:r>
      <w:r>
        <w:t xml:space="preserve"> — </w:t>
      </w:r>
      <w:r>
        <w:t xml:space="preserve">World set on fire</w:t>
      </w:r>
      <w:r>
        <w:t xml:space="preserve"> — </w:t>
      </w:r>
      <w:r>
        <w:rPr>
          <w:i/>
          <w:iCs/>
        </w:rPr>
        <w:t xml:space="preserve">12.17v</w:t>
      </w:r>
    </w:p>
    <w:p>
      <w:pPr>
        <w:pStyle w:val="OutlineRow"/>
        <w:ind w:left="1440"/>
      </w:pPr>
      <w:r>
        <w:t xml:space="preserve">8.</w:t>
      </w:r>
      <w:r>
        <w:t xml:space="preserve"> — </w:t>
      </w:r>
      <w:r>
        <w:t xml:space="preserve">Church enters heaven</w:t>
      </w:r>
      <w:r>
        <w:t xml:space="preserve"> — </w:t>
      </w:r>
      <w:r>
        <w:rPr>
          <w:i/>
          <w:iCs/>
        </w:rPr>
        <w:t xml:space="preserve">12.19r</w:t>
      </w:r>
    </w:p>
    <w:p>
      <w:pPr>
        <w:pStyle w:val="OutlineRow"/>
        <w:ind w:left="1440"/>
      </w:pPr>
      <w:r>
        <w:t xml:space="preserve">APPLICATION</w:t>
      </w:r>
      <w:r>
        <w:t xml:space="preserve"> — </w:t>
      </w:r>
      <w:r>
        <w:rPr>
          <w:i/>
          <w:iCs/>
        </w:rPr>
        <w:t xml:space="preserve">12.23r</w:t>
      </w:r>
    </w:p>
    <w:p>
      <w:pPr>
        <w:pStyle w:val="OutlineRow"/>
        <w:ind w:left="0"/>
      </w:pPr>
      <w:r>
        <w:t xml:space="preserve">I.</w:t>
      </w:r>
      <w:r>
        <w:t xml:space="preserve"> — </w:t>
      </w:r>
      <w:r>
        <w:t xml:space="preserve">Greatness of Work of Redemption</w:t>
      </w:r>
    </w:p>
    <w:p>
      <w:pPr>
        <w:pStyle w:val="OutlineRow"/>
        <w:ind w:left="1440"/>
      </w:pPr>
      <w:r>
        <w:t xml:space="preserve">First. Greatness of events and dispensations</w:t>
      </w:r>
      <w:r>
        <w:t xml:space="preserve"> — </w:t>
      </w:r>
      <w:r>
        <w:rPr>
          <w:i/>
          <w:iCs/>
        </w:rPr>
        <w:t xml:space="preserve">12.23v</w:t>
      </w:r>
    </w:p>
    <w:p>
      <w:pPr>
        <w:pStyle w:val="OutlineRow"/>
        <w:ind w:left="1440"/>
      </w:pPr>
      <w:r>
        <w:t xml:space="preserve">Second. Number of events</w:t>
      </w:r>
      <w:r>
        <w:t xml:space="preserve"> — </w:t>
      </w:r>
      <w:r>
        <w:rPr>
          <w:i/>
          <w:iCs/>
        </w:rPr>
        <w:t xml:space="preserve">12.24v</w:t>
      </w:r>
    </w:p>
    <w:p>
      <w:pPr>
        <w:pStyle w:val="OutlineRow"/>
        <w:ind w:left="1440"/>
      </w:pPr>
      <w:r>
        <w:t xml:space="preserve">Third. Glorious time</w:t>
      </w:r>
      <w:r>
        <w:t xml:space="preserve"> — </w:t>
      </w:r>
      <w:r>
        <w:rPr>
          <w:i/>
          <w:iCs/>
        </w:rPr>
        <w:t xml:space="preserve">12.25v</w:t>
      </w:r>
    </w:p>
    <w:p>
      <w:pPr>
        <w:pStyle w:val="OutlineRow"/>
        <w:ind w:left="1440"/>
      </w:pPr>
      <w:r>
        <w:t xml:space="preserve">SERMON 30</w:t>
      </w:r>
      <w:r>
        <w:t xml:space="preserve"> — </w:t>
      </w:r>
      <w:r>
        <w:rPr>
          <w:i/>
          <w:iCs/>
        </w:rPr>
        <w:t xml:space="preserve">12.27v</w:t>
      </w:r>
    </w:p>
    <w:p>
      <w:pPr>
        <w:pStyle w:val="OutlineRow"/>
        <w:ind w:left="0"/>
      </w:pPr>
      <w:r>
        <w:t xml:space="preserve">II.</w:t>
      </w:r>
      <w:r>
        <w:t xml:space="preserve"> — </w:t>
      </w:r>
      <w:r>
        <w:t xml:space="preserve">God Alpha and Omega</w:t>
      </w:r>
    </w:p>
    <w:p>
      <w:pPr>
        <w:pStyle w:val="OutlineRow"/>
        <w:ind w:left="0"/>
      </w:pPr>
      <w:r>
        <w:t xml:space="preserve">III.</w:t>
      </w:r>
      <w:r>
        <w:t xml:space="preserve"> — </w:t>
      </w:r>
      <w:r>
        <w:t xml:space="preserve">Christ preeminent</w:t>
      </w:r>
      <w:r>
        <w:t xml:space="preserve"> — </w:t>
      </w:r>
      <w:r>
        <w:rPr>
          <w:i/>
          <w:iCs/>
        </w:rPr>
        <w:t xml:space="preserve">12.30r</w:t>
      </w:r>
    </w:p>
    <w:p>
      <w:pPr>
        <w:pStyle w:val="OutlineRow"/>
        <w:ind w:left="0"/>
      </w:pPr>
      <w:r>
        <w:t xml:space="preserve">IV.</w:t>
      </w:r>
      <w:r>
        <w:t xml:space="preserve"> — </w:t>
      </w:r>
      <w:r>
        <w:t xml:space="preserve">Consistency of providence</w:t>
      </w:r>
      <w:r>
        <w:t xml:space="preserve"> — </w:t>
      </w:r>
      <w:r>
        <w:rPr>
          <w:i/>
          <w:iCs/>
        </w:rPr>
        <w:t xml:space="preserve">12.31r</w:t>
      </w:r>
    </w:p>
    <w:p>
      <w:pPr>
        <w:pStyle w:val="OutlineRow"/>
        <w:ind w:left="0"/>
      </w:pPr>
      <w:r>
        <w:t xml:space="preserve">V.</w:t>
      </w:r>
      <w:r>
        <w:t xml:space="preserve"> — </w:t>
      </w:r>
      <w:r>
        <w:t xml:space="preserve">Scripture the word of God</w:t>
      </w:r>
      <w:r>
        <w:t xml:space="preserve"> — </w:t>
      </w:r>
      <w:r>
        <w:t xml:space="preserve">12.32v</w:t>
      </w:r>
    </w:p>
    <w:p>
      <w:pPr>
        <w:pStyle w:val="OutlineRow"/>
        <w:ind w:left="0"/>
      </w:pPr>
      <w:r>
        <w:t xml:space="preserve">VI.</w:t>
      </w:r>
      <w:r>
        <w:t xml:space="preserve"> — </w:t>
      </w:r>
      <w:r>
        <w:t xml:space="preserve">Glory of God</w:t>
      </w:r>
      <w:r>
        <w:t xml:space="preserve"> — </w:t>
      </w:r>
      <w:r>
        <w:rPr>
          <w:i/>
          <w:iCs/>
        </w:rPr>
        <w:t xml:space="preserve">12.35v</w:t>
      </w:r>
    </w:p>
    <w:p>
      <w:pPr>
        <w:pStyle w:val="OutlineRow"/>
        <w:ind w:left="0"/>
      </w:pPr>
      <w:r>
        <w:t xml:space="preserve">VII.</w:t>
      </w:r>
      <w:r>
        <w:t xml:space="preserve"> — </w:t>
      </w:r>
      <w:r>
        <w:t xml:space="preserve">Wisdom of God</w:t>
      </w:r>
      <w:r>
        <w:t xml:space="preserve"> — </w:t>
      </w:r>
      <w:r>
        <w:rPr>
          <w:i/>
          <w:iCs/>
        </w:rPr>
        <w:t xml:space="preserve">12.37v</w:t>
      </w:r>
    </w:p>
    <w:p>
      <w:pPr>
        <w:pStyle w:val="OutlineRow"/>
        <w:ind w:left="0"/>
      </w:pPr>
      <w:r>
        <w:t xml:space="preserve">VIII.</w:t>
      </w:r>
      <w:r>
        <w:t xml:space="preserve"> — </w:t>
      </w:r>
      <w:r>
        <w:t xml:space="preserve">God's mercy and faithfulness</w:t>
      </w:r>
      <w:r>
        <w:t xml:space="preserve"> — </w:t>
      </w:r>
      <w:r>
        <w:rPr>
          <w:i/>
          <w:iCs/>
        </w:rPr>
        <w:t xml:space="preserve">12.38r</w:t>
      </w:r>
    </w:p>
    <w:p>
      <w:pPr>
        <w:pStyle w:val="OutlineRow"/>
        <w:ind w:left="0"/>
      </w:pPr>
      <w:r>
        <w:t xml:space="preserve">IX.</w:t>
      </w:r>
      <w:r>
        <w:t xml:space="preserve"> — </w:t>
      </w:r>
      <w:r>
        <w:t xml:space="preserve">Happiness of church</w:t>
      </w:r>
      <w:r>
        <w:t xml:space="preserve"> — </w:t>
      </w:r>
      <w:r>
        <w:rPr>
          <w:i/>
          <w:iCs/>
        </w:rPr>
        <w:t xml:space="preserve">12.39r</w:t>
      </w:r>
    </w:p>
    <w:p>
      <w:pPr>
        <w:pStyle w:val="OutlineRow"/>
        <w:ind w:left="0"/>
      </w:pPr>
      <w:r>
        <w:t xml:space="preserve">X.</w:t>
      </w:r>
      <w:r>
        <w:t xml:space="preserve"> — </w:t>
      </w:r>
      <w:r>
        <w:t xml:space="preserve">Misery of wicked</w:t>
      </w:r>
      <w:r>
        <w:t xml:space="preserve"> — </w:t>
      </w:r>
      <w:r>
        <w:t xml:space="preserve">12.40r</w:t>
      </w:r>
    </w:p>
    <w:p>
      <w:pPr>
        <w:pStyle w:val="OutlineRow"/>
        <w:ind w:left="1440"/>
      </w:pPr>
      <w:r>
        <w:t xml:space="preserve">FINIS</w:t>
      </w:r>
      <w:r>
        <w:t xml:space="preserve"> — </w:t>
      </w:r>
      <w:r>
        <w:rPr>
          <w:i/>
          <w:iCs/>
        </w:rPr>
        <w:t xml:space="preserve">12.42r</w:t>
      </w:r>
    </w:p>
    <w:p>
      <w:pPr>
        <w:pStyle w:val="SourcePage"/>
      </w:pPr>
      <w:r>
        <w:t xml:space="preserve">[p. 543]</w:t>
      </w:r>
    </w:p>
    <w:p>
      <w:pPr>
        <w:pStyle w:val="Heading2"/>
      </w:pPr>
      <w:bookmarkStart w:name="heading_appendix_b_jonathan_edwards_" w:id="96"/>
      <w:r>
        <w:t xml:space="preserve">APPENDIX B: JONATHAN EDWARDS' NOTEBOOKS FOR A HISTORY OF THE WORK OF REDEMPTION</w:t>
      </w:r>
      <w:bookmarkEnd w:id="96"/>
    </w:p>
    <w:p>
      <w:pPr>
        <w:pStyle w:val="BodyText"/>
      </w:pPr>
      <w:r>
        <w:t xml:space="preserve">Reprinted, with minor changes, and with permission, from </w:t>
      </w:r>
      <w:r>
        <w:rPr>
          <w:i/>
          <w:iCs/>
        </w:rPr>
        <w:t xml:space="preserve">Reformation</w:t>
      </w:r>
      <w:r>
        <w:t xml:space="preserve">, </w:t>
      </w:r>
      <w:r>
        <w:rPr>
          <w:i/>
          <w:iCs/>
        </w:rPr>
        <w:t xml:space="preserve">Conformity</w:t>
      </w:r>
      <w:r>
        <w:t xml:space="preserve">, </w:t>
      </w:r>
      <w:r>
        <w:rPr>
          <w:i/>
          <w:iCs/>
        </w:rPr>
        <w:t xml:space="preserve">and Dissent: Essays in Honour of Geoffrey Nuttall</w:t>
      </w:r>
      <w:r>
        <w:t xml:space="preserve">, edited by R. Buick Knox (London: Epworth Press, 1977). I am deeply indebted to Wilson Kimnach for several discussions of these notebooks and the questions raised in analysis of them. His doctoral dissertation, "The Literary Techniques of Jonathan Edwards" (Univ. of Pennsylvania, 1971), is basic to understanding how Edwards worked as an author. In addition, I have depended on Kimnach's familiarity with the attempts at analysis of the inks Edwards used in different periods. Of course I bear responsibility for judgments, errors, and oversights. The notebooks are in folder 37 in the collection of Edwards' manuscript at the Beinecke Rare Book and Manuscript Library, Yale University.</w:t>
      </w:r>
    </w:p>
    <w:p>
      <w:pPr>
        <w:pStyle w:val="BodyText"/>
      </w:pPr>
      <w:r>
        <w:t xml:space="preserve">WHEN, in 1757, Jonathan Edwards received the invitation to succeed his son-in-law, Aaron Burr, as president of the recently founded College of New Jersey, he expressed considerable reluctance not only because he thought himself unsuited for the job by temperament and training, but also because he foresaw that undertaking the leadership of the struggling institution would deflect him from several projects that were much on his mind. For Edwards, the years from 1751 to 1757 had been a time of relative isolation at Stockbridge, an Indian mission between the Connecticut and Hudson River valleys, and they had been difficult. His removal from the Northampton parish, situated on the Connecticut River, had been, effectively, a kind of banishment from the chief inland settlement of the Massachusetts colony to a frontier outpost. His life there proved to be the more uncertain because Stockbridge became an exposed location when the Seven Years' War broke out. Once at the mission, moreover, Edwards had to struggle to protect the interests of the colony and the native Indians against agents who sought to aggrandize themselves at the expense of both. Finally, the move from Northampton seems to have initially placed Edwards deeply in debt.</w:t>
      </w:r>
    </w:p>
    <w:p>
      <w:pPr>
        <w:pStyle w:val="BodyText"/>
      </w:pPr>
      <w:r>
        <w:t xml:space="preserve">In spite of these unfavorable circumstances—made the more difficult</w:t>
      </w:r>
    </w:p>
    <w:p>
      <w:pPr>
        <w:pStyle w:val="SourcePage"/>
      </w:pPr>
      <w:r>
        <w:t xml:space="preserve">[p. 544]</w:t>
      </w:r>
    </w:p>
    <w:p>
      <w:pPr>
        <w:pStyle w:val="BodyText"/>
      </w:pPr>
      <w:r>
        <w:t xml:space="preserve">by prolonged poor health—Edwards turned the years of residence at Stockbridge into an extraordinarily productive period. His stature as the foremost theologian in the Reformed tradition to arise in the English-speaking world in the period from the sixteenth through to the eighteenth centuries is based on the treatises written while he was at the Indian mission at the edge of civilization.The major treatises which derive from the Stockbridge period are: </w:t>
      </w:r>
      <w:r>
        <w:rPr>
          <w:i/>
          <w:iCs/>
        </w:rPr>
        <w:t xml:space="preserve">A Careful and Strict Enquiry into the Modern Prevailing Notion</w:t>
      </w:r>
      <w:r>
        <w:t xml:space="preserve">, </w:t>
      </w:r>
      <w:r>
        <w:rPr>
          <w:i/>
          <w:iCs/>
        </w:rPr>
        <w:t xml:space="preserve">of that Freedom of Will which is supposed to be Essential to Moral Agency</w:t>
      </w:r>
      <w:r>
        <w:t xml:space="preserve">, </w:t>
      </w:r>
      <w:r>
        <w:rPr>
          <w:i/>
          <w:iCs/>
        </w:rPr>
        <w:t xml:space="preserve">Vertue and Vice</w:t>
      </w:r>
      <w:r>
        <w:t xml:space="preserve">, </w:t>
      </w:r>
      <w:r>
        <w:rPr>
          <w:i/>
          <w:iCs/>
        </w:rPr>
        <w:t xml:space="preserve">Reward and Punishment</w:t>
      </w:r>
      <w:r>
        <w:t xml:space="preserve">, </w:t>
      </w:r>
      <w:r>
        <w:rPr>
          <w:i/>
          <w:iCs/>
        </w:rPr>
        <w:t xml:space="preserve">Praise and Blame</w:t>
      </w:r>
      <w:r>
        <w:t xml:space="preserve"> (Boston, 1754), republished in a critical edition by Paul Ramsey, as </w:t>
      </w:r>
      <w:r>
        <w:rPr>
          <w:i/>
          <w:iCs/>
        </w:rPr>
        <w:t xml:space="preserve">The Works of Jonathan Edwards</w:t>
      </w:r>
      <w:r>
        <w:t xml:space="preserve">, vol. 1, </w:t>
      </w:r>
      <w:r>
        <w:rPr>
          <w:i/>
          <w:iCs/>
        </w:rPr>
        <w:t xml:space="preserve">Freedom of the Will</w:t>
      </w:r>
      <w:r>
        <w:t xml:space="preserve"> (New Haven, Yale Univ. Press, 1957); </w:t>
      </w:r>
      <w:r>
        <w:rPr>
          <w:i/>
          <w:iCs/>
        </w:rPr>
        <w:t xml:space="preserve">The Great Christian Doctrine of Original Sin Defended</w:t>
      </w:r>
      <w:r>
        <w:t xml:space="preserve"> (Boston, 1758), republished in a critical edition by Clyde A. Holbrook, as </w:t>
      </w:r>
      <w:r>
        <w:rPr>
          <w:i/>
          <w:iCs/>
        </w:rPr>
        <w:t xml:space="preserve">Works</w:t>
      </w:r>
      <w:r>
        <w:t xml:space="preserve"> (Yale ed.), </w:t>
      </w:r>
      <w:r>
        <w:rPr>
          <w:i/>
          <w:iCs/>
        </w:rPr>
        <w:t xml:space="preserve">3</w:t>
      </w:r>
      <w:r>
        <w:t xml:space="preserve"> (1970), </w:t>
      </w:r>
      <w:r>
        <w:rPr>
          <w:i/>
          <w:iCs/>
        </w:rPr>
        <w:t xml:space="preserve">Original Sin</w:t>
      </w:r>
      <w:r>
        <w:t xml:space="preserve">; and "Concerning the End for Which God Created the World" and "The Nature of True Virtue," published together as </w:t>
      </w:r>
      <w:r>
        <w:rPr>
          <w:i/>
          <w:iCs/>
        </w:rPr>
        <w:t xml:space="preserve">Two Dissertations</w:t>
      </w:r>
      <w:r>
        <w:t xml:space="preserve"> (Boston, 1765), by Paul Ramsey in </w:t>
      </w:r>
      <w:r>
        <w:rPr>
          <w:i/>
          <w:iCs/>
        </w:rPr>
        <w:t xml:space="preserve">Works</w:t>
      </w:r>
      <w:r>
        <w:t xml:space="preserve"> (Yale ed.), </w:t>
      </w:r>
      <w:r>
        <w:rPr>
          <w:i/>
          <w:iCs/>
        </w:rPr>
        <w:t xml:space="preserve">8</w:t>
      </w:r>
      <w:r>
        <w:t xml:space="preserve">, (1989), </w:t>
      </w:r>
      <w:r>
        <w:rPr>
          <w:i/>
          <w:iCs/>
        </w:rPr>
        <w:t xml:space="preserve">Ethical Writings</w:t>
      </w:r>
      <w:r>
        <w:t xml:space="preserve">.</w:t>
      </w:r>
    </w:p>
    <w:p>
      <w:pPr>
        <w:pStyle w:val="BodyText"/>
      </w:pPr>
      <w:r>
        <w:t xml:space="preserve">First among the projects which Edwards had "on his mind and heart" to complete as he pondered the invitation from the trustees of the institution at Princeton was "a great work, which I call a </w:t>
      </w:r>
      <w:r>
        <w:rPr>
          <w:i/>
          <w:iCs/>
        </w:rPr>
        <w:t xml:space="preserve">History of the Work of Redemption</w:t>
      </w:r>
      <w:r>
        <w:t xml:space="preserve">."Letter to the trustees of the College of New Jersey, printed in Sereno E, Dwight, </w:t>
      </w:r>
      <w:r>
        <w:rPr>
          <w:i/>
          <w:iCs/>
        </w:rPr>
        <w:t xml:space="preserve">The Life of President Edwards</w:t>
      </w:r>
      <w:r>
        <w:t xml:space="preserve"> (New York, 1830), pp. 568–71. The </w:t>
      </w:r>
      <w:r>
        <w:rPr>
          <w:i/>
          <w:iCs/>
        </w:rPr>
        <w:t xml:space="preserve">Life</w:t>
      </w:r>
      <w:r>
        <w:t xml:space="preserve"> was first published as vol. 1 in </w:t>
      </w:r>
      <w:r>
        <w:rPr>
          <w:i/>
          <w:iCs/>
        </w:rPr>
        <w:t xml:space="preserve">The Works of President Edwards: With a Memoir of His Life</w:t>
      </w:r>
      <w:r>
        <w:t xml:space="preserve"> (10 vols., New York, S. Converse, 1829–30). The edition was reprinted in 1830 (New York, G. &amp; C. &amp; H. Carvill). The </w:t>
      </w:r>
      <w:r>
        <w:rPr>
          <w:i/>
          <w:iCs/>
        </w:rPr>
        <w:t xml:space="preserve">Life</w:t>
      </w:r>
      <w:r>
        <w:t xml:space="preserve"> itself was issued as a separate volume, by Carvill, also in 1830. Pagination is identical in all three. For technical information, see Thomas H. Johnson, </w:t>
      </w:r>
      <w:r>
        <w:rPr>
          <w:i/>
          <w:iCs/>
        </w:rPr>
        <w:t xml:space="preserve">The Printed Writings of Jonathan Edwards</w:t>
      </w:r>
      <w:r>
        <w:t xml:space="preserve">, </w:t>
      </w:r>
      <w:r>
        <w:rPr>
          <w:i/>
          <w:iCs/>
        </w:rPr>
        <w:t xml:space="preserve">1703–1758: A Bibliography</w:t>
      </w:r>
      <w:r>
        <w:t xml:space="preserve"> (Princeton, Princeton University Press, 1940), items 343, 344, and 224. In the spring and summer months of 1739, which fell between the periods of intense revivals under his ministry at Northampton (in the years 1734 through 1735 and 1740 through 1742), Edwards had preached a series of sermons on Isaiah 51:8. The doctrine he framed in plain-style fashion was that "The Work of Redemption is a work that God carries on from the fall of man to the end of the world." He conceived of the series along cosmic lines as a "history." Sermon series were conventional within his tradition, and he had previously made use of the device. He had preached a series in the preceding year, for example (posthumously published as </w:t>
      </w:r>
      <w:r>
        <w:rPr>
          <w:i/>
          <w:iCs/>
        </w:rPr>
        <w:t xml:space="preserve">Charity and Its Fruits</w:t>
      </w:r>
      <w:r>
        <w:t xml:space="preserve"> [1852]).Edited from the original manuscripts by Tryon Edwards (New York, 1852); republished in </w:t>
      </w:r>
      <w:r>
        <w:rPr>
          <w:i/>
          <w:iCs/>
        </w:rPr>
        <w:t xml:space="preserve">Works</w:t>
      </w:r>
      <w:r>
        <w:t xml:space="preserve"> (Yale ed.), 8. Another series was reworked and published in the 1740s as </w:t>
      </w:r>
      <w:r>
        <w:rPr>
          <w:i/>
          <w:iCs/>
        </w:rPr>
        <w:t xml:space="preserve">A Treatise Concerning Religious Affections</w:t>
      </w:r>
      <w:r>
        <w:t xml:space="preserve">.Boston, 1746. Republished in a critical edition by John E. Smith, as </w:t>
      </w:r>
      <w:r>
        <w:rPr>
          <w:i/>
          <w:iCs/>
        </w:rPr>
        <w:t xml:space="preserve">Works</w:t>
      </w:r>
      <w:r>
        <w:t xml:space="preserve"> (Yale ed.), 2, (1959), </w:t>
      </w:r>
      <w:r>
        <w:rPr>
          <w:i/>
          <w:iCs/>
        </w:rPr>
        <w:t xml:space="preserve">Religious Affections</w:t>
      </w:r>
      <w:r>
        <w:t xml:space="preserve">. Several other series remain in manuscript form and seem not to have been intended for print.</w:t>
      </w:r>
    </w:p>
    <w:p>
      <w:pPr>
        <w:pStyle w:val="SourcePage"/>
      </w:pPr>
      <w:r>
        <w:t xml:space="preserve">[p. 545]</w:t>
      </w:r>
    </w:p>
    <w:p>
      <w:pPr>
        <w:pStyle w:val="BodyText"/>
      </w:pPr>
      <w:r>
        <w:t xml:space="preserve">Although Edwards never reworked the text of this particular series, the booklets in which he originally wrote out the sermons in 1739 and from which he delivered them do exist. At his death the series (probably not in the form of the original booklets but transcribed) made its way into the hands of a Scottish clergyman, the Reverend John Erskine. Erskine, who had frequently corresponded with Edwards and was then in Edinburgh, edited the sermons, touching their substance but little apart from removing transitional material between the individual sermons and adding the biblical texts where citations had been given."The manuscript being intrusted to my care, I have not presumed to make any change in the sentiments or composition, I have, however, taken the liberty to reduce it from the form of sermons, which it originally bore, to that of a continued treatise." Preface to the 1774 edition of </w:t>
      </w:r>
      <w:r>
        <w:rPr>
          <w:i/>
          <w:iCs/>
        </w:rPr>
        <w:t xml:space="preserve">A History of the Work of Redemption</w:t>
      </w:r>
      <w:r>
        <w:t xml:space="preserve">, signed by John Erskine, Edinburgh, 29 April 1774. In this way </w:t>
      </w:r>
      <w:r>
        <w:rPr>
          <w:i/>
          <w:iCs/>
        </w:rPr>
        <w:t xml:space="preserve">A History of the Work of Redemption</w:t>
      </w:r>
      <w:r>
        <w:t xml:space="preserve"> was first published in Edinburgh and London (1774). Subsequently it appeared in Utrecht (1776) and finally went through an American press (New York, 1786).Johnson, </w:t>
      </w:r>
      <w:r>
        <w:rPr>
          <w:i/>
          <w:iCs/>
        </w:rPr>
        <w:t xml:space="preserve">Printed Writings of Jonathan Edwards</w:t>
      </w:r>
      <w:r>
        <w:t xml:space="preserve">, is invaluable for tracing the publication of Edwards' works.</w:t>
      </w:r>
    </w:p>
    <w:p>
      <w:pPr>
        <w:pStyle w:val="BodyText"/>
      </w:pPr>
      <w:r>
        <w:t xml:space="preserve">We are concerned here with the three notebooks Edwards made which suggest he was contemplating reworking the sermon series on which Erskine based his publication. At least two of the three were made by Edwards for his own use. Each is distinctive physically as well as in terms of content. The most substantial (in terms both of the number of separate entries and the importance of the whole) has a title on the front sheet given to it by Edwards (in part in shorthand): "History—Work of Redemption. B. I." Sewn together out of an extraordinary assortment of paper scraps (which are not regular in size or shape), it consists of the front cover and 123 consecutively numbered pages, beginning with the reverse side of the cover (the back cover is missing). On close inspection, the original notebook (approximately 21 cm by 13 cm) seems to have consisted of the initial 91 pages, undoubtedly with a back cover. It was augmented by three separate sections. Pages 92–107 consist of a series of extremely small leaves otherwise largely unused. Pages 108–19 comprise a bundle of materials, added as a unit, which were a single series of letters. The final four pages conclude the notebook. It is a reasonable conjecture that the addition of the sections weakened the original back cover, resulting in its loss.</w:t>
      </w:r>
    </w:p>
    <w:p>
      <w:pPr>
        <w:pStyle w:val="SourcePage"/>
      </w:pPr>
      <w:r>
        <w:t xml:space="preserve">[p. 546]</w:t>
      </w:r>
    </w:p>
    <w:p>
      <w:pPr>
        <w:pStyle w:val="BodyText"/>
      </w:pPr>
      <w:r>
        <w:t xml:space="preserve">The materials are extremely diverse. Early sheets appear to be printer's proofs from Joseph Bellamy's </w:t>
      </w:r>
      <w:r>
        <w:rPr>
          <w:i/>
          <w:iCs/>
        </w:rPr>
        <w:t xml:space="preserve">True Religion Delineated</w:t>
      </w:r>
      <w:r>
        <w:t xml:space="preserve">,Boston, 1750. to which Edwards had contributed a preface. A large number of pages, irregular in shape, seem to be trimmings from the legendary fan-papers, a project the women in the Edwards household undertook in the course of the difficult Stockbridge years (according to tradition the fans were sold in Boston).See reference in Dwight, p. 487. Various cover sheets and letters were used, as also outdated lists (page 47 is a list of male citizens, conceivably connected with a church controversy or other public question). The draft of a prayer for Deacon Clark, whose health was failing, became page 62, and proclamations of marriage intentions were put to use as pages 64 and 71. The greatest degree of human interest may attach to the second, a certificate executed by Joseph Hawley, the mayor of Northampton, to the effect that Elihu Parsons and Sarah Edwards had indicated their intentions in 1750. A title page from the </w:t>
      </w:r>
      <w:r>
        <w:rPr>
          <w:i/>
          <w:iCs/>
        </w:rPr>
        <w:t xml:space="preserve">Farewel-Sermon</w:t>
      </w:r>
      <w:r>
        <w:t xml:space="preserve">, preached at Northampton on 22 June 1750, and published in 1751, was also appropriated for use.</w:t>
      </w:r>
      <w:r>
        <w:rPr>
          <w:i/>
          <w:iCs/>
        </w:rPr>
        <w:t xml:space="preserve">A Farewel-Sermon</w:t>
      </w:r>
      <w:r>
        <w:t xml:space="preserve">, </w:t>
      </w:r>
      <w:r>
        <w:rPr>
          <w:i/>
          <w:iCs/>
        </w:rPr>
        <w:t xml:space="preserve">Preached … On June 22</w:t>
      </w:r>
      <w:r>
        <w:t xml:space="preserve">, </w:t>
      </w:r>
      <w:r>
        <w:rPr>
          <w:i/>
          <w:iCs/>
        </w:rPr>
        <w:t xml:space="preserve">1750</w:t>
      </w:r>
      <w:r>
        <w:t xml:space="preserve"> (Boston, 1751).</w:t>
      </w:r>
    </w:p>
    <w:p>
      <w:pPr>
        <w:pStyle w:val="BodyText"/>
      </w:pPr>
      <w:r>
        <w:t xml:space="preserve">The bundle consisting of pages 108–19 is constructed from a letter to "the honourable Andrew Oliver, Esq.," who was the treasurer of the Commissioners for Indian Affairs in Boston, and from related correspondence. By means of Captain Timothy Woodbridge, who seems to have been engaged to make the trip to Boston, Edwards requested payment of the "half-years salary due on the 17 day of this month" (December 1754, page 116). These materials (and the above are a selection only) hold sufficient interest for serious students of Edwards' later life to warrant close inspection. Our attention will return to particular items; for the present it is simply important to establish the physical characteristics of the notebook, which will be identified as Notebook A. (In the course of an inventory of the Edwards material, perhaps the Partridge list, it received the designation 10– on the front cover and the last page.)</w:t>
      </w:r>
    </w:p>
    <w:p>
      <w:pPr>
        <w:pStyle w:val="BodyText"/>
      </w:pPr>
      <w:r>
        <w:t xml:space="preserve">The second notebook is rather different. It has a cover with a title, apparently in Edwards' hand, on both front and rear: "History of the Work Redemption vol. II" (all in shorthand). The inside covers are left blank. The 32 inner pages (numbered by Edwards) are, without exception, taken from a copy of Antoine Arnauld's </w:t>
      </w:r>
      <w:r>
        <w:rPr>
          <w:i/>
          <w:iCs/>
        </w:rPr>
        <w:t xml:space="preserve">De la fréquente Communion</w:t>
      </w:r>
      <w:r>
        <w:t xml:space="preserve"> (to be precise, pages 449–80). Edwards turned them upside</w:t>
      </w:r>
    </w:p>
    <w:p>
      <w:pPr>
        <w:pStyle w:val="SourcePage"/>
      </w:pPr>
      <w:r>
        <w:t xml:space="preserve">[p. 547]</w:t>
      </w:r>
    </w:p>
    <w:p>
      <w:pPr>
        <w:pStyle w:val="BodyText"/>
      </w:pPr>
      <w:r>
        <w:t xml:space="preserve">down and made his notations in the original bottom margin, occasionally carrying his writing down the sides of those pages which did not have printed notes there. This we will identify as Notebook B. The dimensions of its leaves are 21 cm by 13 cm. (A penciled inventory number 25 is entered on the front and rear covers.)</w:t>
      </w:r>
    </w:p>
    <w:p>
      <w:pPr>
        <w:pStyle w:val="BodyText"/>
      </w:pPr>
      <w:r>
        <w:t xml:space="preserve">A third and final notebook, probably also constructed by Edwards, has an outside front and rear cover which seems to be a scrap of wallpaper. An inside cover is blank except for a notation "Book—2—" (which appears to be in the same hand which numbers the other notebooks 10– and 25 respectively). Otherwise both inside and outside of this second cover, front and back, are blank, so that there is no indication in Edwards' hand that it was a part of the "History of the Work of Redemption" project. The notebook has 21 regular numbered pages (plus the blank verso of the last) not previously used followed by 7 blank leaves. Its dimensions are 21.5 cm by 17.5 cm. This we will identify as Notebook C.</w:t>
      </w:r>
    </w:p>
    <w:p>
      <w:pPr>
        <w:pStyle w:val="BodyText"/>
      </w:pPr>
      <w:r>
        <w:t xml:space="preserve">The contents of the three notebooks are as different as their physical characteristics. Notebook C is the most coherent and consistent and appears to be one of numerous notebooks Edwards created as reference works, on the basis of his reading and study, to which he might turn as occasion required. On pages neatly divided down the middle, and with lines carefully separating each entry, Edwards compiled notes on the popes, beginning with Victor, the thirteenth bishop of Rome. The entries concern innovations in ceremonies and practices, and events in the development of the papal office. The last entry is devoted to King Pepin and Pope Stephen II (anno 755). References make it clear that these are consecutive reading notes on Archibald Bower's </w:t>
      </w:r>
      <w:r>
        <w:rPr>
          <w:i/>
          <w:iCs/>
        </w:rPr>
        <w:t xml:space="preserve">History Of Popery</w:t>
      </w:r>
      <w:r>
        <w:t xml:space="preserve">, volume 1 (beginning on page 1), volume 2 (beginning on page 3), and volume 3 (beginning on page 12).The </w:t>
      </w:r>
      <w:r>
        <w:rPr>
          <w:i/>
          <w:iCs/>
        </w:rPr>
        <w:t xml:space="preserve">History</w:t>
      </w:r>
      <w:r>
        <w:t xml:space="preserve"> was published in London in seven volumes, 1748–66. A section beginning on page 16 is titled "of the Worship of Images," which theme also underlies the entries on the five concluding pages. Nothing in the text explicitly connects these notes with the Work of Redemption project. The relevance of the subject matter suggests at least a collateral association with it, however, even if it was compiled without direct reference to the project itself.</w:t>
      </w:r>
    </w:p>
    <w:p>
      <w:pPr>
        <w:pStyle w:val="BodyText"/>
      </w:pPr>
      <w:r>
        <w:t xml:space="preserve">Notebook B is much the shortest, being approximately one-third the content length of C and one-fifth the content length of A. Its entries are jottings, notes an author writes to ensure he will recall a</w:t>
      </w:r>
    </w:p>
    <w:p>
      <w:pPr>
        <w:pStyle w:val="SourcePage"/>
      </w:pPr>
      <w:r>
        <w:t xml:space="preserve">[p. 548]</w:t>
      </w:r>
    </w:p>
    <w:p>
      <w:pPr>
        <w:pStyle w:val="BodyText"/>
      </w:pPr>
      <w:r>
        <w:t xml:space="preserve">point or a line along which an argument should be developed. There are very few references to other authors: among them one to Stapferus and one to a sermon by Bellamy on Galatians 3:24. A few additional references, possibly added later, concern Edwards' own "Miscellanies" and a sermon he had composed on Luke 9:51.</w:t>
      </w:r>
    </w:p>
    <w:p>
      <w:pPr>
        <w:pStyle w:val="BodyText"/>
      </w:pPr>
      <w:r>
        <w:t xml:space="preserve">Notebook A is not only the most extensive, it is also by far the most diverse. Many entries are broadly typological—concerned with the clarification of particular Old Testament types and their antitypes. Others are notes on arguments for the approaching end of history; Isaac Newton's philosophy, for example, is proposed as contributing to the setting up of Christ's kingdom. Some entries detail particular points to be made in the discussion of incidents from the Old Testament. Still others concern specifically theological arguments, for example, on the nature of the death of Christ. These are all broadly theological materials, that is, they are elaborations of biblical and historical points from the perspective of the theological program which underlies the project.</w:t>
      </w:r>
    </w:p>
    <w:p>
      <w:pPr>
        <w:pStyle w:val="BodyText"/>
      </w:pPr>
      <w:r>
        <w:t xml:space="preserve">Other entries are sets of biblical texts which Edwards marshals under topical headings. There is, for example, a set which "intimate[s] that the saints in heaven have communion with the church on earth in all that belongs to its prosperity." The references are largely to the New Testament writings, especially Hebrews, Revelation, and John, but some Old Testament passages are included, mostly from the Psalms. Other entries are short expositions of Scripture texts; for example, Edwards argues that Genesis 5:29 is the "second prophecy we have in scripture of the salvation of the messiah."</w:t>
      </w:r>
    </w:p>
    <w:p>
      <w:pPr>
        <w:pStyle w:val="BodyText"/>
      </w:pPr>
      <w:r>
        <w:t xml:space="preserve">Sections of varying lengths are also devoted to pertinent reading notes from a variety of books. A good example is a series of entries which seems to reflect Edwards' reading of the second volume of "Dr. Winder … his </w:t>
      </w:r>
      <w:r>
        <w:rPr>
          <w:i/>
          <w:iCs/>
        </w:rPr>
        <w:t xml:space="preserve">History of Knowledge</w:t>
      </w:r>
      <w:r>
        <w:t xml:space="preserve">."Apparently Henry Winder, </w:t>
      </w:r>
      <w:r>
        <w:rPr>
          <w:i/>
          <w:iCs/>
        </w:rPr>
        <w:t xml:space="preserve">A … History of the Rise</w:t>
      </w:r>
      <w:r>
        <w:t xml:space="preserve">, </w:t>
      </w:r>
      <w:r>
        <w:rPr>
          <w:i/>
          <w:iCs/>
        </w:rPr>
        <w:t xml:space="preserve">Progress</w:t>
      </w:r>
      <w:r>
        <w:t xml:space="preserve">, </w:t>
      </w:r>
      <w:r>
        <w:rPr>
          <w:i/>
          <w:iCs/>
        </w:rPr>
        <w:t xml:space="preserve">Declension</w:t>
      </w:r>
      <w:r>
        <w:t xml:space="preserve">, </w:t>
      </w:r>
      <w:r>
        <w:rPr>
          <w:i/>
          <w:iCs/>
        </w:rPr>
        <w:t xml:space="preserve">and Revival of Knowledge</w:t>
      </w:r>
      <w:r>
        <w:t xml:space="preserve">, </w:t>
      </w:r>
      <w:r>
        <w:rPr>
          <w:i/>
          <w:iCs/>
        </w:rPr>
        <w:t xml:space="preserve">Chiefly Religious</w:t>
      </w:r>
      <w:r>
        <w:t xml:space="preserve">, 2d ed. (2 vols. in 1, London, 1756). In this respect parts of Notebook A resemble Notebook C. Other references note sections of Edwards' own works which are relevant to the Work of Redemption project. Numerous particular entries, for example, refer to the "Miscellanies"—scriptural comments in his great interleaved ("blank") Bible—and to particular sermons.</w:t>
      </w:r>
    </w:p>
    <w:p>
      <w:pPr>
        <w:pStyle w:val="BodyText"/>
      </w:pPr>
      <w:r>
        <w:t xml:space="preserve">Then there are entries which come under the general heading "method." In these he reflects upon the approach he will take to a</w:t>
      </w:r>
    </w:p>
    <w:p>
      <w:pPr>
        <w:pStyle w:val="SourcePage"/>
      </w:pPr>
      <w:r>
        <w:t xml:space="preserve">[p. 549]</w:t>
      </w:r>
    </w:p>
    <w:p>
      <w:pPr>
        <w:pStyle w:val="BodyText"/>
      </w:pPr>
      <w:r>
        <w:t xml:space="preserve">particular issue: "perhaps in the beginning have an introduction in a discourse to prove the Redemption to be the greatest of God's works and the end of all other works of God." Elsewhere he outlines parts of the proposed work in broad brushstrokes. These reflections extend to themes which will run throughout the whole as well as to controlling images which appear suitable. Finally, the title of the treatise concerns him. One version he proposes with different variations at separate points is "The Scheme and Progress of the Work of Redemption."</w:t>
      </w:r>
    </w:p>
    <w:p>
      <w:pPr>
        <w:pStyle w:val="BodyText"/>
      </w:pPr>
      <w:r>
        <w:t xml:space="preserve">It will be clear from this summary that the three notebooks, especially the one here identified as A, are extremely interesting and valuable for the light they shed on Edwards' reflection about his project. Before entertaining a series of more conjectural questions, there is an issue which can be addressed with some certitude in light of their existence. This is the question of when and for how long Edwards gave his attention to this project of revising the 1739 sermon series. To be more precise, in Edwards' reply to the trustees of the College of New Jersey, he expresses his concern that to accept the proffered appointment would deflect him from completing his reworking of the "History of the Work of Redemption." But is that to be read as a relatively conventional indication of how unexpected the invitation was and how disruptive the prospect of accepting it—or as an indication that Edwards was in fact deeply committed to a new project and had recently in fact begun work on it with his customary zeal? The outline of the projected study which he gave to the trustees will be read in different ways depending upon the answer returned to this question.</w:t>
      </w:r>
    </w:p>
    <w:p>
      <w:pPr>
        <w:pStyle w:val="BodyText"/>
      </w:pPr>
      <w:r>
        <w:t xml:space="preserve">The notebooks permit us to establish, in conjunction with certain other material, and with considerable precision, the period of time within which Edwards must have been at work producing their contents. That in turn puts us in a better position to interpret the place of this work in the broader Edwardsean corpus as it took shape in the Stockbridge years.</w:t>
      </w:r>
    </w:p>
    <w:p>
      <w:pPr>
        <w:pStyle w:val="BodyText"/>
      </w:pPr>
      <w:r>
        <w:t xml:space="preserve">Different kinds of evidence provide means for us to attempt to date the development of the notebooks. There is strictly internal evidence, namely the limitations inherent in the materials out of which Edwards constructed them. This approach is especially promising with respect to A because it incorporates such a diverse group of materials. It does not help with respect to C, made of otherwise unused paper, or B, which utilizes pages from one printed book, a matter which will concern</w:t>
      </w:r>
    </w:p>
    <w:p>
      <w:pPr>
        <w:pStyle w:val="SourcePage"/>
      </w:pPr>
      <w:r>
        <w:t xml:space="preserve">[p. 550]</w:t>
      </w:r>
    </w:p>
    <w:p>
      <w:pPr>
        <w:pStyle w:val="BodyText"/>
      </w:pPr>
      <w:r>
        <w:t xml:space="preserve">us later. Another approach is to seek to correlate references in the notebooks with other information we have about Edwards. Here his isolation in Stockbridge proves helpful because some correspondence survives, particularly with John Erskine in Scotland, which enables us to determine when he first had particular books available to which he refers in the notebooks. Finally, analysis of the ink Edwards used, compared with already dated inks, provides another framework.</w:t>
      </w:r>
    </w:p>
    <w:p>
      <w:pPr>
        <w:pStyle w:val="BodyText"/>
      </w:pPr>
      <w:r>
        <w:t xml:space="preserve">First we may assume that the consistency of materials and the uniformity of their size in the case of both B and C establish that they were sewn together as notebooks before Edwards wrote on the pages. Edwards seems to have made a practice of creating such a notebook as a project took definite shape in his mind. Notebook A is a rather different matter. One hypothesis would be that he wrote on separate scraps of paper, gathering them into one notebook only after a considerable number had been accumulated. On this hypothesis, some of the entries could be placed in the Northampton period. As an example, page 47 is a list of males, headed by Colonel (Timothy) Dwight, which probably was occasioned by some event in Northampton or its church. Page 62, the petition for prayer for Deacon Clark, also seems to come from that period. A certificate of marriage intentions between Simeon Clark of Hadley and Rebeckah Strong of Northampton (page 64) is dated 1749, and that proclaiming the intentions declared by Elihu Parsons and Sarah Edwards (page 71) was from the next year. Some few pages do directly reflect the Stockbridge years, especially the bundle inserted as pages 108–19. Strictly speaking, then, in terms of this hypothesis, on the basis of the materials out of which Notebook A is made, the terminus a quo for beginning notetaking would have to be the late 1740s in Northampton. This would entail the assumption that Notebook A was constructed by Edwards toward the end of the Stockbridge period from incidental notes written over a six- or seven-year period.</w:t>
      </w:r>
    </w:p>
    <w:p>
      <w:pPr>
        <w:pStyle w:val="BodyText"/>
      </w:pPr>
      <w:r>
        <w:t xml:space="preserve">The other hypothesis, namely, that Edwards constructed Notebook A (initially 45 leaves with covers) before beginning to take notes, seems the more likely in terms of its physical characteristics. In its present augmented form Notebook A cannot have been constructed before early 1755 (N.S.). This follows from the bundle of scraps which became pages 108–19. It includes the letter to Andrew Oliver, Esq., which carries the date 20 December 1754. It was presumably taken to Boston and returned, and another scrap addressed to Edwards</w:t>
      </w:r>
    </w:p>
    <w:p>
      <w:pPr>
        <w:pStyle w:val="SourcePage"/>
      </w:pPr>
      <w:r>
        <w:t xml:space="preserve">[p. 551]</w:t>
      </w:r>
    </w:p>
    <w:p>
      <w:pPr>
        <w:pStyle w:val="BodyText"/>
      </w:pPr>
      <w:r>
        <w:t xml:space="preserve">seems to have come back with it. Page 118, a private letter to Captain Woodbridge, concerns related matters and is dated 4 January 1755. Thus the materials used for construction of Notebook A in its augmented form indicate that Edwards gave sustained attention to his projected "History of the Work of Redemption" at least as late as the spring months of 1755.</w:t>
      </w:r>
    </w:p>
    <w:p>
      <w:pPr>
        <w:pStyle w:val="BodyText"/>
      </w:pPr>
      <w:r>
        <w:t xml:space="preserve">There is quite another means of approach to this issue. Edwards began correspondence with a group of Scottish divines in the early 1740s on the basis of their common interests in the evangelical awakenings on both sides of the Atlantic, interests which eventuated in the "Concert of Prayer." John Maclaurin of Glasgow seems to have been the first of these correspondents with Edwards, but soon the group widened to include several others. As part of this exchange of letters, Edwards developed a special affinity for one of the younger of the Scotsmen, John Erskine, who first settled near Glasgow, then moved to Culross in 1753 and finally to Edinburgh in 1758.See </w:t>
      </w:r>
      <w:r>
        <w:rPr>
          <w:i/>
          <w:iCs/>
        </w:rPr>
        <w:t xml:space="preserve">Account of the Life and Writings of John Erskine</w:t>
      </w:r>
      <w:r>
        <w:t xml:space="preserve">, |I.I-I.J|., by Sir Henry Moncreiff Wellwood (Edinburgh, 1818). From Edwards' point of view, this was a most worthwhile correspondence, and, indeed, the contact was continued into the third generation, first as Edwards, Jr., took it up and then as it fell to Timothy Dwight (Erskine died at eighty-two in 1803).</w:t>
      </w:r>
    </w:p>
    <w:p>
      <w:pPr>
        <w:pStyle w:val="BodyText"/>
      </w:pPr>
      <w:r>
        <w:t xml:space="preserve">After Edwards' death Erskine, as noted above, was instrumental in publishing some of his works in Britain, including </w:t>
      </w:r>
      <w:r>
        <w:rPr>
          <w:i/>
          <w:iCs/>
        </w:rPr>
        <w:t xml:space="preserve">A History of the Work of Redemption</w:t>
      </w:r>
      <w:r>
        <w:t xml:space="preserve">. But during Edwards' lifetime Erskine's service to him was of a rather different kind. He seems to have made it a deliberate policy, one for which Edwards expressed warm appreciation, to send him a steady stream of books. Edwards requested at least some of the particular titles; others Erskine may have thought worthy of his interest. In the study of his great-grandfather, Sereno Dwight published the letters Edwards wrote to Erskine (insofar as he possessed them). These letters enable us to approach the question of dating the notebooks from another vantage point, namely, the content of the references Edwards made in them.</w:t>
      </w:r>
    </w:p>
    <w:p>
      <w:pPr>
        <w:pStyle w:val="BodyText"/>
      </w:pPr>
      <w:r>
        <w:t xml:space="preserve">In a letter to Erskine dated 7 July 1752, for example, Edwards thanked him for sending Arnauld's </w:t>
      </w:r>
      <w:r>
        <w:rPr>
          <w:i/>
          <w:iCs/>
        </w:rPr>
        <w:t xml:space="preserve">De la fréquente Communion</w:t>
      </w:r>
      <w:r>
        <w:t xml:space="preserve"> as part of a packet (apparently dated 11 February 1752) which had arrived that spring. "Arnauld on frequent communion will not be very profitable to me [Edwards remarked], by reason of my not understanding</w:t>
      </w:r>
    </w:p>
    <w:p>
      <w:pPr>
        <w:pStyle w:val="SourcePage"/>
      </w:pPr>
      <w:r>
        <w:t xml:space="preserve">[p. 552]</w:t>
      </w:r>
    </w:p>
    <w:p>
      <w:pPr>
        <w:pStyle w:val="BodyText"/>
      </w:pPr>
      <w:r>
        <w:t xml:space="preserve">the French."Dwight, p. 496. This makes it immediately apparent why Edwards was prepared to sacrifice that book for purposes of constructing his notebooks. Another notebook in the Yale collection of Edwards materials was also constructed from Arnauld.Folder 38 in the collection of Edwards' manuscripts at Beinecke Library, Yale University. That one was used, it appears, in drafting the treatise on </w:t>
      </w:r>
      <w:r>
        <w:rPr>
          <w:i/>
          <w:iCs/>
        </w:rPr>
        <w:t xml:space="preserve">Original Sin</w:t>
      </w:r>
      <w:r>
        <w:t xml:space="preserve">, and Edwards excised the pages which no longer served his purposes. In any case, this chronology establishes that it would have been impossible for Edwards to have begun Notebook B before the late spring of 1752.</w:t>
      </w:r>
    </w:p>
    <w:p>
      <w:pPr>
        <w:pStyle w:val="BodyText"/>
      </w:pPr>
      <w:r>
        <w:t xml:space="preserve">Another letter to Erskine (dated 15 April 1755) makes reference to Edwards' having received, in the spring of 1754, a copy of Marshal Merrick's sermon published as </w:t>
      </w:r>
      <w:r>
        <w:rPr>
          <w:i/>
          <w:iCs/>
        </w:rPr>
        <w:t xml:space="preserve">The Parable of the Vineyard and Christ</w:t>
      </w:r>
      <w:r>
        <w:t xml:space="preserve">, </w:t>
      </w:r>
      <w:r>
        <w:rPr>
          <w:i/>
          <w:iCs/>
        </w:rPr>
        <w:t xml:space="preserve">the True Vine</w:t>
      </w:r>
      <w:r>
        <w:t xml:space="preserve">.London, 1753. Dwight, p. 545. This appears as the first work noted in the course of many references in Notebook A, and relatively near its beginning. References occur on later pages to a posthumous volume by John Maclaurin—perhaps also sent to Edwards by their mutual friend Erskine.See Edwards' reference to his death in Dwight, p. 546. The book was a collection of his sermons and essays, published in Glasgow in 1755, the year after his death. Since this was published in 1755, it seems to require us to conclude that the bulk of Edwards' attention to the Work of Redemption project did not come until late in the Stockbridge period. A reference to "Salmon … his </w:t>
      </w:r>
      <w:r>
        <w:rPr>
          <w:i/>
          <w:iCs/>
        </w:rPr>
        <w:t xml:space="preserve">Geographical Grammar</w:t>
      </w:r>
      <w:r>
        <w:t xml:space="preserve">" in its third edition (1754) argues for a similar conclusion.Undoubtedly Thomas Salmon, </w:t>
      </w:r>
      <w:r>
        <w:rPr>
          <w:i/>
          <w:iCs/>
        </w:rPr>
        <w:t xml:space="preserve">A New Geographical and Historical Grammar</w:t>
      </w:r>
      <w:r>
        <w:t xml:space="preserve">, first published in London in 1749. Thus even if Notebook A, and this seems most unlikely, was sewn together only </w:t>
      </w:r>
      <w:r>
        <w:rPr>
          <w:i/>
          <w:iCs/>
        </w:rPr>
        <w:t xml:space="preserve">after</w:t>
      </w:r>
      <w:r>
        <w:t xml:space="preserve"> entries had been made on loose sheets (some of which might have been available in the Northampton years), the inference to be drawn from the </w:t>
      </w:r>
      <w:r>
        <w:rPr>
          <w:i/>
          <w:iCs/>
        </w:rPr>
        <w:t xml:space="preserve">content</w:t>
      </w:r>
      <w:r>
        <w:t xml:space="preserve"> of many of the references is that serious work on the notebook could not have been undertaken before the late winter of 1755.</w:t>
      </w:r>
    </w:p>
    <w:p>
      <w:pPr>
        <w:pStyle w:val="BodyText"/>
      </w:pPr>
      <w:r>
        <w:t xml:space="preserve">From various outside references to the years at Stockbridge, it seems that Edwards' extraordinary literary productivity while there resulted from the intensity with which he concentrated on particular projects at certain periods. </w:t>
      </w:r>
      <w:r>
        <w:rPr>
          <w:i/>
          <w:iCs/>
        </w:rPr>
        <w:t xml:space="preserve">Freedom of the Will</w:t>
      </w:r>
      <w:r>
        <w:t xml:space="preserve"> (1754) was drafted, apparently, between the end of November 1752 and mid-April 1753, an accomplishment to which Dwight did not fail to call attention.Dwight, p. 533. See also </w:t>
      </w:r>
      <w:r>
        <w:rPr>
          <w:i/>
          <w:iCs/>
        </w:rPr>
        <w:t xml:space="preserve">Works</w:t>
      </w:r>
      <w:r>
        <w:t xml:space="preserve"> (Yale ed.), </w:t>
      </w:r>
      <w:r>
        <w:rPr>
          <w:i/>
          <w:iCs/>
        </w:rPr>
        <w:t xml:space="preserve">1</w:t>
      </w:r>
      <w:r>
        <w:t xml:space="preserve">, 7.</w:t>
      </w:r>
    </w:p>
    <w:p>
      <w:pPr>
        <w:pStyle w:val="SourcePage"/>
      </w:pPr>
      <w:r>
        <w:t xml:space="preserve">[p. 553]</w:t>
      </w:r>
    </w:p>
    <w:p>
      <w:pPr>
        <w:pStyle w:val="BodyText"/>
      </w:pPr>
      <w:r>
        <w:t xml:space="preserve">The months from July 1754 through January 1755 were a time of severe illness which left Edwards too weak to carry on correspondence; one may plausibly argue that serious writing was certainly out of the question and that extensive reading and notetaking would have been difficult.See Dwight, p. 546. Sereno Dwight believed that Edwards used the spring months of 1755 to compose "The End for Which God Created the World" and "The Nature of True Virtue" (published together posthumously as </w:t>
      </w:r>
      <w:r>
        <w:rPr>
          <w:i/>
          <w:iCs/>
        </w:rPr>
        <w:t xml:space="preserve">Two Dissertations</w:t>
      </w:r>
      <w:r>
        <w:t xml:space="preserve"> [1765]). In these spring and summer months (1755) Stockbridge was exposed to the threat of raids from warfare in the interior. Dwight believed that Edwards wrote the </w:t>
      </w:r>
      <w:r>
        <w:rPr>
          <w:i/>
          <w:iCs/>
        </w:rPr>
        <w:t xml:space="preserve">Great Christian Doctrine of Original Sin</w:t>
      </w:r>
      <w:r>
        <w:t xml:space="preserve"> (1758) in the summer, autumn, and winter months of 1756, completing it for the press in May 1757.Ibid., p. 556. Thus possible periods for beginning sustained work on the Work of Redemption project might be the fall and winter of 1755, the spring and summer months of 1756, or the summer of 1757. Of course the nature of the notebooks does not require us to envisage that Edwards gave exclusive attention to this one project, although that seems to have been the mode in which he chose to work in this period.</w:t>
      </w:r>
    </w:p>
    <w:p>
      <w:pPr>
        <w:pStyle w:val="BodyText"/>
      </w:pPr>
      <w:r>
        <w:t xml:space="preserve">A further consideration is provided by analysis of the ink Edwards used in the notebooks. Ink analysis of these notebooks is difficult because such diverse materials were used to construct Notebook A. Working with other notebooks and papers, however, it appears that the ink used, especially for the later entries in Notebook B, resembles a high-gloss type dated in 1757 in connection with the manuscript titled "Images or Shadows." The ink of the early pages in Notebook A may date from 1755; the inks on the later pages probably come from 1757. In particular, the ink of page 111 seems identical to an August 1757 notation relating to a sermon on Nehemiah 1:3–4.</w:t>
      </w:r>
    </w:p>
    <w:p>
      <w:pPr>
        <w:pStyle w:val="BodyText"/>
      </w:pPr>
      <w:r>
        <w:t xml:space="preserve">The cumulative evidence, then, suggests that Edwards began serious and concerted work on notebooks for this project no earlier than the spring of 1755. It also is clear that he was very much at work on them through the summer of 1757, perhaps even as he received and pondered the invitation from the trustees of the College of New Jersey. The inference seems warranted that his "History of the Work of Redemption" was the major treatise to which Edwards was directing his energies as the Stockbridge period ended.</w:t>
      </w:r>
    </w:p>
    <w:p>
      <w:pPr>
        <w:pStyle w:val="BodyText"/>
      </w:pPr>
      <w:r>
        <w:t xml:space="preserve">If these arguments are accepted, certain additional conjectures follow.</w:t>
      </w:r>
    </w:p>
    <w:p>
      <w:pPr>
        <w:pStyle w:val="SourcePage"/>
      </w:pPr>
      <w:r>
        <w:t xml:space="preserve">[p. 554]</w:t>
      </w:r>
    </w:p>
    <w:p>
      <w:pPr>
        <w:pStyle w:val="BodyText"/>
      </w:pPr>
      <w:r>
        <w:t xml:space="preserve">The powerful treatises composed during the Stockbridge period resemble each other in being basically theological parts of Edwards' comprehensive rational scheme. But that scheme was preliminary to a systematic exposition of revealed religion such as was represented by the Work of Redemption project. The notebooks seem to indicate that in 1757 Edwards was at a transitional point in his career as a theologian, preparing to return to exposition of strictly biblical themes but in a more rationalistic manner than had characterized his earlier sermon-based work. Had the project been completed, it seems likely that it would have synthesized types of Edwardsean interests frequently viewed as antithetical. The transition to Princeton, then, appears to have coincided roughly with the beginning of a new stage of his intellectual career.</w:t>
      </w:r>
    </w:p>
    <w:p>
      <w:pPr>
        <w:pStyle w:val="BodyText"/>
      </w:pPr>
      <w:r>
        <w:t xml:space="preserve">Certain general conclusions seem to be warranted on the basis of these notebooks. First, they establish very clearly the kinds of materials Edwards was seeking to use as he thought about reworking into a major treatise a series of sermons preached almost twenty years earlier. There was the attempt, through canvassing such writings as those of Bower, Salmon, and Winder, to reach beyond the chiefly biblical materials which had provided so much of the content and dictated so much of the form of the initial series of sermons. It can only be a subject for speculation to question how much more broadly Edwards might have read for the project if, instead of halting it on the frontier, he had managed to continue its preparation after his removal to the College of New Jersey. At the same time it is clear that he was expending great energies on the strictly biblical questions, working over John Owen on Hebrews, using synopses of the Old and New Testaments which he possessed, and developing his own great "Harmony of the Bible." He was also welcoming and working with whatever recent theological materials became available to him, such as those obtained through the good offices of his Scottish correspondents. His use of Merrick, Maclaurin, Philip Doddridge, and Bellamy suggests how he positioned himself within the complexion of transatlantic theological discussions in the mid-eighteenth century. Also, not surprisingly, Edwards was thinking of this project in terms of his other writings. There are numerous references to his "Miscellanies," that storehouse of nuggets which he squirreled away against his future needs and in which the brilliance of his private intellectual life is displayed. His sermons are frequently referred to, as is the "Blank Bible." Finally, there seems to be a reference to the text of </w:t>
      </w:r>
      <w:r>
        <w:rPr>
          <w:i/>
          <w:iCs/>
        </w:rPr>
        <w:t xml:space="preserve">Original</w:t>
      </w:r>
    </w:p>
    <w:p>
      <w:pPr>
        <w:pStyle w:val="SourcePage"/>
      </w:pPr>
      <w:r>
        <w:t xml:space="preserve">[p. 555]</w:t>
      </w:r>
    </w:p>
    <w:p>
      <w:pPr>
        <w:pStyle w:val="BodyText"/>
      </w:pPr>
      <w:r>
        <w:rPr>
          <w:i/>
          <w:iCs/>
        </w:rPr>
        <w:t xml:space="preserve">Sin</w:t>
      </w:r>
      <w:r>
        <w:t xml:space="preserve">, a further very strong argument for a late dating (summer 1757). What this means is that the Work of Redemption project as it developed synthesized interests, resources, and issues which were vital to Edwards in the productive isolation of Stockbridge as the years there drew to a close.</w:t>
      </w:r>
    </w:p>
    <w:p>
      <w:pPr>
        <w:pStyle w:val="BodyText"/>
      </w:pPr>
      <w:r>
        <w:t xml:space="preserve">Second, the notebooks, and reflection about them, give a context for the passage in the well-known letter to the trustees of the College of New Jersey. This suggests that the letter should be read quite literally as indicating that Edwards' intellectual energies were becoming centered on this project, and that accepting the trustees' invitation would require him to turn aside from that project in a far more immediate sense than has usually been thought to be the case. This context supports the conclusion that the references Edwards makes to this project are not to be read as part of a conventional disclaimer only. It also suggests that the passage should be seen as a summary outline of the proposed work, fuller and more systematically developed than any single comparable passage in the notebooks:</w:t>
      </w:r>
    </w:p>
    <w:p>
      <w:pPr>
        <w:pStyle w:val="BlockQuote"/>
      </w:pPr>
      <w:r>
        <w:t xml:space="preserve">I have had on my mind and heart, (which I long ago began, not with any view to publication), a great work, which I call a </w:t>
      </w:r>
      <w:r>
        <w:rPr>
          <w:i/>
          <w:iCs/>
        </w:rPr>
        <w:t xml:space="preserve">History of the Work of Redemption</w:t>
      </w:r>
      <w:r>
        <w:t xml:space="preserve">, a body of divinity in an entire new method, being thrown into the form of a history; considering the affair of Christian Theology, as the whole of it, in each part, stands in reference to the great work of redemption by Jesus Christ; which I suppose to be, of all others, the grand design of God, and the </w:t>
      </w:r>
      <w:r>
        <w:rPr>
          <w:i/>
          <w:iCs/>
        </w:rPr>
        <w:t xml:space="preserve">summum</w:t>
      </w:r>
      <w:r>
        <w:t xml:space="preserve"> and </w:t>
      </w:r>
      <w:r>
        <w:rPr>
          <w:i/>
          <w:iCs/>
        </w:rPr>
        <w:t xml:space="preserve">ultimum</w:t>
      </w:r>
      <w:r>
        <w:t xml:space="preserve"> of all the divine operations and decrees; particularly considering all parts of the grand scheme, in their historical order.—The order of their existence, or their being brought forth to view, in the course of divine dispensations, or the wonderful series of successive acts and events; beginning from eternity, and descending from thence to the great work and successive dispensations of the infinitely wise God, in time, considering the chief events coming to pass in the church of God, and revolutions in the world of mankind, affecting the state of the church and the affair of redemption, which we have an account of in history or prophecy; till at last, we come to the general resurrection, last judgment and consummation of all things; when it shall be said, </w:t>
      </w:r>
      <w:r>
        <w:rPr>
          <w:i/>
          <w:iCs/>
        </w:rPr>
        <w:t xml:space="preserve">It is done. I am Alpha and Omega</w:t>
      </w:r>
      <w:r>
        <w:t xml:space="preserve">, </w:t>
      </w:r>
      <w:r>
        <w:rPr>
          <w:i/>
          <w:iCs/>
        </w:rPr>
        <w:t xml:space="preserve">the Beginning and the End</w:t>
      </w:r>
      <w:r>
        <w:t xml:space="preserve">.—Concluding my work, with the consideration of that perfect state of things, which shall be finally settled, to last for</w:t>
      </w:r>
    </w:p>
    <w:p>
      <w:pPr>
        <w:pStyle w:val="SourcePage"/>
      </w:pPr>
      <w:r>
        <w:t xml:space="preserve">[p. 556]</w:t>
      </w:r>
    </w:p>
    <w:p>
      <w:pPr>
        <w:pStyle w:val="BodyText"/>
      </w:pPr>
      <w:r>
        <w:t xml:space="preserve">eternity.—This history will be carried on with regard to all three worlds, heaven, earth and hell; considering the connected, successive events and alterations in each, so far as the scriptures give any light; introducing all parts of divinity in that order which is most scriptural and most natural; a method which appears to me the most beautiful and entertaining, wherein every divine doctrine will appear to the greatest advantage, in the brightest light, in the most striking manner, showing the admirable contexture and harmony of the whole.Ibid., pp. 569–70.</w:t>
      </w:r>
    </w:p>
    <w:p>
      <w:pPr>
        <w:pStyle w:val="BodyText"/>
      </w:pPr>
      <w:r>
        <w:t xml:space="preserve">Third and most general, the Work of Redemption project, whether Edwards would have titled it a "History" or a "Scheme of Progress," or given it some other name, was basically a theological program. It would have been an elaboration of the doctrine of Redemption as the most fundamental definition of the divine relationship to the world, subordinating the doctrine of creation within divine purposes, and setting the true context for the doctrine of original sin, which Edwards had brilliantly plumbed elsewhere. It promised to incorporate basic elements of the English Puritan tradition, such as the emphasis on deep personal piety and the collective construction of redemption, all set forth in an eschatological modality, and to recast them in a yet more universal framework. However isolated in the Indian mission at Stockbridge at the edge of the exposed English colonial frontier, Edwards must, in the last analysis, be appreciated as promising the fullest flowering of the English Reformed theological tradition. But while that promise locates Edwards against, so to speak, the sixteenth-and seventeenth-century background, no less was he transitional to a nineteenth-century American society which in diverse ways thought to realize his aspirations. By virtue of this location, in time as well as in space, he is a liminal figure standing between two worlds, fully a part of neither. That status is nowhere made more evident than in the modest notebooks he composed at the Indian mission in Stockbridge as he began to work toward his "History of the Work of Redemption."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"Redemption Discourse" refers to the whole sermon series. </w:t>
      </w:r>
      <w:r>
        <w:rPr>
          <w:i/>
          <w:iCs/>
        </w:rPr>
        <w:t xml:space="preserve">A History of the Work of Redemption</w:t>
      </w:r>
      <w:r>
        <w:t xml:space="preserve"> is used as the title of the published version, with </w:t>
      </w:r>
      <w:r>
        <w:rPr>
          <w:i/>
          <w:iCs/>
        </w:rPr>
        <w:t xml:space="preserve">Work of Redemption</w:t>
      </w:r>
      <w:r>
        <w:t xml:space="preserve"> as a short title.</w:t>
      </w:r>
    </w:p>
  </w:footnote>
  <w:footnote w:id="2">
    <w:p>
      <w:pPr>
        <w:pStyle w:val="FootnoteText"/>
      </w:pPr>
      <w:r>
        <w:rPr>
          <w:rStyle w:val="FootnoteReference"/>
        </w:rPr>
        <w:footnoteRef/>
      </w:r>
      <w:r>
        <w:rPr>
          <w:i/>
          <w:iCs/>
        </w:rPr>
        <w:t xml:space="preserve">A Faithful Narrative of the Surprising Work of God in the Conversion of Many Hundred Souls</w:t>
      </w:r>
      <w:r>
        <w:t xml:space="preserve"> … in </w:t>
      </w:r>
      <w:r>
        <w:rPr>
          <w:i/>
          <w:iCs/>
        </w:rPr>
        <w:t xml:space="preserve">The Works of Jonathan Edwards</w:t>
      </w:r>
      <w:r>
        <w:t xml:space="preserve">, </w:t>
      </w:r>
      <w:r>
        <w:rPr>
          <w:i/>
          <w:iCs/>
        </w:rPr>
        <w:t xml:space="preserve">4</w:t>
      </w:r>
      <w:r>
        <w:t xml:space="preserve">, </w:t>
      </w:r>
      <w:r>
        <w:rPr>
          <w:i/>
          <w:iCs/>
        </w:rPr>
        <w:t xml:space="preserve">The Great Awakening</w:t>
      </w:r>
      <w:r>
        <w:t xml:space="preserve">, ed. C. C. Goen (New Haven, Yale Univ. Press, 1972). This edition is cited hereafter as </w:t>
      </w:r>
      <w:r>
        <w:rPr>
          <w:i/>
          <w:iCs/>
        </w:rPr>
        <w:t xml:space="preserve">Works</w:t>
      </w:r>
      <w:r>
        <w:t xml:space="preserve"> (Yale ed.).</w:t>
      </w:r>
    </w:p>
  </w:footnote>
  <w:footnote w:id="3">
    <w:p>
      <w:pPr>
        <w:pStyle w:val="FootnoteText"/>
      </w:pPr>
      <w:r>
        <w:rPr>
          <w:rStyle w:val="FootnoteReference"/>
        </w:rPr>
        <w:footnoteRef/>
      </w:r>
      <w:r>
        <w:t xml:space="preserve">The reader who wishes to set the Redemption Discourse within the larger framework of Jonathan Edwards' (hereafter JE) ministry should consult Ola E. Winslow, </w:t>
      </w:r>
      <w:r>
        <w:rPr>
          <w:i/>
          <w:iCs/>
        </w:rPr>
        <w:t xml:space="preserve">Jonathan Edwards</w:t>
      </w:r>
      <w:r>
        <w:t xml:space="preserve">, </w:t>
      </w:r>
      <w:r>
        <w:rPr>
          <w:i/>
          <w:iCs/>
        </w:rPr>
        <w:t xml:space="preserve">1703–1758</w:t>
      </w:r>
      <w:r>
        <w:t xml:space="preserve"> (New York, Macmillan, 1940), especially ch. 8, "Souls Gathered In," and Patricia J. Tracy, </w:t>
      </w:r>
      <w:r>
        <w:rPr>
          <w:i/>
          <w:iCs/>
        </w:rPr>
        <w:t xml:space="preserve">Jonathan Edwards</w:t>
      </w:r>
      <w:r>
        <w:t xml:space="preserve">, </w:t>
      </w:r>
      <w:r>
        <w:rPr>
          <w:i/>
          <w:iCs/>
        </w:rPr>
        <w:t xml:space="preserve">Pastor</w:t>
      </w:r>
      <w:r>
        <w:t xml:space="preserve"> (New York, Hill and Wang, 1979).</w:t>
      </w:r>
    </w:p>
  </w:footnote>
  <w:footnote w:id="4">
    <w:p>
      <w:pPr>
        <w:pStyle w:val="FootnoteText"/>
      </w:pPr>
      <w:r>
        <w:rPr>
          <w:rStyle w:val="FootnoteReference"/>
        </w:rPr>
        <w:footnoteRef/>
      </w:r>
      <w:r>
        <w:t xml:space="preserve">See discussion in Winslow, </w:t>
      </w:r>
      <w:r>
        <w:rPr>
          <w:i/>
          <w:iCs/>
        </w:rPr>
        <w:t xml:space="preserve">Jonathan Edwards</w:t>
      </w:r>
      <w:r>
        <w:t xml:space="preserve">, pp. 169–73.</w:t>
      </w:r>
    </w:p>
  </w:footnote>
  <w:footnote w:id="5">
    <w:p>
      <w:pPr>
        <w:pStyle w:val="FootnoteText"/>
      </w:pPr>
      <w:r>
        <w:rPr>
          <w:rStyle w:val="FootnoteReference"/>
        </w:rPr>
        <w:footnoteRef/>
      </w:r>
      <w:r>
        <w:t xml:space="preserve">"Town Records" in the Forbes Library, Northampton, Mass. See microfilm Forbes no. 56, pp. 248–49, 252–53, 257–59, 261–62. See also the account by Ebenezer Hunt preserved in the Judd Manuscripts, microfilm Forbes no. 1, p. 27.</w:t>
      </w:r>
    </w:p>
  </w:footnote>
  <w:footnote w:id="6">
    <w:p>
      <w:pPr>
        <w:pStyle w:val="FootnoteText"/>
      </w:pPr>
      <w:r>
        <w:rPr>
          <w:rStyle w:val="FootnoteReference"/>
        </w:rPr>
        <w:footnoteRef/>
      </w:r>
      <w:r>
        <w:t xml:space="preserve">This series, </w:t>
      </w:r>
      <w:r>
        <w:rPr>
          <w:i/>
          <w:iCs/>
        </w:rPr>
        <w:t xml:space="preserve">Charity and Its Fruits</w:t>
      </w:r>
      <w:r>
        <w:t xml:space="preserve">, was edited by Tryon Edwards, JE's mid-nineteenth-century literary executor, and was first published by Robert Carter and Brothers in 1852. It is available in </w:t>
      </w:r>
      <w:r>
        <w:rPr>
          <w:i/>
          <w:iCs/>
        </w:rPr>
        <w:t xml:space="preserve">Works</w:t>
      </w:r>
      <w:r>
        <w:t xml:space="preserve"> (Yale ed.), </w:t>
      </w:r>
      <w:r>
        <w:rPr>
          <w:i/>
          <w:iCs/>
        </w:rPr>
        <w:t xml:space="preserve">8</w:t>
      </w:r>
      <w:r>
        <w:t xml:space="preserve">, </w:t>
      </w:r>
      <w:r>
        <w:rPr>
          <w:i/>
          <w:iCs/>
        </w:rPr>
        <w:t xml:space="preserve">Ethical Writings</w:t>
      </w:r>
      <w:r>
        <w:t xml:space="preserve">, ed. Paul Ramsey (New Haven, Yale Univ. Press, 1989).</w:t>
      </w:r>
    </w:p>
  </w:footnote>
  <w:footnote w:id="7">
    <w:p>
      <w:pPr>
        <w:pStyle w:val="FootnoteText"/>
      </w:pPr>
      <w:r>
        <w:rPr>
          <w:rStyle w:val="FootnoteReference"/>
        </w:rPr>
        <w:footnoteRef/>
      </w:r>
      <w:r>
        <w:t xml:space="preserve">Forbes no. 56, pp. 260–61, 263, 265.</w:t>
      </w:r>
    </w:p>
  </w:footnote>
  <w:footnote w:id="8">
    <w:p>
      <w:pPr>
        <w:pStyle w:val="FootnoteText"/>
      </w:pPr>
      <w:r>
        <w:rPr>
          <w:rStyle w:val="FootnoteReference"/>
        </w:rPr>
        <w:footnoteRef/>
      </w:r>
      <w:r>
        <w:t xml:space="preserve">Boston, S. Kneeland and T. Green, 1731.</w:t>
      </w:r>
    </w:p>
  </w:footnote>
  <w:footnote w:id="9">
    <w:p>
      <w:pPr>
        <w:pStyle w:val="FootnoteText"/>
      </w:pPr>
      <w:r>
        <w:rPr>
          <w:rStyle w:val="FootnoteReference"/>
        </w:rPr>
        <w:footnoteRef/>
      </w:r>
      <w:r>
        <w:t xml:space="preserve">Boston, S. Kneeland and T. Green, 1734.</w:t>
      </w:r>
    </w:p>
  </w:footnote>
  <w:footnote w:id="10">
    <w:p>
      <w:pPr>
        <w:pStyle w:val="FootnoteText"/>
      </w:pPr>
      <w:r>
        <w:rPr>
          <w:rStyle w:val="FootnoteReference"/>
        </w:rPr>
        <w:footnoteRef/>
      </w:r>
      <w:r>
        <w:t xml:space="preserve">For a critical account of the publication of this piece, see </w:t>
      </w:r>
      <w:r>
        <w:rPr>
          <w:i/>
          <w:iCs/>
        </w:rPr>
        <w:t xml:space="preserve">Works</w:t>
      </w:r>
      <w:r>
        <w:t xml:space="preserve">, </w:t>
      </w:r>
      <w:r>
        <w:rPr>
          <w:i/>
          <w:iCs/>
        </w:rPr>
        <w:t xml:space="preserve">4</w:t>
      </w:r>
      <w:r>
        <w:t xml:space="preserve">, 32–46. The initial version to appear in America, Benjamin Coleman's radical abridgment, was issued as a nineteen-page appendix to William Williams, </w:t>
      </w:r>
      <w:r>
        <w:rPr>
          <w:i/>
          <w:iCs/>
        </w:rPr>
        <w:t xml:space="preserve">The Duty and Interest of a People</w:t>
      </w:r>
      <w:r>
        <w:t xml:space="preserve"> (Boston, S. Kneeland and T. Green, 1736). The full text of </w:t>
      </w:r>
      <w:r>
        <w:rPr>
          <w:i/>
          <w:iCs/>
        </w:rPr>
        <w:t xml:space="preserve">A Faithful Narrative</w:t>
      </w:r>
      <w:r>
        <w:t xml:space="preserve"> was first published in London by John Oswald (1737), with a second edition at Edinburgh in the same year. A third (and first complete colonial) edition came out in Boston (S. Kneeland and T. Green, 1738). For the sequence of editions, see Thomas H. Johnson, </w:t>
      </w:r>
      <w:r>
        <w:rPr>
          <w:i/>
          <w:iCs/>
        </w:rPr>
        <w:t xml:space="preserve">The Printed Writings of Jonathan Edwards</w:t>
      </w:r>
      <w:r>
        <w:t xml:space="preserve">, </w:t>
      </w:r>
      <w:r>
        <w:rPr>
          <w:i/>
          <w:iCs/>
        </w:rPr>
        <w:t xml:space="preserve">1703–1758: A Bibliography</w:t>
      </w:r>
      <w:r>
        <w:t xml:space="preserve"> (Princeton, Princeton Univ. Press, 1940), items 4 through 33, pp. 4–15.</w:t>
      </w:r>
    </w:p>
  </w:footnote>
  <w:footnote w:id="11">
    <w:p>
      <w:pPr>
        <w:pStyle w:val="FootnoteText"/>
      </w:pPr>
      <w:r>
        <w:rPr>
          <w:rStyle w:val="FootnoteReference"/>
        </w:rPr>
        <w:footnoteRef/>
      </w:r>
      <w:r>
        <w:rPr>
          <w:i/>
          <w:iCs/>
        </w:rPr>
        <w:t xml:space="preserve">Discourses on Various Important Subjects</w:t>
      </w:r>
      <w:r>
        <w:t xml:space="preserve"> (Boston, S. Kneeland and T. Green, 1738).</w:t>
      </w:r>
    </w:p>
  </w:footnote>
  <w:footnote w:id="12">
    <w:p>
      <w:pPr>
        <w:pStyle w:val="FootnoteText"/>
      </w:pPr>
      <w:r>
        <w:rPr>
          <w:rStyle w:val="FootnoteReference"/>
        </w:rPr>
        <w:footnoteRef/>
      </w:r>
      <w:r>
        <w:t xml:space="preserve">Sereno E. Dwight, </w:t>
      </w:r>
      <w:r>
        <w:rPr>
          <w:i/>
          <w:iCs/>
        </w:rPr>
        <w:t xml:space="preserve">The Life of President Edwards</w:t>
      </w:r>
      <w:r>
        <w:t xml:space="preserve"> (New York, G. &amp; C. &amp; H. Carvill, 1830), p. 143. The </w:t>
      </w:r>
      <w:r>
        <w:rPr>
          <w:i/>
          <w:iCs/>
        </w:rPr>
        <w:t xml:space="preserve">Life</w:t>
      </w:r>
      <w:r>
        <w:t xml:space="preserve"> was first published as vol. 1 in </w:t>
      </w:r>
      <w:r>
        <w:rPr>
          <w:i/>
          <w:iCs/>
        </w:rPr>
        <w:t xml:space="preserve">The Works of President Edwards: With a Memoir of His Life</w:t>
      </w:r>
      <w:r>
        <w:t xml:space="preserve"> (10 vols., New York, S. Converse, 1828–30). The edition was reprinted in 1830 (New York, G. &amp; C. &amp; H. Carvill). The </w:t>
      </w:r>
      <w:r>
        <w:rPr>
          <w:i/>
          <w:iCs/>
        </w:rPr>
        <w:t xml:space="preserve">Life</w:t>
      </w:r>
      <w:r>
        <w:t xml:space="preserve"> itself was issued as a separate volume by Carvill, also in 1830. Pagination is identical in all three. For technical information, see Johnson, </w:t>
      </w:r>
      <w:r>
        <w:rPr>
          <w:i/>
          <w:iCs/>
        </w:rPr>
        <w:t xml:space="preserve">Printed Writings of Jonathan Edwards</w:t>
      </w:r>
      <w:r>
        <w:t xml:space="preserve">, items 343, 344, and 224.</w:t>
      </w:r>
    </w:p>
  </w:footnote>
  <w:footnote w:id="13">
    <w:p>
      <w:pPr>
        <w:pStyle w:val="FootnoteText"/>
      </w:pPr>
      <w:r>
        <w:rPr>
          <w:rStyle w:val="FootnoteReference"/>
        </w:rPr>
        <w:footnoteRef/>
      </w:r>
      <w:r>
        <w:t xml:space="preserve">This estimate rests on a tabulation of JE's sermons made by Wilson Kimnach. I am indebted to him for the information.</w:t>
      </w:r>
    </w:p>
  </w:footnote>
  <w:footnote w:id="14">
    <w:p>
      <w:pPr>
        <w:pStyle w:val="FootnoteText"/>
      </w:pPr>
      <w:r>
        <w:rPr>
          <w:rStyle w:val="FootnoteReference"/>
        </w:rPr>
        <w:footnoteRef/>
      </w:r>
      <w:r>
        <w:rPr>
          <w:i/>
          <w:iCs/>
        </w:rPr>
        <w:t xml:space="preserve">The Diary of Ebenezer Parkman</w:t>
      </w:r>
      <w:r>
        <w:t xml:space="preserve">, </w:t>
      </w:r>
      <w:r>
        <w:rPr>
          <w:i/>
          <w:iCs/>
        </w:rPr>
        <w:t xml:space="preserve">1703–1782; First Part</w:t>
      </w:r>
      <w:r>
        <w:t xml:space="preserve">, … </w:t>
      </w:r>
      <w:r>
        <w:rPr>
          <w:i/>
          <w:iCs/>
        </w:rPr>
        <w:t xml:space="preserve">1719–1755</w:t>
      </w:r>
      <w:r>
        <w:t xml:space="preserve">, ed. Francis G. Walett (Worcester, Mass., American Antiquarian Society, 1974), pp. 63–64.</w:t>
      </w:r>
    </w:p>
  </w:footnote>
  <w:footnote w:id="15">
    <w:p>
      <w:pPr>
        <w:pStyle w:val="FootnoteText"/>
      </w:pPr>
      <w:r>
        <w:rPr>
          <w:rStyle w:val="FootnoteReference"/>
        </w:rPr>
        <w:footnoteRef/>
      </w:r>
      <w:r>
        <w:t xml:space="preserve">Dwight, </w:t>
      </w:r>
      <w:r>
        <w:rPr>
          <w:i/>
          <w:iCs/>
        </w:rPr>
        <w:t xml:space="preserve">Life</w:t>
      </w:r>
      <w:r>
        <w:t xml:space="preserve">, p. 143.</w:t>
      </w:r>
    </w:p>
  </w:footnote>
  <w:footnote w:id="16">
    <w:p>
      <w:pPr>
        <w:pStyle w:val="FootnoteText"/>
      </w:pPr>
      <w:r>
        <w:rPr>
          <w:rStyle w:val="FootnoteReference"/>
        </w:rPr>
        <w:footnoteRef/>
      </w:r>
      <w:r>
        <w:t xml:space="preserve">See the invaluable study "The Literary Techniques of Jonathan Edwards" by Wilson Kimnach (Ph.D. diss., Univ. of Pennsylvania, 1971), especially pp. 205–40.</w:t>
      </w:r>
    </w:p>
  </w:footnote>
  <w:footnote w:id="17">
    <w:p>
      <w:pPr>
        <w:pStyle w:val="FootnoteText"/>
      </w:pPr>
      <w:r>
        <w:rPr>
          <w:rStyle w:val="FootnoteReference"/>
        </w:rPr>
        <w:footnoteRef/>
      </w:r>
      <w:r>
        <w:t xml:space="preserve">Timothy Dwight, </w:t>
      </w:r>
      <w:r>
        <w:rPr>
          <w:i/>
          <w:iCs/>
        </w:rPr>
        <w:t xml:space="preserve">Travels in New England and New York</w:t>
      </w:r>
      <w:r>
        <w:t xml:space="preserve">, ed. Barbara Miller Solomon (4 vols., Cambridge, Harvard Univ. Press, 1969), </w:t>
      </w:r>
      <w:r>
        <w:rPr>
          <w:i/>
          <w:iCs/>
        </w:rPr>
        <w:t xml:space="preserve">4</w:t>
      </w:r>
      <w:r>
        <w:t xml:space="preserve">, 227–31. The quotations are from p. 228.</w:t>
      </w:r>
    </w:p>
  </w:footnote>
  <w:footnote w:id="18">
    <w:p>
      <w:pPr>
        <w:pStyle w:val="FootnoteText"/>
      </w:pPr>
      <w:r>
        <w:rPr>
          <w:rStyle w:val="FootnoteReference"/>
        </w:rPr>
        <w:footnoteRef/>
      </w:r>
      <w:r>
        <w:t xml:space="preserve">Ibid., pp. 230–31.</w:t>
      </w:r>
    </w:p>
  </w:footnote>
  <w:footnote w:id="19">
    <w:p>
      <w:pPr>
        <w:pStyle w:val="FootnoteText"/>
      </w:pPr>
      <w:r>
        <w:rPr>
          <w:rStyle w:val="FootnoteReference"/>
        </w:rPr>
        <w:footnoteRef/>
      </w:r>
      <w:r>
        <w:rPr>
          <w:i/>
          <w:iCs/>
        </w:rPr>
        <w:t xml:space="preserve">A History of the Work of Redemption. Containing</w:t>
      </w:r>
      <w:r>
        <w:t xml:space="preserve">, </w:t>
      </w:r>
      <w:r>
        <w:rPr>
          <w:i/>
          <w:iCs/>
        </w:rPr>
        <w:t xml:space="preserve">The Outlines of a Body of Divinity</w:t>
      </w:r>
      <w:r>
        <w:t xml:space="preserve">, </w:t>
      </w:r>
      <w:r>
        <w:rPr>
          <w:i/>
          <w:iCs/>
        </w:rPr>
        <w:t xml:space="preserve">In a Method entirely new</w:t>
      </w:r>
      <w:r>
        <w:t xml:space="preserve"> (Edinburgh, W. Gray; London, J. Buckland and G. Keith, 1774).</w:t>
      </w:r>
    </w:p>
  </w:footnote>
  <w:footnote w:id="20">
    <w:p>
      <w:pPr>
        <w:pStyle w:val="FootnoteText"/>
      </w:pPr>
      <w:r>
        <w:rPr>
          <w:rStyle w:val="FootnoteReference"/>
        </w:rPr>
        <w:footnoteRef/>
      </w:r>
      <w:r>
        <w:t xml:space="preserve">Kimnach, "Literary Techniques," pp. 148–49.</w:t>
      </w:r>
    </w:p>
  </w:footnote>
  <w:footnote w:id="21">
    <w:p>
      <w:pPr>
        <w:pStyle w:val="FootnoteText"/>
      </w:pPr>
      <w:r>
        <w:rPr>
          <w:rStyle w:val="FootnoteReference"/>
        </w:rPr>
        <w:footnoteRef/>
      </w:r>
      <w:r>
        <w:t xml:space="preserve">See, for example, booklet 1. Sermon Two begins with an explicit summary and recapitulation (at </w:t>
      </w:r>
      <w:r>
        <w:rPr>
          <w:i/>
          <w:iCs/>
        </w:rPr>
        <w:t xml:space="preserve">1.13r</w:t>
      </w:r>
      <w:r>
        <w:t xml:space="preserve">, p. 127) which indicates, presumably, a discrete composition. Sermon Three, on the other hand, is marked off from Sermon Two arbitrarily (at </w:t>
      </w:r>
      <w:r>
        <w:rPr>
          <w:i/>
          <w:iCs/>
        </w:rPr>
        <w:t xml:space="preserve">1.24v</w:t>
      </w:r>
      <w:r>
        <w:t xml:space="preserve">, p. 141). So JE's practices in preparing his text for individual preaching occasions were not consistent.</w:t>
      </w:r>
    </w:p>
  </w:footnote>
  <w:footnote w:id="22">
    <w:p>
      <w:pPr>
        <w:pStyle w:val="FootnoteText"/>
      </w:pPr>
      <w:r>
        <w:rPr>
          <w:rStyle w:val="FootnoteReference"/>
        </w:rPr>
        <w:footnoteRef/>
      </w:r>
      <w:r>
        <w:t xml:space="preserve">For a brief discussion of this subject, see pp. 13–17 below, "The Redemption Discourse and the 'Miscellanies.'"</w:t>
      </w:r>
    </w:p>
  </w:footnote>
  <w:footnote w:id="23">
    <w:p>
      <w:pPr>
        <w:pStyle w:val="FootnoteText"/>
      </w:pPr>
      <w:r>
        <w:rPr>
          <w:rStyle w:val="FootnoteReference"/>
        </w:rPr>
        <w:footnoteRef/>
      </w:r>
      <w:r>
        <w:t xml:space="preserve">Wilson Kimnach has discussed how JE redrafted sermon materials. See "Literary Techniques," especially pp. 205–40.</w:t>
      </w:r>
    </w:p>
  </w:footnote>
  <w:footnote w:id="24">
    <w:p>
      <w:pPr>
        <w:pStyle w:val="FootnoteText"/>
      </w:pPr>
      <w:r>
        <w:rPr>
          <w:rStyle w:val="FootnoteReference"/>
        </w:rPr>
        <w:footnoteRef/>
      </w:r>
      <w:r>
        <w:t xml:space="preserve">The first two are printed in </w:t>
      </w:r>
      <w:r>
        <w:rPr>
          <w:i/>
          <w:iCs/>
        </w:rPr>
        <w:t xml:space="preserve">Works</w:t>
      </w:r>
      <w:r>
        <w:t xml:space="preserve">, </w:t>
      </w:r>
      <w:r>
        <w:rPr>
          <w:i/>
          <w:iCs/>
        </w:rPr>
        <w:t xml:space="preserve">4</w:t>
      </w:r>
      <w:r>
        <w:t xml:space="preserve">, and the last in </w:t>
      </w:r>
      <w:r>
        <w:rPr>
          <w:i/>
          <w:iCs/>
        </w:rPr>
        <w:t xml:space="preserve">Works</w:t>
      </w:r>
      <w:r>
        <w:t xml:space="preserve"> (Yale ed., 1959), </w:t>
      </w:r>
      <w:r>
        <w:rPr>
          <w:i/>
          <w:iCs/>
        </w:rPr>
        <w:t xml:space="preserve">2</w:t>
      </w:r>
      <w:r>
        <w:t xml:space="preserve">, </w:t>
      </w:r>
      <w:r>
        <w:rPr>
          <w:i/>
          <w:iCs/>
        </w:rPr>
        <w:t xml:space="preserve">Religious Affections</w:t>
      </w:r>
      <w:r>
        <w:t xml:space="preserve">, ed. John E. Smith.</w:t>
      </w:r>
    </w:p>
  </w:footnote>
  <w:footnote w:id="25">
    <w:p>
      <w:pPr>
        <w:pStyle w:val="FootnoteText"/>
      </w:pPr>
      <w:r>
        <w:rPr>
          <w:rStyle w:val="FootnoteReference"/>
        </w:rPr>
        <w:footnoteRef/>
      </w:r>
      <w:r>
        <w:t xml:space="preserve">The Joseph Bellamy Papers contain this letter, which responded to one Bellamy wrote to Erskine on September 6, 1754. The correspondence between them began with Erskine's letter to Bellamy of January 26, 1753. A transcription of these papers is available at the Presbyterian Historical Society, Philadelphia, Pa. See vol. 1, p. 117 of the transcription.</w:t>
      </w:r>
    </w:p>
  </w:footnote>
  <w:footnote w:id="26">
    <w:p>
      <w:pPr>
        <w:pStyle w:val="FootnoteText"/>
      </w:pPr>
      <w:r>
        <w:rPr>
          <w:rStyle w:val="FootnoteReference"/>
        </w:rPr>
        <w:footnoteRef/>
      </w:r>
      <w:r>
        <w:t xml:space="preserve">See Dwight, </w:t>
      </w:r>
      <w:r>
        <w:rPr>
          <w:i/>
          <w:iCs/>
        </w:rPr>
        <w:t xml:space="preserve">Life</w:t>
      </w:r>
      <w:r>
        <w:t xml:space="preserve">. Dwight makes frequent use of the letters to Erskine.</w:t>
      </w:r>
    </w:p>
  </w:footnote>
  <w:footnote w:id="27">
    <w:p>
      <w:pPr>
        <w:pStyle w:val="FootnoteText"/>
      </w:pPr>
      <w:r>
        <w:rPr>
          <w:rStyle w:val="FootnoteReference"/>
        </w:rPr>
        <w:footnoteRef/>
      </w:r>
      <w:r>
        <w:t xml:space="preserve">See the discussion of this question in Kimnach, "Literary Techniques," especially pp. 241 (n. 20), 245–47, 374–78. The notebooks are in folder 37 of the collection of the JE's manuscripts in Beinecke Rare Book and Manuscript Library, Yale University.</w:t>
      </w:r>
    </w:p>
  </w:footnote>
  <w:footnote w:id="28">
    <w:p>
      <w:pPr>
        <w:pStyle w:val="FootnoteText"/>
      </w:pPr>
      <w:r>
        <w:rPr>
          <w:rStyle w:val="FootnoteReference"/>
        </w:rPr>
        <w:footnoteRef/>
      </w:r>
      <w:r>
        <w:t xml:space="preserve">See my "Jonathan Edwards' Notebooks for 'A History of the Work of Redemption'" in </w:t>
      </w:r>
      <w:r>
        <w:rPr>
          <w:i/>
          <w:iCs/>
        </w:rPr>
        <w:t xml:space="preserve">Reformation</w:t>
      </w:r>
      <w:r>
        <w:t xml:space="preserve">, </w:t>
      </w:r>
      <w:r>
        <w:rPr>
          <w:i/>
          <w:iCs/>
        </w:rPr>
        <w:t xml:space="preserve">Conformity and Dissent</w:t>
      </w:r>
      <w:r>
        <w:t xml:space="preserve">, ed. R. Buick Knox (London, Epworth, 1977), pp. 239–54. This article is printed as Appendix B of the present volume.</w:t>
      </w:r>
    </w:p>
  </w:footnote>
  <w:footnote w:id="29">
    <w:p>
      <w:pPr>
        <w:pStyle w:val="FootnoteText"/>
      </w:pPr>
      <w:r>
        <w:rPr>
          <w:rStyle w:val="FootnoteReference"/>
        </w:rPr>
        <w:footnoteRef/>
      </w:r>
      <w:r>
        <w:t xml:space="preserve">See below, pp. 63–71.</w:t>
      </w:r>
    </w:p>
  </w:footnote>
  <w:footnote w:id="30">
    <w:p>
      <w:pPr>
        <w:pStyle w:val="FootnoteText"/>
      </w:pPr>
      <w:r>
        <w:rPr>
          <w:rStyle w:val="FootnoteReference"/>
        </w:rPr>
        <w:footnoteRef/>
      </w:r>
      <w:r>
        <w:t xml:space="preserve">See Thomas J. Wertenbaker, </w:t>
      </w:r>
      <w:r>
        <w:rPr>
          <w:i/>
          <w:iCs/>
        </w:rPr>
        <w:t xml:space="preserve">Princeton</w:t>
      </w:r>
      <w:r>
        <w:t xml:space="preserve">, </w:t>
      </w:r>
      <w:r>
        <w:rPr>
          <w:i/>
          <w:iCs/>
        </w:rPr>
        <w:t xml:space="preserve">1746–1896</w:t>
      </w:r>
      <w:r>
        <w:t xml:space="preserve"> (Princeton, Princeton Univ. Press, 1946), pp. 42–43.</w:t>
      </w:r>
    </w:p>
  </w:footnote>
  <w:footnote w:id="31">
    <w:p>
      <w:pPr>
        <w:pStyle w:val="FootnoteText"/>
      </w:pPr>
      <w:r>
        <w:rPr>
          <w:rStyle w:val="FootnoteReference"/>
        </w:rPr>
        <w:footnoteRef/>
      </w:r>
      <w:r>
        <w:t xml:space="preserve">Dwight, </w:t>
      </w:r>
      <w:r>
        <w:rPr>
          <w:i/>
          <w:iCs/>
        </w:rPr>
        <w:t xml:space="preserve">Life</w:t>
      </w:r>
      <w:r>
        <w:t xml:space="preserve">, p. 569. See pp. 62–63 below for a longer excerpt.</w:t>
      </w:r>
    </w:p>
  </w:footnote>
  <w:footnote w:id="32">
    <w:p>
      <w:pPr>
        <w:pStyle w:val="FootnoteText"/>
      </w:pPr>
      <w:r>
        <w:rPr>
          <w:rStyle w:val="FootnoteReference"/>
        </w:rPr>
        <w:footnoteRef/>
      </w:r>
      <w:r>
        <w:t xml:space="preserve">Forthcoming in </w:t>
      </w:r>
      <w:r>
        <w:rPr>
          <w:i/>
          <w:iCs/>
        </w:rPr>
        <w:t xml:space="preserve">Works</w:t>
      </w:r>
      <w:r>
        <w:t xml:space="preserve"> (Yale ed.), </w:t>
      </w:r>
      <w:r>
        <w:rPr>
          <w:i/>
          <w:iCs/>
        </w:rPr>
        <w:t xml:space="preserve">Miscellanies</w:t>
      </w:r>
      <w:r>
        <w:t xml:space="preserve">, ed. Thomas A. Schafer. The original notebooks are deposited at the Beinecke Library with the bulk of the Edwards manuscripts. The Schafer typescript transcriptions are the basis of the discussion that follows. Selections from the "Miscellanies" were issued under John Erskine's sponsorship (transcribed by Jonathan Edwards, Jr.) as </w:t>
      </w:r>
      <w:r>
        <w:rPr>
          <w:i/>
          <w:iCs/>
        </w:rPr>
        <w:t xml:space="preserve">Miscellaneous Observations</w:t>
      </w:r>
      <w:r>
        <w:t xml:space="preserve"> (Edinburgh, M. Gray, 1793) and as </w:t>
      </w:r>
      <w:r>
        <w:rPr>
          <w:i/>
          <w:iCs/>
        </w:rPr>
        <w:t xml:space="preserve">Remarks on Important Theological Controversies</w:t>
      </w:r>
      <w:r>
        <w:t xml:space="preserve"> (Edinburgh, J. Galbraith, 1796).</w:t>
      </w:r>
    </w:p>
  </w:footnote>
  <w:footnote w:id="33">
    <w:p>
      <w:pPr>
        <w:pStyle w:val="FootnoteText"/>
      </w:pPr>
      <w:r>
        <w:rPr>
          <w:rStyle w:val="FootnoteReference"/>
        </w:rPr>
        <w:footnoteRef/>
      </w:r>
      <w:r>
        <w:t xml:space="preserve">The references are located as follows: No. 802 is noted in Sermon 18 at </w:t>
      </w:r>
      <w:r>
        <w:rPr>
          <w:i/>
          <w:iCs/>
        </w:rPr>
        <w:t xml:space="preserve">7.9v</w:t>
      </w:r>
      <w:r>
        <w:t xml:space="preserve"> (p. 353); No. 803 is noted in Sermon 28 at </w:t>
      </w:r>
      <w:r>
        <w:rPr>
          <w:i/>
          <w:iCs/>
        </w:rPr>
        <w:t xml:space="preserve">12.4v</w:t>
      </w:r>
      <w:r>
        <w:t xml:space="preserve"> (p. 491); No. 810 is noted in Sermon 13 at </w:t>
      </w:r>
      <w:r>
        <w:rPr>
          <w:i/>
          <w:iCs/>
        </w:rPr>
        <w:t xml:space="preserve">4.13v</w:t>
      </w:r>
      <w:r>
        <w:t xml:space="preserve"> (p. 288). There is also a parallel reference to No. 108, "Images of Divine Things," in Sermon 20 at </w:t>
      </w:r>
      <w:r>
        <w:rPr>
          <w:i/>
          <w:iCs/>
        </w:rPr>
        <w:t xml:space="preserve">8.2r</w:t>
      </w:r>
      <w:r>
        <w:t xml:space="preserve"> (p. 372).</w:t>
      </w:r>
    </w:p>
  </w:footnote>
  <w:footnote w:id="34">
    <w:p>
      <w:pPr>
        <w:pStyle w:val="FootnoteText"/>
      </w:pPr>
      <w:r>
        <w:rPr>
          <w:rStyle w:val="FootnoteReference"/>
        </w:rPr>
        <w:footnoteRef/>
      </w:r>
      <w:r>
        <w:t xml:space="preserve">This theme was present in "The End for which God Created the World," one of the </w:t>
      </w:r>
      <w:r>
        <w:rPr>
          <w:i/>
          <w:iCs/>
        </w:rPr>
        <w:t xml:space="preserve">Two Dissertations</w:t>
      </w:r>
      <w:r>
        <w:t xml:space="preserve"> posthumously published by JE's protégés. See </w:t>
      </w:r>
      <w:r>
        <w:rPr>
          <w:i/>
          <w:iCs/>
        </w:rPr>
        <w:t xml:space="preserve">Works</w:t>
      </w:r>
      <w:r>
        <w:t xml:space="preserve"> (Yale ed., 1989), </w:t>
      </w:r>
      <w:r>
        <w:rPr>
          <w:i/>
          <w:iCs/>
        </w:rPr>
        <w:t xml:space="preserve">8</w:t>
      </w:r>
      <w:r>
        <w:t xml:space="preserve">, </w:t>
      </w:r>
      <w:r>
        <w:rPr>
          <w:i/>
          <w:iCs/>
        </w:rPr>
        <w:t xml:space="preserve">Ethical Writings</w:t>
      </w:r>
      <w:r>
        <w:t xml:space="preserve">, ed. Paul Ramsey, especially ch. II, sec. VII, which concludes the treatise. Numerous miscellany entries also explore this theme.</w:t>
      </w:r>
    </w:p>
  </w:footnote>
  <w:footnote w:id="35">
    <w:p>
      <w:pPr>
        <w:pStyle w:val="FootnoteText"/>
      </w:pPr>
      <w:r>
        <w:rPr>
          <w:rStyle w:val="FootnoteReference"/>
        </w:rPr>
        <w:footnoteRef/>
      </w:r>
      <w:r>
        <w:t xml:space="preserve">This letter is among the Bellamy Papers. See the transcription located in the Presbyterian Historical Society, Vol. 1, p. 139.</w:t>
      </w:r>
    </w:p>
  </w:footnote>
  <w:footnote w:id="36">
    <w:p>
      <w:pPr>
        <w:pStyle w:val="FootnoteText"/>
      </w:pPr>
      <w:r>
        <w:rPr>
          <w:rStyle w:val="FootnoteReference"/>
        </w:rPr>
        <w:footnoteRef/>
      </w:r>
      <w:r>
        <w:t xml:space="preserve">For a brief discussion of the fate of the Edwards manuscripts, see Thomas A. Schafer, "Manuscript Problems in the Yale Edition of Jonathan Edwards," </w:t>
      </w:r>
      <w:r>
        <w:rPr>
          <w:i/>
          <w:iCs/>
        </w:rPr>
        <w:t xml:space="preserve">Early American Literature Newsletter</w:t>
      </w:r>
      <w:r>
        <w:t xml:space="preserve">, </w:t>
      </w:r>
      <w:r>
        <w:rPr>
          <w:i/>
          <w:iCs/>
        </w:rPr>
        <w:t xml:space="preserve">3</w:t>
      </w:r>
      <w:r>
        <w:t xml:space="preserve"> (Winter 1968–69), 159–71. A fuller discussion will be included in the introduction to the forthcoming volumes of the "Miscellanies" edited by Schafer.</w:t>
      </w:r>
    </w:p>
  </w:footnote>
  <w:footnote w:id="37">
    <w:p>
      <w:pPr>
        <w:pStyle w:val="FootnoteText"/>
      </w:pPr>
      <w:r>
        <w:rPr>
          <w:rStyle w:val="FootnoteReference"/>
        </w:rPr>
        <w:footnoteRef/>
      </w:r>
      <w:r>
        <w:rPr>
          <w:i/>
          <w:iCs/>
        </w:rPr>
        <w:t xml:space="preserve">Sketches of the Life of the Late Rev. Samuel Hopkins</w:t>
      </w:r>
      <w:r>
        <w:t xml:space="preserve">, |I.S-I.T|., ed. Stephen West (Hartford, Hudson and Goodwin, 1805), p. 57.</w:t>
      </w:r>
    </w:p>
  </w:footnote>
  <w:footnote w:id="38">
    <w:p>
      <w:pPr>
        <w:pStyle w:val="FootnoteText"/>
      </w:pPr>
      <w:r>
        <w:rPr>
          <w:rStyle w:val="FootnoteReference"/>
        </w:rPr>
        <w:footnoteRef/>
      </w:r>
      <w:r>
        <w:t xml:space="preserve">Preserved in the Bellamy Papers; transcription held at the Presbyterian Historical Society.</w:t>
      </w:r>
    </w:p>
  </w:footnote>
  <w:footnote w:id="39">
    <w:p>
      <w:pPr>
        <w:pStyle w:val="FootnoteText"/>
      </w:pPr>
      <w:r>
        <w:rPr>
          <w:rStyle w:val="FootnoteReference"/>
        </w:rPr>
        <w:footnoteRef/>
      </w:r>
      <w:r>
        <w:t xml:space="preserve">See West, </w:t>
      </w:r>
      <w:r>
        <w:rPr>
          <w:i/>
          <w:iCs/>
        </w:rPr>
        <w:t xml:space="preserve">Sketches</w:t>
      </w:r>
      <w:r>
        <w:t xml:space="preserve">, p. 58.</w:t>
      </w:r>
    </w:p>
  </w:footnote>
  <w:footnote w:id="40">
    <w:p>
      <w:pPr>
        <w:pStyle w:val="FootnoteText"/>
      </w:pPr>
      <w:r>
        <w:rPr>
          <w:rStyle w:val="FootnoteReference"/>
        </w:rPr>
        <w:footnoteRef/>
      </w:r>
      <w:r>
        <w:t xml:space="preserve">In Bellamy Papers, transcription, </w:t>
      </w:r>
      <w:r>
        <w:rPr>
          <w:i/>
          <w:iCs/>
        </w:rPr>
        <w:t xml:space="preserve">1</w:t>
      </w:r>
      <w:r>
        <w:t xml:space="preserve">, 163.</w:t>
      </w:r>
    </w:p>
  </w:footnote>
  <w:footnote w:id="41">
    <w:p>
      <w:pPr>
        <w:pStyle w:val="FootnoteText"/>
      </w:pPr>
      <w:r>
        <w:rPr>
          <w:rStyle w:val="FootnoteReference"/>
        </w:rPr>
        <w:footnoteRef/>
      </w:r>
      <w:r>
        <w:t xml:space="preserve">See Bellamy Papers, transcription, </w:t>
      </w:r>
      <w:r>
        <w:rPr>
          <w:i/>
          <w:iCs/>
        </w:rPr>
        <w:t xml:space="preserve">1</w:t>
      </w:r>
      <w:r>
        <w:t xml:space="preserve">, 165, letter from N. Hazard, October 31, 1759.</w:t>
      </w:r>
    </w:p>
  </w:footnote>
  <w:footnote w:id="42">
    <w:p>
      <w:pPr>
        <w:pStyle w:val="FootnoteText"/>
      </w:pPr>
      <w:r>
        <w:rPr>
          <w:rStyle w:val="FootnoteReference"/>
        </w:rPr>
        <w:footnoteRef/>
      </w:r>
      <w:r>
        <w:t xml:space="preserve">In the course of the seven- or eight-year period before he came to assume responsibility for his father's manuscripts, Jonathan Edwards, Jr., had studied at the grammar school of the College of New Jersey, and then, in 1761, entered the college itself. He was regarded as very able academically and also experienced the expected conversion before his graduation in 1765. Following his graduation he studied with Samuel Hopkins at Great Barrington during the winter months of 1765, and with Joseph Bellamy at Bethlem, Connecticut, in the spring months of 1766. By the next fall he had returned to Princeton as tutor in languages and logic. Edwards, Jr., was called to be pastor of the White Haven Church in New Haven, Connecticut, in December 1768. See Robert Ferm. </w:t>
      </w:r>
      <w:r>
        <w:rPr>
          <w:i/>
          <w:iCs/>
        </w:rPr>
        <w:t xml:space="preserve">Jonathan Edwards the Younger</w:t>
      </w:r>
      <w:r>
        <w:t xml:space="preserve">, </w:t>
      </w:r>
      <w:r>
        <w:rPr>
          <w:i/>
          <w:iCs/>
        </w:rPr>
        <w:t xml:space="preserve">1745–1801</w:t>
      </w:r>
      <w:r>
        <w:t xml:space="preserve"> (Grand Rapids, William Eerdmans, 1976), pp. 19–24. See also a brief account in </w:t>
      </w:r>
      <w:r>
        <w:rPr>
          <w:i/>
          <w:iCs/>
        </w:rPr>
        <w:t xml:space="preserve">Princetonians</w:t>
      </w:r>
      <w:r>
        <w:t xml:space="preserve">, </w:t>
      </w:r>
      <w:r>
        <w:rPr>
          <w:i/>
          <w:iCs/>
        </w:rPr>
        <w:t xml:space="preserve">1748–1768: A Biographical Dictionary</w:t>
      </w:r>
      <w:r>
        <w:t xml:space="preserve">, ed. James McLachlan (Princeton, Princeton Univ. Press, 1976), p. 494.</w:t>
      </w:r>
    </w:p>
  </w:footnote>
  <w:footnote w:id="43">
    <w:p>
      <w:pPr>
        <w:pStyle w:val="FootnoteText"/>
      </w:pPr>
      <w:r>
        <w:rPr>
          <w:rStyle w:val="FootnoteReference"/>
        </w:rPr>
        <w:footnoteRef/>
      </w:r>
      <w:r>
        <w:t xml:space="preserve">See Schafer, "Manuscript Problems."</w:t>
      </w:r>
    </w:p>
  </w:footnote>
  <w:footnote w:id="44">
    <w:p>
      <w:pPr>
        <w:pStyle w:val="FootnoteText"/>
      </w:pPr>
      <w:r>
        <w:rPr>
          <w:rStyle w:val="FootnoteReference"/>
        </w:rPr>
        <w:footnoteRef/>
      </w:r>
      <w:r>
        <w:t xml:space="preserve">West, </w:t>
      </w:r>
      <w:r>
        <w:rPr>
          <w:i/>
          <w:iCs/>
        </w:rPr>
        <w:t xml:space="preserve">Sketches</w:t>
      </w:r>
      <w:r>
        <w:t xml:space="preserve">, pp. 57–58.</w:t>
      </w:r>
    </w:p>
  </w:footnote>
  <w:footnote w:id="45">
    <w:p>
      <w:pPr>
        <w:pStyle w:val="FootnoteText"/>
      </w:pPr>
      <w:r>
        <w:rPr>
          <w:rStyle w:val="FootnoteReference"/>
        </w:rPr>
        <w:footnoteRef/>
      </w:r>
      <w:r>
        <w:t xml:space="preserve">Boston, S. Kneeland, 1765. This was paginated as one book, although each part has its own title page.</w:t>
      </w:r>
    </w:p>
  </w:footnote>
  <w:footnote w:id="46">
    <w:p>
      <w:pPr>
        <w:pStyle w:val="FootnoteText"/>
      </w:pPr>
      <w:r>
        <w:rPr>
          <w:rStyle w:val="FootnoteReference"/>
        </w:rPr>
        <w:footnoteRef/>
      </w:r>
      <w:r>
        <w:t xml:space="preserve">Bellamy Papers, transcription, </w:t>
      </w:r>
      <w:r>
        <w:rPr>
          <w:i/>
          <w:iCs/>
        </w:rPr>
        <w:t xml:space="preserve">1</w:t>
      </w:r>
      <w:r>
        <w:t xml:space="preserve">, 223.</w:t>
      </w:r>
    </w:p>
  </w:footnote>
  <w:footnote w:id="47">
    <w:p>
      <w:pPr>
        <w:pStyle w:val="FootnoteText"/>
      </w:pPr>
      <w:r>
        <w:rPr>
          <w:rStyle w:val="FootnoteReference"/>
        </w:rPr>
        <w:footnoteRef/>
      </w:r>
      <w:r>
        <w:t xml:space="preserve">Boston, S. Kneeland, 1765.</w:t>
      </w:r>
    </w:p>
  </w:footnote>
  <w:footnote w:id="48">
    <w:p>
      <w:pPr>
        <w:pStyle w:val="FootnoteText"/>
      </w:pPr>
      <w:r>
        <w:rPr>
          <w:rStyle w:val="FootnoteReference"/>
        </w:rPr>
        <w:footnoteRef/>
      </w:r>
      <w:r>
        <w:t xml:space="preserve">Bellamy Papers, transcription, ibid.</w:t>
      </w:r>
    </w:p>
  </w:footnote>
  <w:footnote w:id="49">
    <w:p>
      <w:pPr>
        <w:pStyle w:val="FootnoteText"/>
      </w:pPr>
      <w:r>
        <w:rPr>
          <w:rStyle w:val="FootnoteReference"/>
        </w:rPr>
        <w:footnoteRef/>
      </w:r>
      <w:r>
        <w:t xml:space="preserve">Ibid.</w:t>
      </w:r>
    </w:p>
  </w:footnote>
  <w:footnote w:id="50">
    <w:p>
      <w:pPr>
        <w:pStyle w:val="FootnoteText"/>
      </w:pPr>
      <w:r>
        <w:rPr>
          <w:rStyle w:val="FootnoteReference"/>
        </w:rPr>
        <w:footnoteRef/>
      </w:r>
      <w:r>
        <w:t xml:space="preserve">Edinburgh, W. Gray, 1774. The following quotations are on p. iii. The preface continues for two more pages.</w:t>
      </w:r>
    </w:p>
  </w:footnote>
  <w:footnote w:id="51">
    <w:p>
      <w:pPr>
        <w:pStyle w:val="FootnoteText"/>
      </w:pPr>
      <w:r>
        <w:rPr>
          <w:rStyle w:val="FootnoteReference"/>
        </w:rPr>
        <w:footnoteRef/>
      </w:r>
      <w:r>
        <w:t xml:space="preserve">The advertisement is on p. v of the first Edinburgh edition.</w:t>
      </w:r>
    </w:p>
  </w:footnote>
  <w:footnote w:id="52">
    <w:p>
      <w:pPr>
        <w:pStyle w:val="FootnoteText"/>
      </w:pPr>
      <w:r>
        <w:rPr>
          <w:rStyle w:val="FootnoteReference"/>
        </w:rPr>
        <w:footnoteRef/>
      </w:r>
      <w:r>
        <w:t xml:space="preserve">See </w:t>
      </w:r>
      <w:r>
        <w:rPr>
          <w:i/>
          <w:iCs/>
        </w:rPr>
        <w:t xml:space="preserve">Sermons on the Following Subjects</w:t>
      </w:r>
      <w:r>
        <w:t xml:space="preserve"> (Hartford, Hudson and Goodwin, 1780), preface by Jonathan Edwards, Jr.</w:t>
      </w:r>
    </w:p>
  </w:footnote>
  <w:footnote w:id="53">
    <w:p>
      <w:pPr>
        <w:pStyle w:val="FootnoteText"/>
      </w:pPr>
      <w:r>
        <w:rPr>
          <w:rStyle w:val="FootnoteReference"/>
        </w:rPr>
        <w:footnoteRef/>
      </w:r>
      <w:r>
        <w:t xml:space="preserve">From the advertisement on p. v of the 1774 Edinburgh edition.</w:t>
      </w:r>
    </w:p>
  </w:footnote>
  <w:footnote w:id="54">
    <w:p>
      <w:pPr>
        <w:pStyle w:val="FootnoteText"/>
      </w:pPr>
      <w:r>
        <w:rPr>
          <w:rStyle w:val="FootnoteReference"/>
        </w:rPr>
        <w:footnoteRef/>
      </w:r>
      <w:r>
        <w:rPr>
          <w:i/>
          <w:iCs/>
        </w:rPr>
        <w:t xml:space="preserve">Twenty Sermons</w:t>
      </w:r>
      <w:r>
        <w:t xml:space="preserve">, </w:t>
      </w:r>
      <w:r>
        <w:rPr>
          <w:i/>
          <w:iCs/>
        </w:rPr>
        <w:t xml:space="preserve">On Various Subjects</w:t>
      </w:r>
      <w:r>
        <w:t xml:space="preserve"> (Edinburgh, M. Gray, 1789); </w:t>
      </w:r>
      <w:r>
        <w:rPr>
          <w:i/>
          <w:iCs/>
        </w:rPr>
        <w:t xml:space="preserve">Miscellaneous Observations</w:t>
      </w:r>
      <w:r>
        <w:t xml:space="preserve"> (Edinburgh, M. Gray, 1793). </w:t>
      </w:r>
      <w:r>
        <w:rPr>
          <w:i/>
          <w:iCs/>
        </w:rPr>
        <w:t xml:space="preserve">Twenty Sermons</w:t>
      </w:r>
      <w:r>
        <w:t xml:space="preserve"> reissues the fifteen sermons from </w:t>
      </w:r>
      <w:r>
        <w:rPr>
          <w:i/>
          <w:iCs/>
        </w:rPr>
        <w:t xml:space="preserve">Sermons on the Following Subjects</w:t>
      </w:r>
      <w:r>
        <w:t xml:space="preserve"> (1780) and joins to them five other previously published sermons. It also includes the preface by Edwards, Jr., to the 1780 collection.</w:t>
      </w:r>
    </w:p>
  </w:footnote>
  <w:footnote w:id="55">
    <w:p>
      <w:pPr>
        <w:pStyle w:val="FootnoteText"/>
      </w:pPr>
      <w:r>
        <w:rPr>
          <w:rStyle w:val="FootnoteReference"/>
        </w:rPr>
        <w:footnoteRef/>
      </w:r>
      <w:r>
        <w:t xml:space="preserve">Ferm, </w:t>
      </w:r>
      <w:r>
        <w:rPr>
          <w:i/>
          <w:iCs/>
        </w:rPr>
        <w:t xml:space="preserve">Jonathan Edwards</w:t>
      </w:r>
      <w:r>
        <w:t xml:space="preserve">, </w:t>
      </w:r>
      <w:r>
        <w:rPr>
          <w:i/>
          <w:iCs/>
        </w:rPr>
        <w:t xml:space="preserve">the Younger</w:t>
      </w:r>
      <w:r>
        <w:t xml:space="preserve">, ch. 9 (pp. 134–47) discusses his dismissal and reproduces relevant correspondence.</w:t>
      </w:r>
    </w:p>
  </w:footnote>
  <w:footnote w:id="56">
    <w:p>
      <w:pPr>
        <w:pStyle w:val="FootnoteText"/>
      </w:pPr>
      <w:r>
        <w:rPr>
          <w:rStyle w:val="FootnoteReference"/>
        </w:rPr>
        <w:footnoteRef/>
      </w:r>
      <w:r>
        <w:t xml:space="preserve">Ferm reproduces passages From Austin's letter including this section (p. 141). He also publishes a draft of Sherman's letter (pp. 142–44). Both Austin's manuscript letter and the manuscript minutes (dated March 1, 1790) are in the Yale University Libraries.</w:t>
      </w:r>
    </w:p>
  </w:footnote>
  <w:footnote w:id="57">
    <w:p>
      <w:pPr>
        <w:pStyle w:val="FootnoteText"/>
      </w:pPr>
      <w:r>
        <w:rPr>
          <w:rStyle w:val="FootnoteReference"/>
        </w:rPr>
        <w:footnoteRef/>
      </w:r>
      <w:r>
        <w:t xml:space="preserve">The Thomas letters are in the manuscript vault of Beinecke Library, Yale University, Section 17, Drawer 4. I am indebted to Kenneth P. Minkema for discovering these documents and bringing them to my attention.</w:t>
      </w:r>
    </w:p>
  </w:footnote>
  <w:footnote w:id="58">
    <w:p>
      <w:pPr>
        <w:pStyle w:val="FootnoteText"/>
      </w:pPr>
      <w:r>
        <w:rPr>
          <w:rStyle w:val="FootnoteReference"/>
        </w:rPr>
        <w:footnoteRef/>
      </w:r>
      <w:r>
        <w:t xml:space="preserve">A clear example is booklet 5, whose leaves had become misordered. Edwards, Jr., noted the problem on </w:t>
      </w:r>
      <w:r>
        <w:rPr>
          <w:i/>
          <w:iCs/>
        </w:rPr>
        <w:t xml:space="preserve">5.26v</w:t>
      </w:r>
      <w:r>
        <w:t xml:space="preserve"> and inserted directions to correct the order on </w:t>
      </w:r>
      <w:r>
        <w:rPr>
          <w:i/>
          <w:iCs/>
        </w:rPr>
        <w:t xml:space="preserve">5.14v</w:t>
      </w:r>
      <w:r>
        <w:t xml:space="preserve"> and </w:t>
      </w:r>
      <w:r>
        <w:rPr>
          <w:i/>
          <w:iCs/>
        </w:rPr>
        <w:t xml:space="preserve">5.16v</w:t>
      </w:r>
      <w:r>
        <w:t xml:space="preserve">. A substantive insertion he may have contributed is on </w:t>
      </w:r>
      <w:r>
        <w:rPr>
          <w:i/>
          <w:iCs/>
        </w:rPr>
        <w:t xml:space="preserve">8.4v</w:t>
      </w:r>
      <w:r>
        <w:t xml:space="preserve">, the addition of "and result" (p. 375).</w:t>
      </w:r>
    </w:p>
  </w:footnote>
  <w:footnote w:id="59">
    <w:p>
      <w:pPr>
        <w:pStyle w:val="FootnoteText"/>
      </w:pPr>
      <w:r>
        <w:rPr>
          <w:rStyle w:val="FootnoteReference"/>
        </w:rPr>
        <w:footnoteRef/>
      </w:r>
      <w:r>
        <w:t xml:space="preserve">Johnson, </w:t>
      </w:r>
      <w:r>
        <w:rPr>
          <w:i/>
          <w:iCs/>
        </w:rPr>
        <w:t xml:space="preserve">Printed Writings</w:t>
      </w:r>
      <w:r>
        <w:t xml:space="preserve">. The separate editions of </w:t>
      </w:r>
      <w:r>
        <w:rPr>
          <w:i/>
          <w:iCs/>
        </w:rPr>
        <w:t xml:space="preserve">Work of Redemption</w:t>
      </w:r>
      <w:r>
        <w:t xml:space="preserve"> are listed as items 243–69 on pp. 85–94. The book was also reissued with various editions of the collected works (see Johnson, pp. 112–27).</w:t>
      </w:r>
    </w:p>
  </w:footnote>
  <w:footnote w:id="60">
    <w:p>
      <w:pPr>
        <w:pStyle w:val="FootnoteText"/>
      </w:pPr>
      <w:r>
        <w:rPr>
          <w:rStyle w:val="FootnoteReference"/>
        </w:rPr>
        <w:footnoteRef/>
      </w:r>
      <w:r>
        <w:t xml:space="preserve">See </w:t>
      </w:r>
      <w:r>
        <w:rPr>
          <w:i/>
          <w:iCs/>
        </w:rPr>
        <w:t xml:space="preserve">The Works of President Edwards</w:t>
      </w:r>
      <w:r>
        <w:t xml:space="preserve">, ed. Samuel Austin (8 vols., Worcester, Mass., Isaiah Thomas, Jr., 1808), 2, iii.</w:t>
      </w:r>
    </w:p>
  </w:footnote>
  <w:footnote w:id="61">
    <w:p>
      <w:pPr>
        <w:pStyle w:val="FootnoteText"/>
      </w:pPr>
      <w:r>
        <w:rPr>
          <w:rStyle w:val="FootnoteReference"/>
        </w:rPr>
        <w:footnoteRef/>
      </w:r>
      <w:r>
        <w:t xml:space="preserve">For Hooker's early writings see </w:t>
      </w:r>
      <w:r>
        <w:rPr>
          <w:i/>
          <w:iCs/>
        </w:rPr>
        <w:t xml:space="preserve">Thomas Hooker: Writings in England and Holland</w:t>
      </w:r>
      <w:r>
        <w:t xml:space="preserve">, </w:t>
      </w:r>
      <w:r>
        <w:rPr>
          <w:i/>
          <w:iCs/>
        </w:rPr>
        <w:t xml:space="preserve">1626–1633</w:t>
      </w:r>
      <w:r>
        <w:t xml:space="preserve">, ed. George H. Williams et al., Harvard Theological Studies, </w:t>
      </w:r>
      <w:r>
        <w:rPr>
          <w:i/>
          <w:iCs/>
        </w:rPr>
        <w:t xml:space="preserve">28</w:t>
      </w:r>
      <w:r>
        <w:t xml:space="preserve"> (Cambridge, Harvard Univ. Press, 1975).</w:t>
      </w:r>
    </w:p>
  </w:footnote>
  <w:footnote w:id="62">
    <w:p>
      <w:pPr>
        <w:pStyle w:val="FootnoteText"/>
      </w:pPr>
      <w:r>
        <w:rPr>
          <w:rStyle w:val="FootnoteReference"/>
        </w:rPr>
        <w:footnoteRef/>
      </w:r>
      <w:r>
        <w:t xml:space="preserve">Boston, S, Kneeland and T. Green, 1731.</w:t>
      </w:r>
    </w:p>
  </w:footnote>
  <w:footnote w:id="63">
    <w:p>
      <w:pPr>
        <w:pStyle w:val="FootnoteText"/>
      </w:pPr>
      <w:r>
        <w:rPr>
          <w:rStyle w:val="FootnoteReference"/>
        </w:rPr>
        <w:footnoteRef/>
      </w:r>
      <w:r>
        <w:t xml:space="preserve">Thomas Hooker, </w:t>
      </w:r>
      <w:r>
        <w:rPr>
          <w:i/>
          <w:iCs/>
        </w:rPr>
        <w:t xml:space="preserve">The Application of Redemption</w:t>
      </w:r>
      <w:r>
        <w:t xml:space="preserve"> (London, 1656), brought together themes (and sections) from his earlier writings. It exhibits Hooker's "preparationist theology."</w:t>
      </w:r>
    </w:p>
  </w:footnote>
  <w:footnote w:id="64">
    <w:p>
      <w:pPr>
        <w:pStyle w:val="FootnoteText"/>
      </w:pPr>
      <w:r>
        <w:rPr>
          <w:rStyle w:val="FootnoteReference"/>
        </w:rPr>
        <w:footnoteRef/>
      </w:r>
      <w:r>
        <w:t xml:space="preserve">See, as important studies which treat this theme, Edmund S. Morgan, </w:t>
      </w:r>
      <w:r>
        <w:rPr>
          <w:i/>
          <w:iCs/>
        </w:rPr>
        <w:t xml:space="preserve">Visible Saints: The History of a Puritan Idea</w:t>
      </w:r>
      <w:r>
        <w:t xml:space="preserve"> (New York, New York Univ. Press, 1963), and Norman Pettit, </w:t>
      </w:r>
      <w:r>
        <w:rPr>
          <w:i/>
          <w:iCs/>
        </w:rPr>
        <w:t xml:space="preserve">The Heart Prepared: Grace and Conversion in Puritan Spiritual Life</w:t>
      </w:r>
      <w:r>
        <w:t xml:space="preserve"> (New Haven, Yale Univ. Press, 1966).</w:t>
      </w:r>
    </w:p>
  </w:footnote>
  <w:footnote w:id="65">
    <w:p>
      <w:pPr>
        <w:pStyle w:val="FootnoteText"/>
      </w:pPr>
      <w:r>
        <w:rPr>
          <w:rStyle w:val="FootnoteReference"/>
        </w:rPr>
        <w:footnoteRef/>
      </w:r>
      <w:r>
        <w:t xml:space="preserve">Geoffrey F. Nuttall, </w:t>
      </w:r>
      <w:r>
        <w:rPr>
          <w:i/>
          <w:iCs/>
        </w:rPr>
        <w:t xml:space="preserve">Visible Saints: The Congregational Way</w:t>
      </w:r>
      <w:r>
        <w:t xml:space="preserve">, </w:t>
      </w:r>
      <w:r>
        <w:rPr>
          <w:i/>
          <w:iCs/>
        </w:rPr>
        <w:t xml:space="preserve">1640–1660</w:t>
      </w:r>
      <w:r>
        <w:t xml:space="preserve"> (Oxford, Basil Blackwell, 1957) concerns developments among Puritans in England in the period of the Civil War. See also his </w:t>
      </w:r>
      <w:r>
        <w:rPr>
          <w:i/>
          <w:iCs/>
        </w:rPr>
        <w:t xml:space="preserve">The Holy Spirit in Puritan Faith and Experience</w:t>
      </w:r>
      <w:r>
        <w:t xml:space="preserve"> (Oxford, Basil Blackwell, 1946).</w:t>
      </w:r>
    </w:p>
  </w:footnote>
  <w:footnote w:id="66">
    <w:p>
      <w:pPr>
        <w:pStyle w:val="FootnoteText"/>
      </w:pPr>
      <w:r>
        <w:rPr>
          <w:rStyle w:val="FootnoteReference"/>
        </w:rPr>
        <w:footnoteRef/>
      </w:r>
      <w:r>
        <w:t xml:space="preserve">See the summary study by F. Ernest Stoeffler, </w:t>
      </w:r>
      <w:r>
        <w:rPr>
          <w:i/>
          <w:iCs/>
        </w:rPr>
        <w:t xml:space="preserve">The Rise of Evangelical Pietism</w:t>
      </w:r>
      <w:r>
        <w:t xml:space="preserve"> (Leiden, E. J. Brill, 1965), which points to the English Puritan contribution to Continental Pietism.</w:t>
      </w:r>
    </w:p>
  </w:footnote>
  <w:footnote w:id="67">
    <w:p>
      <w:pPr>
        <w:pStyle w:val="FootnoteText"/>
      </w:pPr>
      <w:r>
        <w:rPr>
          <w:rStyle w:val="FootnoteReference"/>
        </w:rPr>
        <w:footnoteRef/>
      </w:r>
      <w:r>
        <w:t xml:space="preserve">See Milton J. Coalter, Jr., </w:t>
      </w:r>
      <w:r>
        <w:rPr>
          <w:i/>
          <w:iCs/>
        </w:rPr>
        <w:t xml:space="preserve">Gilbert Tennent</w:t>
      </w:r>
      <w:r>
        <w:t xml:space="preserve">, </w:t>
      </w:r>
      <w:r>
        <w:rPr>
          <w:i/>
          <w:iCs/>
        </w:rPr>
        <w:t xml:space="preserve">Son of Thunder: A Case Study of Continental Pietism's Impact on the First Great Awakening in the Middle Colonies</w:t>
      </w:r>
      <w:r>
        <w:t xml:space="preserve"> (Westport, Conn., Greenwood, 1986).</w:t>
      </w:r>
    </w:p>
  </w:footnote>
  <w:footnote w:id="68">
    <w:p>
      <w:pPr>
        <w:pStyle w:val="FootnoteText"/>
      </w:pPr>
      <w:r>
        <w:rPr>
          <w:rStyle w:val="FootnoteReference"/>
        </w:rPr>
        <w:footnoteRef/>
      </w:r>
      <w:r>
        <w:t xml:space="preserve">Wilson Kimnach has discussed this question in "The Brazen Trumpet: Jonathan Edwards's Conception of the Sermon," in </w:t>
      </w:r>
      <w:r>
        <w:rPr>
          <w:i/>
          <w:iCs/>
        </w:rPr>
        <w:t xml:space="preserve">Jonathan Edwards: His Life and Influence</w:t>
      </w:r>
      <w:r>
        <w:t xml:space="preserve">, ed. Charles Angoff (Rutherford, N.J., Fairleigh Dickinson Univ. Press, 1975). For a discussion of the broader background, see Norman Fiering, </w:t>
      </w:r>
      <w:r>
        <w:rPr>
          <w:i/>
          <w:iCs/>
        </w:rPr>
        <w:t xml:space="preserve">Jonathan Edwards's Moral Thought and Its British Context</w:t>
      </w:r>
      <w:r>
        <w:t xml:space="preserve"> (Chapel Hill, Univ. of North Carolina Press, 1981), particularly ch. 5, "Hell and the Humanitarians," pp. 200–60.</w:t>
      </w:r>
    </w:p>
  </w:footnote>
  <w:footnote w:id="69">
    <w:p>
      <w:pPr>
        <w:pStyle w:val="FootnoteText"/>
      </w:pPr>
      <w:r>
        <w:rPr>
          <w:rStyle w:val="FootnoteReference"/>
        </w:rPr>
        <w:footnoteRef/>
      </w:r>
      <w:r>
        <w:t xml:space="preserve">Readily available in </w:t>
      </w:r>
      <w:r>
        <w:rPr>
          <w:i/>
          <w:iCs/>
        </w:rPr>
        <w:t xml:space="preserve">Works</w:t>
      </w:r>
      <w:r>
        <w:t xml:space="preserve"> (Yale ed., 1972), </w:t>
      </w:r>
      <w:r>
        <w:rPr>
          <w:i/>
          <w:iCs/>
        </w:rPr>
        <w:t xml:space="preserve">4</w:t>
      </w:r>
      <w:r>
        <w:t xml:space="preserve">, </w:t>
      </w:r>
      <w:r>
        <w:rPr>
          <w:i/>
          <w:iCs/>
        </w:rPr>
        <w:t xml:space="preserve">The Great Awakening</w:t>
      </w:r>
      <w:r>
        <w:t xml:space="preserve">, ed. C. C. Goen, and </w:t>
      </w:r>
      <w:r>
        <w:rPr>
          <w:i/>
          <w:iCs/>
        </w:rPr>
        <w:t xml:space="preserve">Works</w:t>
      </w:r>
      <w:r>
        <w:t xml:space="preserve"> (Yale ed., 1959), </w:t>
      </w:r>
      <w:r>
        <w:rPr>
          <w:i/>
          <w:iCs/>
        </w:rPr>
        <w:t xml:space="preserve">2</w:t>
      </w:r>
      <w:r>
        <w:t xml:space="preserve">, </w:t>
      </w:r>
      <w:r>
        <w:rPr>
          <w:i/>
          <w:iCs/>
        </w:rPr>
        <w:t xml:space="preserve">Religious Affections</w:t>
      </w:r>
      <w:r>
        <w:t xml:space="preserve">, ed. John E. Smith.</w:t>
      </w:r>
    </w:p>
  </w:footnote>
  <w:footnote w:id="70">
    <w:p>
      <w:pPr>
        <w:pStyle w:val="FootnoteText"/>
      </w:pPr>
      <w:r>
        <w:rPr>
          <w:rStyle w:val="FootnoteReference"/>
        </w:rPr>
        <w:footnoteRef/>
      </w:r>
      <w:r>
        <w:t xml:space="preserve">For </w:t>
      </w:r>
      <w:r>
        <w:rPr>
          <w:i/>
          <w:iCs/>
        </w:rPr>
        <w:t xml:space="preserve">An Humble Attempt</w:t>
      </w:r>
      <w:r>
        <w:t xml:space="preserve">, which relates to these activities, see </w:t>
      </w:r>
      <w:r>
        <w:rPr>
          <w:i/>
          <w:iCs/>
        </w:rPr>
        <w:t xml:space="preserve">Works</w:t>
      </w:r>
      <w:r>
        <w:t xml:space="preserve"> (Yale ed., 1977), </w:t>
      </w:r>
      <w:r>
        <w:rPr>
          <w:i/>
          <w:iCs/>
        </w:rPr>
        <w:t xml:space="preserve">5</w:t>
      </w:r>
      <w:r>
        <w:t xml:space="preserve">, </w:t>
      </w:r>
      <w:r>
        <w:rPr>
          <w:i/>
          <w:iCs/>
        </w:rPr>
        <w:t xml:space="preserve">Apocalyptic Writings</w:t>
      </w:r>
      <w:r>
        <w:t xml:space="preserve">, ed. Stephen J. Stein. The background and context of this effort are discussed in the introduction.</w:t>
      </w:r>
    </w:p>
  </w:footnote>
  <w:footnote w:id="71">
    <w:p>
      <w:pPr>
        <w:pStyle w:val="FootnoteText"/>
      </w:pPr>
      <w:r>
        <w:rPr>
          <w:rStyle w:val="FootnoteReference"/>
        </w:rPr>
        <w:footnoteRef/>
      </w:r>
      <w:r>
        <w:t xml:space="preserve">A recent study of this transition is available in Conrad Cherry, </w:t>
      </w:r>
      <w:r>
        <w:rPr>
          <w:i/>
          <w:iCs/>
        </w:rPr>
        <w:t xml:space="preserve">Nature and Religious Imagination: From Edwards to Bushnell</w:t>
      </w:r>
      <w:r>
        <w:t xml:space="preserve"> (Philadelphia, Fortress, 1980).</w:t>
      </w:r>
    </w:p>
  </w:footnote>
  <w:footnote w:id="72">
    <w:p>
      <w:pPr>
        <w:pStyle w:val="FootnoteText"/>
      </w:pPr>
      <w:r>
        <w:rPr>
          <w:rStyle w:val="FootnoteReference"/>
        </w:rPr>
        <w:footnoteRef/>
      </w:r>
      <w:r>
        <w:t xml:space="preserve">A position explicitly developed by Horace Bushnell in his "A Preliminary Dissertation on Language," published as preface to </w:t>
      </w:r>
      <w:r>
        <w:rPr>
          <w:i/>
          <w:iCs/>
        </w:rPr>
        <w:t xml:space="preserve">God in Christ</w:t>
      </w:r>
      <w:r>
        <w:t xml:space="preserve"> (Hartford, Brown and Parsons, 1849).</w:t>
      </w:r>
    </w:p>
  </w:footnote>
  <w:footnote w:id="73">
    <w:p>
      <w:pPr>
        <w:pStyle w:val="FootnoteText"/>
      </w:pPr>
      <w:r>
        <w:rPr>
          <w:rStyle w:val="FootnoteReference"/>
        </w:rPr>
        <w:footnoteRef/>
      </w:r>
      <w:r>
        <w:t xml:space="preserve">For Emerson and the transcendentalists as religious thinkers, see Catherine Albanese, </w:t>
      </w:r>
      <w:r>
        <w:rPr>
          <w:i/>
          <w:iCs/>
        </w:rPr>
        <w:t xml:space="preserve">Corresponding Motion: Transcendental Religion and the New America</w:t>
      </w:r>
      <w:r>
        <w:t xml:space="preserve"> (Philadelphia, Temple Univ. Press, 1977). Also see William A. Clebsch, </w:t>
      </w:r>
      <w:r>
        <w:rPr>
          <w:i/>
          <w:iCs/>
        </w:rPr>
        <w:t xml:space="preserve">American Religious Thought: A History</w:t>
      </w:r>
      <w:r>
        <w:t xml:space="preserve"> (Chicago, Univ. of Chicago Press, 1973), especially chs. 2–4.</w:t>
      </w:r>
    </w:p>
  </w:footnote>
  <w:footnote w:id="74">
    <w:p>
      <w:pPr>
        <w:pStyle w:val="FootnoteText"/>
      </w:pPr>
      <w:r>
        <w:rPr>
          <w:rStyle w:val="FootnoteReference"/>
        </w:rPr>
        <w:footnoteRef/>
      </w:r>
      <w:r>
        <w:t xml:space="preserve">Published in 1765 in </w:t>
      </w:r>
      <w:r>
        <w:rPr>
          <w:i/>
          <w:iCs/>
        </w:rPr>
        <w:t xml:space="preserve">Two Dissertations</w:t>
      </w:r>
      <w:r>
        <w:t xml:space="preserve">; see in </w:t>
      </w:r>
      <w:r>
        <w:rPr>
          <w:i/>
          <w:iCs/>
        </w:rPr>
        <w:t xml:space="preserve">Works</w:t>
      </w:r>
      <w:r>
        <w:t xml:space="preserve">, </w:t>
      </w:r>
      <w:r>
        <w:rPr>
          <w:i/>
          <w:iCs/>
        </w:rPr>
        <w:t xml:space="preserve">8</w:t>
      </w:r>
      <w:r>
        <w:t xml:space="preserve">, </w:t>
      </w:r>
      <w:r>
        <w:rPr>
          <w:i/>
          <w:iCs/>
        </w:rPr>
        <w:t xml:space="preserve">Ethical Writings</w:t>
      </w:r>
      <w:r>
        <w:t xml:space="preserve">, ed. Paul Ramsey.</w:t>
      </w:r>
    </w:p>
  </w:footnote>
  <w:footnote w:id="75">
    <w:p>
      <w:pPr>
        <w:pStyle w:val="FootnoteText"/>
      </w:pPr>
      <w:r>
        <w:rPr>
          <w:rStyle w:val="FootnoteReference"/>
        </w:rPr>
        <w:footnoteRef/>
      </w:r>
      <w:r>
        <w:t xml:space="preserve">His point being that as such it was more inclusive than the "work of creation" or the "work of providence," and thus a "higher" end or superordinate to them.</w:t>
      </w:r>
    </w:p>
  </w:footnote>
  <w:footnote w:id="76">
    <w:p>
      <w:pPr>
        <w:pStyle w:val="FootnoteText"/>
      </w:pPr>
      <w:r>
        <w:rPr>
          <w:rStyle w:val="FootnoteReference"/>
        </w:rPr>
        <w:footnoteRef/>
      </w:r>
      <w:r>
        <w:t xml:space="preserve">A discussion of this correlation between the form of the sermon and the presumed "nature of man" is in Eugene E. White, </w:t>
      </w:r>
      <w:r>
        <w:rPr>
          <w:i/>
          <w:iCs/>
        </w:rPr>
        <w:t xml:space="preserve">Puritan Rhetoric: The Issue of Emotion in Religion</w:t>
      </w:r>
      <w:r>
        <w:t xml:space="preserve"> (Carbondale, Southern Illinois Univ. Press, 1972).</w:t>
      </w:r>
    </w:p>
  </w:footnote>
  <w:footnote w:id="77">
    <w:p>
      <w:pPr>
        <w:pStyle w:val="FootnoteText"/>
      </w:pPr>
      <w:r>
        <w:rPr>
          <w:rStyle w:val="FootnoteReference"/>
        </w:rPr>
        <w:footnoteRef/>
      </w:r>
      <w:r>
        <w:t xml:space="preserve">The English background of preaching may be reviewed in such studies as J. W. Blench, </w:t>
      </w:r>
      <w:r>
        <w:rPr>
          <w:i/>
          <w:iCs/>
        </w:rPr>
        <w:t xml:space="preserve">Preaching in England in the Late Fifteenth and Sixteenth Centuries</w:t>
      </w:r>
      <w:r>
        <w:t xml:space="preserve"> (New York, Barnes and Noble, 1964); W. Fraser Mitchell, </w:t>
      </w:r>
      <w:r>
        <w:rPr>
          <w:i/>
          <w:iCs/>
        </w:rPr>
        <w:t xml:space="preserve">English Pulpit Oratory</w:t>
      </w:r>
      <w:r>
        <w:t xml:space="preserve"> (London, SPCK, 1932); and Horton Davies, </w:t>
      </w:r>
      <w:r>
        <w:rPr>
          <w:i/>
          <w:iCs/>
        </w:rPr>
        <w:t xml:space="preserve">Worship and Theology in England</w:t>
      </w:r>
      <w:r>
        <w:t xml:space="preserve"> (5 vols., Princeton, Princeton Univ. Press, 1961–75), </w:t>
      </w:r>
      <w:r>
        <w:rPr>
          <w:i/>
          <w:iCs/>
        </w:rPr>
        <w:t xml:space="preserve">1</w:t>
      </w:r>
      <w:r>
        <w:t xml:space="preserve">, </w:t>
      </w:r>
      <w:r>
        <w:rPr>
          <w:i/>
          <w:iCs/>
        </w:rPr>
        <w:t xml:space="preserve">From Cranmer to Hooker (1534–1603); 2</w:t>
      </w:r>
      <w:r>
        <w:t xml:space="preserve">, </w:t>
      </w:r>
      <w:r>
        <w:rPr>
          <w:i/>
          <w:iCs/>
        </w:rPr>
        <w:t xml:space="preserve">From Andrews to Baxter and Fox (1603–1690)</w:t>
      </w:r>
      <w:r>
        <w:t xml:space="preserve">. The New World development of the tradition is discussed in Babette M. Levy, </w:t>
      </w:r>
      <w:r>
        <w:rPr>
          <w:i/>
          <w:iCs/>
        </w:rPr>
        <w:t xml:space="preserve">Preaching in the First Half Century of New England History</w:t>
      </w:r>
      <w:r>
        <w:t xml:space="preserve"> (Hartford, American Society of Church History, 1945), and exhibited in Phyllis M. Jones and Nicholas R. Jones, </w:t>
      </w:r>
      <w:r>
        <w:rPr>
          <w:i/>
          <w:iCs/>
        </w:rPr>
        <w:t xml:space="preserve">Salvation in New England</w:t>
      </w:r>
      <w:r>
        <w:t xml:space="preserve"> (Austin, Univ. of Texas Press, 1977), and A. W. Plumstead, </w:t>
      </w:r>
      <w:r>
        <w:rPr>
          <w:i/>
          <w:iCs/>
        </w:rPr>
        <w:t xml:space="preserve">The Wall and the Garden</w:t>
      </w:r>
      <w:r>
        <w:t xml:space="preserve"> (Minneapolis, Univ. of Minnesota Press, 1968). Recently Harry S. Stout has published a magisterial study of the New England sermon as a central cultural institution, </w:t>
      </w:r>
      <w:r>
        <w:rPr>
          <w:i/>
          <w:iCs/>
        </w:rPr>
        <w:t xml:space="preserve">The New England Soul: Preaching and Religious Culture in Colonial New England</w:t>
      </w:r>
      <w:r>
        <w:t xml:space="preserve"> (New York, Oxford Univ. Press, 1986).</w:t>
      </w:r>
    </w:p>
  </w:footnote>
  <w:footnote w:id="78">
    <w:p>
      <w:pPr>
        <w:pStyle w:val="FootnoteText"/>
      </w:pPr>
      <w:r>
        <w:rPr>
          <w:rStyle w:val="FootnoteReference"/>
        </w:rPr>
        <w:footnoteRef/>
      </w:r>
      <w:r>
        <w:t xml:space="preserve">An argument developed by White in </w:t>
      </w:r>
      <w:r>
        <w:rPr>
          <w:i/>
          <w:iCs/>
        </w:rPr>
        <w:t xml:space="preserve">Puritan Rhetoric</w:t>
      </w:r>
      <w:r>
        <w:t xml:space="preserve"> and other writings.</w:t>
      </w:r>
    </w:p>
  </w:footnote>
  <w:footnote w:id="79">
    <w:p>
      <w:pPr>
        <w:pStyle w:val="FootnoteText"/>
      </w:pPr>
      <w:r>
        <w:rPr>
          <w:rStyle w:val="FootnoteReference"/>
        </w:rPr>
        <w:footnoteRef/>
      </w:r>
      <w:r>
        <w:t xml:space="preserve">Cf. discussion of what are not "signs" and what are "Scripture evidence and marks" in "The Distinguishing Marks" (</w:t>
      </w:r>
      <w:r>
        <w:rPr>
          <w:i/>
          <w:iCs/>
        </w:rPr>
        <w:t xml:space="preserve">Works</w:t>
      </w:r>
      <w:r>
        <w:t xml:space="preserve">, </w:t>
      </w:r>
      <w:r>
        <w:rPr>
          <w:i/>
          <w:iCs/>
        </w:rPr>
        <w:t xml:space="preserve">4</w:t>
      </w:r>
      <w:r>
        <w:t xml:space="preserve">, 228–60) with Part II, "No Certain Signs," and Part III, "Distinguishing Signs" of </w:t>
      </w:r>
      <w:r>
        <w:rPr>
          <w:i/>
          <w:iCs/>
        </w:rPr>
        <w:t xml:space="preserve">Religious Affections</w:t>
      </w:r>
      <w:r>
        <w:t xml:space="preserve"> (</w:t>
      </w:r>
      <w:r>
        <w:rPr>
          <w:i/>
          <w:iCs/>
        </w:rPr>
        <w:t xml:space="preserve">Works</w:t>
      </w:r>
      <w:r>
        <w:t xml:space="preserve">, </w:t>
      </w:r>
      <w:r>
        <w:rPr>
          <w:i/>
          <w:iCs/>
        </w:rPr>
        <w:t xml:space="preserve">2</w:t>
      </w:r>
      <w:r>
        <w:t xml:space="preserve">, 125–461).</w:t>
      </w:r>
    </w:p>
  </w:footnote>
  <w:footnote w:id="80">
    <w:p>
      <w:pPr>
        <w:pStyle w:val="FootnoteText"/>
      </w:pPr>
      <w:r>
        <w:rPr>
          <w:rStyle w:val="FootnoteReference"/>
        </w:rPr>
        <w:footnoteRef/>
      </w:r>
      <w:r>
        <w:t xml:space="preserve">See "The Logical Structure of the Redemption Discourse," pp. 72–79, which includes two summary "tables." See also App. A, "Outline of the Redemption Discourse."</w:t>
      </w:r>
    </w:p>
  </w:footnote>
  <w:footnote w:id="81">
    <w:p>
      <w:pPr>
        <w:pStyle w:val="FootnoteText"/>
      </w:pPr>
      <w:r>
        <w:rPr>
          <w:rStyle w:val="FootnoteReference"/>
        </w:rPr>
        <w:footnoteRef/>
      </w:r>
      <w:r>
        <w:t xml:space="preserve">"Bank Bible," p. 517, col. 2. Forthcoming in </w:t>
      </w:r>
      <w:r>
        <w:rPr>
          <w:i/>
          <w:iCs/>
        </w:rPr>
        <w:t xml:space="preserve">Works</w:t>
      </w:r>
      <w:r>
        <w:t xml:space="preserve"> (Yale ed.), ed. Stephen J. Stein.</w:t>
      </w:r>
    </w:p>
  </w:footnote>
  <w:footnote w:id="82">
    <w:p>
      <w:pPr>
        <w:pStyle w:val="FootnoteText"/>
      </w:pPr>
      <w:r>
        <w:rPr>
          <w:rStyle w:val="FootnoteReference"/>
        </w:rPr>
        <w:footnoteRef/>
      </w:r>
      <w:r>
        <w:t xml:space="preserve">The statement of the doctrine is first given in the initial sermon, </w:t>
      </w:r>
      <w:r>
        <w:rPr>
          <w:i/>
          <w:iCs/>
        </w:rPr>
        <w:t xml:space="preserve">1.3v</w:t>
      </w:r>
      <w:r>
        <w:t xml:space="preserve"> (p. 116).</w:t>
      </w:r>
    </w:p>
  </w:footnote>
  <w:footnote w:id="83">
    <w:p>
      <w:pPr>
        <w:pStyle w:val="FootnoteText"/>
      </w:pPr>
      <w:r>
        <w:rPr>
          <w:rStyle w:val="FootnoteReference"/>
        </w:rPr>
        <w:footnoteRef/>
      </w:r>
      <w:r>
        <w:rPr>
          <w:i/>
          <w:iCs/>
        </w:rPr>
        <w:t xml:space="preserve">1.4v</w:t>
      </w:r>
      <w:r>
        <w:t xml:space="preserve"> (p. 117).</w:t>
      </w:r>
    </w:p>
  </w:footnote>
  <w:footnote w:id="84">
    <w:p>
      <w:pPr>
        <w:pStyle w:val="FootnoteText"/>
      </w:pPr>
      <w:r>
        <w:rPr>
          <w:rStyle w:val="FootnoteReference"/>
        </w:rPr>
        <w:footnoteRef/>
      </w:r>
      <w:r>
        <w:rPr>
          <w:i/>
          <w:iCs/>
        </w:rPr>
        <w:t xml:space="preserve">1.5v</w:t>
      </w:r>
      <w:r>
        <w:t xml:space="preserve"> (p. 118).</w:t>
      </w:r>
    </w:p>
  </w:footnote>
  <w:footnote w:id="85">
    <w:p>
      <w:pPr>
        <w:pStyle w:val="FootnoteText"/>
      </w:pPr>
      <w:r>
        <w:rPr>
          <w:rStyle w:val="FootnoteReference"/>
        </w:rPr>
        <w:footnoteRef/>
      </w:r>
      <w:r>
        <w:t xml:space="preserve">For a useful monograph on the subject, see C. Norman Kraus, </w:t>
      </w:r>
      <w:r>
        <w:rPr>
          <w:i/>
          <w:iCs/>
        </w:rPr>
        <w:t xml:space="preserve">Dispensationalism in America: Its Rise and Development</w:t>
      </w:r>
      <w:r>
        <w:t xml:space="preserve"> (Richmond, John Knox, 1958).</w:t>
      </w:r>
    </w:p>
  </w:footnote>
  <w:footnote w:id="86">
    <w:p>
      <w:pPr>
        <w:pStyle w:val="FootnoteText"/>
      </w:pPr>
      <w:r>
        <w:rPr>
          <w:rStyle w:val="FootnoteReference"/>
        </w:rPr>
        <w:footnoteRef/>
      </w:r>
      <w:r>
        <w:t xml:space="preserve">Available respectively in </w:t>
      </w:r>
      <w:r>
        <w:rPr>
          <w:i/>
          <w:iCs/>
        </w:rPr>
        <w:t xml:space="preserve">Works</w:t>
      </w:r>
      <w:r>
        <w:t xml:space="preserve">, </w:t>
      </w:r>
      <w:r>
        <w:rPr>
          <w:i/>
          <w:iCs/>
        </w:rPr>
        <w:t xml:space="preserve">1</w:t>
      </w:r>
      <w:r>
        <w:t xml:space="preserve">, </w:t>
      </w:r>
      <w:r>
        <w:rPr>
          <w:i/>
          <w:iCs/>
        </w:rPr>
        <w:t xml:space="preserve">Freedom of the Will</w:t>
      </w:r>
      <w:r>
        <w:t xml:space="preserve">, and </w:t>
      </w:r>
      <w:r>
        <w:rPr>
          <w:i/>
          <w:iCs/>
        </w:rPr>
        <w:t xml:space="preserve">Works 3</w:t>
      </w:r>
      <w:r>
        <w:t xml:space="preserve">, </w:t>
      </w:r>
      <w:r>
        <w:rPr>
          <w:i/>
          <w:iCs/>
        </w:rPr>
        <w:t xml:space="preserve">Original Sin</w:t>
      </w:r>
      <w:r>
        <w:t xml:space="preserve">.</w:t>
      </w:r>
    </w:p>
  </w:footnote>
  <w:footnote w:id="87">
    <w:p>
      <w:pPr>
        <w:pStyle w:val="FootnoteText"/>
      </w:pPr>
      <w:r>
        <w:rPr>
          <w:rStyle w:val="FootnoteReference"/>
        </w:rPr>
        <w:footnoteRef/>
      </w:r>
      <w:r>
        <w:rPr>
          <w:i/>
          <w:iCs/>
        </w:rPr>
        <w:t xml:space="preserve">Mimesis: The Representation of Reality in Western Literature</w:t>
      </w:r>
      <w:r>
        <w:t xml:space="preserve">, trans. Willard R. Trask (Princeton, Princeton Univ. Press, 1953), p. 73. See also Auerbach's essay "Figura" in his </w:t>
      </w:r>
      <w:r>
        <w:rPr>
          <w:i/>
          <w:iCs/>
        </w:rPr>
        <w:t xml:space="preserve">Scenes from the Drama of European Literature</w:t>
      </w:r>
      <w:r>
        <w:t xml:space="preserve"> (New York, Meridian, 1959).</w:t>
      </w:r>
    </w:p>
  </w:footnote>
  <w:footnote w:id="88">
    <w:p>
      <w:pPr>
        <w:pStyle w:val="FootnoteText"/>
      </w:pPr>
      <w:r>
        <w:rPr>
          <w:rStyle w:val="FootnoteReference"/>
        </w:rPr>
        <w:footnoteRef/>
      </w:r>
      <w:r>
        <w:t xml:space="preserve">Auerbach, </w:t>
      </w:r>
      <w:r>
        <w:rPr>
          <w:i/>
          <w:iCs/>
        </w:rPr>
        <w:t xml:space="preserve">Mimesis</w:t>
      </w:r>
      <w:r>
        <w:t xml:space="preserve">, p. 74.</w:t>
      </w:r>
    </w:p>
  </w:footnote>
  <w:footnote w:id="89">
    <w:p>
      <w:pPr>
        <w:pStyle w:val="FootnoteText"/>
      </w:pPr>
      <w:r>
        <w:rPr>
          <w:rStyle w:val="FootnoteReference"/>
        </w:rPr>
        <w:footnoteRef/>
      </w:r>
      <w:r>
        <w:t xml:space="preserve">Among the numerous discussions of this topic, see especially </w:t>
      </w:r>
      <w:r>
        <w:rPr>
          <w:i/>
          <w:iCs/>
        </w:rPr>
        <w:t xml:space="preserve">Typology and Early American Literature</w:t>
      </w:r>
      <w:r>
        <w:t xml:space="preserve">, ed. Sacvan Bercovitch (Amherst, Univ. of Massachusetts Press, 1972); Ursula Brumm, </w:t>
      </w:r>
      <w:r>
        <w:rPr>
          <w:i/>
          <w:iCs/>
        </w:rPr>
        <w:t xml:space="preserve">American Thought and Religious Typology</w:t>
      </w:r>
      <w:r>
        <w:t xml:space="preserve"> (New Brunswick, Rutgers Univ. Press, 1970); </w:t>
      </w:r>
      <w:r>
        <w:rPr>
          <w:i/>
          <w:iCs/>
        </w:rPr>
        <w:t xml:space="preserve">Literary Uses of Typology: From the Late Middle Ages to the Present</w:t>
      </w:r>
      <w:r>
        <w:t xml:space="preserve">, ed. Earl Miner (Princeton, Princeton Univ. Press, 1977); Mason I. Lowance, Jr., </w:t>
      </w:r>
      <w:r>
        <w:rPr>
          <w:i/>
          <w:iCs/>
        </w:rPr>
        <w:t xml:space="preserve">The Language of Canaan: Metaphor and Symbol in New England from the Puritans to the Transcendentalist</w:t>
      </w:r>
      <w:r>
        <w:t xml:space="preserve"> (Cambridge, Harvard Univ. Press, 1980).</w:t>
      </w:r>
    </w:p>
  </w:footnote>
  <w:footnote w:id="90">
    <w:p>
      <w:pPr>
        <w:pStyle w:val="FootnoteText"/>
      </w:pPr>
      <w:r>
        <w:rPr>
          <w:rStyle w:val="FootnoteReference"/>
        </w:rPr>
        <w:footnoteRef/>
      </w:r>
      <w:r>
        <w:t xml:space="preserve">For a discussion of Luther's position against the background of medieval interpretation of the Hebrew scriptures, see James S. Preus, </w:t>
      </w:r>
      <w:r>
        <w:rPr>
          <w:i/>
          <w:iCs/>
        </w:rPr>
        <w:t xml:space="preserve">From Shadow to Promise</w:t>
      </w:r>
      <w:r>
        <w:t xml:space="preserve"> (Cambridge, Harvard Univ. Press, 1969).</w:t>
      </w:r>
    </w:p>
  </w:footnote>
  <w:footnote w:id="91">
    <w:p>
      <w:pPr>
        <w:pStyle w:val="FootnoteText"/>
      </w:pPr>
      <w:r>
        <w:rPr>
          <w:rStyle w:val="FootnoteReference"/>
        </w:rPr>
        <w:footnoteRef/>
      </w:r>
      <w:r>
        <w:t xml:space="preserve">See Theodore Beza, </w:t>
      </w:r>
      <w:r>
        <w:rPr>
          <w:i/>
          <w:iCs/>
        </w:rPr>
        <w:t xml:space="preserve">Sermons Upon the Three First Chapters of the Canticle of Canticles</w:t>
      </w:r>
      <w:r>
        <w:t xml:space="preserve">, trans. John Harmar (Oxford, 1587), p. 434.</w:t>
      </w:r>
    </w:p>
  </w:footnote>
  <w:footnote w:id="92">
    <w:p>
      <w:pPr>
        <w:pStyle w:val="FootnoteText"/>
      </w:pPr>
      <w:r>
        <w:rPr>
          <w:rStyle w:val="FootnoteReference"/>
        </w:rPr>
        <w:footnoteRef/>
      </w:r>
      <w:r>
        <w:t xml:space="preserve">Heinrich Bullinger, </w:t>
      </w:r>
      <w:r>
        <w:rPr>
          <w:i/>
          <w:iCs/>
        </w:rPr>
        <w:t xml:space="preserve">The Tragedies of Tyrantes Exercised Upon the Church</w:t>
      </w:r>
      <w:r>
        <w:t xml:space="preserve"> (London, 1575), leaf 91, recto and verso. See also his </w:t>
      </w:r>
      <w:r>
        <w:rPr>
          <w:i/>
          <w:iCs/>
        </w:rPr>
        <w:t xml:space="preserve">A hundred sermons upon the Apocalips</w:t>
      </w:r>
      <w:r>
        <w:t xml:space="preserve"> (London, 1561), pp. 206–09.</w:t>
      </w:r>
    </w:p>
  </w:footnote>
  <w:footnote w:id="93">
    <w:p>
      <w:pPr>
        <w:pStyle w:val="FootnoteText"/>
      </w:pPr>
      <w:r>
        <w:rPr>
          <w:rStyle w:val="FootnoteReference"/>
        </w:rPr>
        <w:footnoteRef/>
      </w:r>
      <w:r>
        <w:t xml:space="preserve">Cited in </w:t>
      </w:r>
      <w:r>
        <w:rPr>
          <w:i/>
          <w:iCs/>
        </w:rPr>
        <w:t xml:space="preserve">Reformed Dogmatics</w:t>
      </w:r>
      <w:r>
        <w:t xml:space="preserve">, ed. and trans. John W. Beardslee III (New York, Oxford Univ. Press, 1965), pp. 80–82.</w:t>
      </w:r>
    </w:p>
  </w:footnote>
  <w:footnote w:id="94">
    <w:p>
      <w:pPr>
        <w:pStyle w:val="FootnoteText"/>
      </w:pPr>
      <w:r>
        <w:rPr>
          <w:rStyle w:val="FootnoteReference"/>
        </w:rPr>
        <w:footnoteRef/>
      </w:r>
      <w:r>
        <w:t xml:space="preserve">(Zurich, 1696), </w:t>
      </w:r>
      <w:r>
        <w:rPr>
          <w:i/>
          <w:iCs/>
        </w:rPr>
        <w:t xml:space="preserve">13</w:t>
      </w:r>
      <w:r>
        <w:t xml:space="preserve">, 76. Cited in Heinrich Heppe, </w:t>
      </w:r>
      <w:r>
        <w:rPr>
          <w:i/>
          <w:iCs/>
        </w:rPr>
        <w:t xml:space="preserve">Reformed Dogmatics</w:t>
      </w:r>
      <w:r>
        <w:t xml:space="preserve">, ed. Ernst Bizer, trans. G. T. Thomson (London, George Allen &amp; Unwin, 1950), p. 403.</w:t>
      </w:r>
    </w:p>
  </w:footnote>
  <w:footnote w:id="95">
    <w:p>
      <w:pPr>
        <w:pStyle w:val="FootnoteText"/>
      </w:pPr>
      <w:r>
        <w:rPr>
          <w:rStyle w:val="FootnoteReference"/>
        </w:rPr>
        <w:footnoteRef/>
      </w:r>
      <w:r>
        <w:rPr>
          <w:i/>
          <w:iCs/>
        </w:rPr>
        <w:t xml:space="preserve">Institutio theologiae elencticae</w:t>
      </w:r>
      <w:r>
        <w:t xml:space="preserve"> (Geneva, 1688). Unpublished translation by George Musgrave Giger consulted at the Speer Library of Princeton Theological Seminary. See Topic Twelve, Seventh Question, pp. 77–84. The ages were from Adam to Abraham, Abraham to Moses, and Moses to Christ.</w:t>
      </w:r>
    </w:p>
  </w:footnote>
  <w:footnote w:id="96">
    <w:p>
      <w:pPr>
        <w:pStyle w:val="FootnoteText"/>
      </w:pPr>
      <w:r>
        <w:rPr>
          <w:rStyle w:val="FootnoteReference"/>
        </w:rPr>
        <w:footnoteRef/>
      </w:r>
      <w:r>
        <w:t xml:space="preserve">See the discussion in Lowance, </w:t>
      </w:r>
      <w:r>
        <w:rPr>
          <w:i/>
          <w:iCs/>
        </w:rPr>
        <w:t xml:space="preserve">Language</w:t>
      </w:r>
      <w:r>
        <w:t xml:space="preserve">, pp. 28–40.</w:t>
      </w:r>
    </w:p>
  </w:footnote>
  <w:footnote w:id="97">
    <w:p>
      <w:pPr>
        <w:pStyle w:val="FootnoteText"/>
      </w:pPr>
      <w:r>
        <w:rPr>
          <w:rStyle w:val="FootnoteReference"/>
        </w:rPr>
        <w:footnoteRef/>
      </w:r>
      <w:r>
        <w:t xml:space="preserve">See the discussion of Mather's position and its influence upon New England, ibid., PP 80–90.</w:t>
      </w:r>
    </w:p>
  </w:footnote>
  <w:footnote w:id="98">
    <w:p>
      <w:pPr>
        <w:pStyle w:val="FootnoteText"/>
      </w:pPr>
      <w:r>
        <w:rPr>
          <w:rStyle w:val="FootnoteReference"/>
        </w:rPr>
        <w:footnoteRef/>
      </w:r>
      <w:r>
        <w:t xml:space="preserve">See ibid., pp. 249–76, for Lowance's extended discussion "Jonathan Edwards and the Knowledge of God."</w:t>
      </w:r>
    </w:p>
  </w:footnote>
  <w:footnote w:id="99">
    <w:p>
      <w:pPr>
        <w:pStyle w:val="FootnoteText"/>
      </w:pPr>
      <w:r>
        <w:rPr>
          <w:rStyle w:val="FootnoteReference"/>
        </w:rPr>
        <w:footnoteRef/>
      </w:r>
      <w:r>
        <w:t xml:space="preserve">See the beginning of Sermon Twelve, p. 270.</w:t>
      </w:r>
    </w:p>
  </w:footnote>
  <w:footnote w:id="100">
    <w:p>
      <w:pPr>
        <w:pStyle w:val="FootnoteText"/>
      </w:pPr>
      <w:r>
        <w:rPr>
          <w:rStyle w:val="FootnoteReference"/>
        </w:rPr>
        <w:footnoteRef/>
      </w:r>
      <w:r>
        <w:t xml:space="preserve">Edited by Perry Miller and first published in 1948 (New Haven, Yale Univ. Press). Forthcoming as edited by Wallace Anderson in a volume on typology for </w:t>
      </w:r>
      <w:r>
        <w:rPr>
          <w:i/>
          <w:iCs/>
        </w:rPr>
        <w:t xml:space="preserve">Works</w:t>
      </w:r>
      <w:r>
        <w:t xml:space="preserve"> (Yale ed.).</w:t>
      </w:r>
    </w:p>
  </w:footnote>
  <w:footnote w:id="101">
    <w:p>
      <w:pPr>
        <w:pStyle w:val="FootnoteText"/>
      </w:pPr>
      <w:r>
        <w:rPr>
          <w:rStyle w:val="FootnoteReference"/>
        </w:rPr>
        <w:footnoteRef/>
      </w:r>
      <w:r>
        <w:t xml:space="preserve">Wallace Anderson has established a general chronology of the entries. See the forth coming typology volume noted above. The following references are to the text of the 1948 edition.</w:t>
      </w:r>
    </w:p>
  </w:footnote>
  <w:footnote w:id="102">
    <w:p>
      <w:pPr>
        <w:pStyle w:val="FootnoteText"/>
      </w:pPr>
      <w:r>
        <w:rPr>
          <w:rStyle w:val="FootnoteReference"/>
        </w:rPr>
        <w:footnoteRef/>
      </w:r>
      <w:r>
        <w:t xml:space="preserve">See Miller's introduction to his edition of "Images or Shadows."</w:t>
      </w:r>
    </w:p>
  </w:footnote>
  <w:footnote w:id="103">
    <w:p>
      <w:pPr>
        <w:pStyle w:val="FootnoteText"/>
      </w:pPr>
      <w:r>
        <w:rPr>
          <w:rStyle w:val="FootnoteReference"/>
        </w:rPr>
        <w:footnoteRef/>
      </w:r>
      <w:r>
        <w:t xml:space="preserve">See the discussion above, pp. 44–47.</w:t>
      </w:r>
    </w:p>
  </w:footnote>
  <w:footnote w:id="104">
    <w:p>
      <w:pPr>
        <w:pStyle w:val="FootnoteText"/>
      </w:pPr>
      <w:r>
        <w:rPr>
          <w:rStyle w:val="FootnoteReference"/>
        </w:rPr>
        <w:footnoteRef/>
      </w:r>
      <w:r>
        <w:t xml:space="preserve">"Literary Techniques," pp. 241, 374–78.</w:t>
      </w:r>
    </w:p>
  </w:footnote>
  <w:footnote w:id="105">
    <w:p>
      <w:pPr>
        <w:pStyle w:val="FootnoteText"/>
      </w:pPr>
      <w:r>
        <w:rPr>
          <w:rStyle w:val="FootnoteReference"/>
        </w:rPr>
        <w:footnoteRef/>
      </w:r>
      <w:r>
        <w:t xml:space="preserve">Ibid., pp. 245–47.</w:t>
      </w:r>
    </w:p>
  </w:footnote>
  <w:footnote w:id="106">
    <w:p>
      <w:pPr>
        <w:pStyle w:val="FootnoteText"/>
      </w:pPr>
      <w:r>
        <w:rPr>
          <w:rStyle w:val="FootnoteReference"/>
        </w:rPr>
        <w:footnoteRef/>
      </w:r>
      <w:r>
        <w:t xml:space="preserve">Dwight, </w:t>
      </w:r>
      <w:r>
        <w:rPr>
          <w:i/>
          <w:iCs/>
        </w:rPr>
        <w:t xml:space="preserve">Life</w:t>
      </w:r>
      <w:r>
        <w:t xml:space="preserve">, pp. 569–70.</w:t>
      </w:r>
    </w:p>
  </w:footnote>
  <w:footnote w:id="107">
    <w:p>
      <w:pPr>
        <w:pStyle w:val="FootnoteText"/>
      </w:pPr>
      <w:r>
        <w:rPr>
          <w:rStyle w:val="FootnoteReference"/>
        </w:rPr>
        <w:footnoteRef/>
      </w:r>
      <w:r>
        <w:t xml:space="preserve">See pp. 546–47 below.</w:t>
      </w:r>
    </w:p>
  </w:footnote>
  <w:footnote w:id="108">
    <w:p>
      <w:pPr>
        <w:pStyle w:val="FootnoteText"/>
      </w:pPr>
      <w:r>
        <w:rPr>
          <w:rStyle w:val="FootnoteReference"/>
        </w:rPr>
        <w:footnoteRef/>
      </w:r>
      <w:r>
        <w:t xml:space="preserve">See p. 547 below.</w:t>
      </w:r>
    </w:p>
  </w:footnote>
  <w:footnote w:id="109">
    <w:p>
      <w:pPr>
        <w:pStyle w:val="FootnoteText"/>
      </w:pPr>
      <w:r>
        <w:rPr>
          <w:rStyle w:val="FootnoteReference"/>
        </w:rPr>
        <w:footnoteRef/>
      </w:r>
      <w:r>
        <w:t xml:space="preserve">See pp. 545–46 below.</w:t>
      </w:r>
    </w:p>
  </w:footnote>
  <w:footnote w:id="110">
    <w:p>
      <w:pPr>
        <w:pStyle w:val="FootnoteText"/>
      </w:pPr>
      <w:r>
        <w:rPr>
          <w:rStyle w:val="FootnoteReference"/>
        </w:rPr>
        <w:footnoteRef/>
      </w:r>
      <w:r>
        <w:t xml:space="preserve">This notebook is a part of the collection of JE's manuscripts on deposit at the Beinecke Library. It is the third item in folder 37 of his materials. JE numbered the pages of this notebook, and the discussion summarized below begins on p. 11.</w:t>
      </w:r>
    </w:p>
  </w:footnote>
  <w:footnote w:id="111">
    <w:p>
      <w:pPr>
        <w:pStyle w:val="FootnoteText"/>
      </w:pPr>
      <w:r>
        <w:rPr>
          <w:rStyle w:val="FootnoteReference"/>
        </w:rPr>
        <w:footnoteRef/>
      </w:r>
      <w:r>
        <w:t xml:space="preserve">Notebook A, p. 15.</w:t>
      </w:r>
    </w:p>
  </w:footnote>
  <w:footnote w:id="112">
    <w:p>
      <w:pPr>
        <w:pStyle w:val="FootnoteText"/>
      </w:pPr>
      <w:r>
        <w:rPr>
          <w:rStyle w:val="FootnoteReference"/>
        </w:rPr>
        <w:footnoteRef/>
      </w:r>
      <w:r>
        <w:t xml:space="preserve">"The Millenium [sic]" was published in Bellamy's </w:t>
      </w:r>
      <w:r>
        <w:rPr>
          <w:i/>
          <w:iCs/>
        </w:rPr>
        <w:t xml:space="preserve">Sermons Upon the Following Subjects</w:t>
      </w:r>
      <w:r>
        <w:t xml:space="preserve"> (Boston, S. Kneeland, 1758).</w:t>
      </w:r>
    </w:p>
  </w:footnote>
  <w:footnote w:id="113">
    <w:p>
      <w:pPr>
        <w:pStyle w:val="FootnoteText"/>
      </w:pPr>
      <w:r>
        <w:rPr>
          <w:rStyle w:val="FootnoteReference"/>
        </w:rPr>
        <w:footnoteRef/>
      </w:r>
      <w:r>
        <w:t xml:space="preserve">Notebook A, p. 22.</w:t>
      </w:r>
    </w:p>
  </w:footnote>
  <w:footnote w:id="114">
    <w:p>
      <w:pPr>
        <w:pStyle w:val="FootnoteText"/>
      </w:pPr>
      <w:r>
        <w:rPr>
          <w:rStyle w:val="FootnoteReference"/>
        </w:rPr>
        <w:footnoteRef/>
      </w:r>
      <w:r>
        <w:t xml:space="preserve">Ibid.</w:t>
      </w:r>
    </w:p>
  </w:footnote>
  <w:footnote w:id="115">
    <w:p>
      <w:pPr>
        <w:pStyle w:val="FootnoteText"/>
      </w:pPr>
      <w:r>
        <w:rPr>
          <w:rStyle w:val="FootnoteReference"/>
        </w:rPr>
        <w:footnoteRef/>
      </w:r>
      <w:r>
        <w:t xml:space="preserve">Ibid., p. 28.</w:t>
      </w:r>
    </w:p>
  </w:footnote>
  <w:footnote w:id="116">
    <w:p>
      <w:pPr>
        <w:pStyle w:val="FootnoteText"/>
      </w:pPr>
      <w:r>
        <w:rPr>
          <w:rStyle w:val="FootnoteReference"/>
        </w:rPr>
        <w:footnoteRef/>
      </w:r>
      <w:r>
        <w:t xml:space="preserve">See </w:t>
      </w:r>
      <w:r>
        <w:rPr>
          <w:i/>
          <w:iCs/>
        </w:rPr>
        <w:t xml:space="preserve">Works</w:t>
      </w:r>
      <w:r>
        <w:t xml:space="preserve">, </w:t>
      </w:r>
      <w:r>
        <w:rPr>
          <w:i/>
          <w:iCs/>
        </w:rPr>
        <w:t xml:space="preserve">3</w:t>
      </w:r>
      <w:r>
        <w:t xml:space="preserve">, </w:t>
      </w:r>
      <w:r>
        <w:rPr>
          <w:i/>
          <w:iCs/>
        </w:rPr>
        <w:t xml:space="preserve">Original Sin</w:t>
      </w:r>
      <w:r>
        <w:t xml:space="preserve">, 68–70.</w:t>
      </w:r>
    </w:p>
  </w:footnote>
  <w:footnote w:id="117">
    <w:p>
      <w:pPr>
        <w:pStyle w:val="FootnoteText"/>
      </w:pPr>
      <w:r>
        <w:rPr>
          <w:rStyle w:val="FootnoteReference"/>
        </w:rPr>
        <w:footnoteRef/>
      </w:r>
      <w:r>
        <w:t xml:space="preserve">Notebook A, p. 41. Probably Henry Winder, </w:t>
      </w:r>
      <w:r>
        <w:rPr>
          <w:i/>
          <w:iCs/>
        </w:rPr>
        <w:t xml:space="preserve">A … History of the Rise</w:t>
      </w:r>
      <w:r>
        <w:t xml:space="preserve">, </w:t>
      </w:r>
      <w:r>
        <w:rPr>
          <w:i/>
          <w:iCs/>
        </w:rPr>
        <w:t xml:space="preserve">Progress</w:t>
      </w:r>
      <w:r>
        <w:t xml:space="preserve">, </w:t>
      </w:r>
      <w:r>
        <w:rPr>
          <w:i/>
          <w:iCs/>
        </w:rPr>
        <w:t xml:space="preserve">Declension</w:t>
      </w:r>
      <w:r>
        <w:t xml:space="preserve">, </w:t>
      </w:r>
      <w:r>
        <w:rPr>
          <w:i/>
          <w:iCs/>
        </w:rPr>
        <w:t xml:space="preserve">and Revival of Knowledge</w:t>
      </w:r>
      <w:r>
        <w:t xml:space="preserve">, </w:t>
      </w:r>
      <w:r>
        <w:rPr>
          <w:i/>
          <w:iCs/>
        </w:rPr>
        <w:t xml:space="preserve">Chiefly Religious</w:t>
      </w:r>
      <w:r>
        <w:t xml:space="preserve">, 26 ed. (2 vols. in 1, London, 1756).</w:t>
      </w:r>
    </w:p>
  </w:footnote>
  <w:footnote w:id="118">
    <w:p>
      <w:pPr>
        <w:pStyle w:val="FootnoteText"/>
      </w:pPr>
      <w:r>
        <w:rPr>
          <w:rStyle w:val="FootnoteReference"/>
        </w:rPr>
        <w:footnoteRef/>
      </w:r>
      <w:r>
        <w:t xml:space="preserve">See Notebook A, pp. 41–46.</w:t>
      </w:r>
    </w:p>
  </w:footnote>
  <w:footnote w:id="119">
    <w:p>
      <w:pPr>
        <w:pStyle w:val="FootnoteText"/>
      </w:pPr>
      <w:r>
        <w:rPr>
          <w:rStyle w:val="FootnoteReference"/>
        </w:rPr>
        <w:footnoteRef/>
      </w:r>
      <w:r>
        <w:t xml:space="preserve">Ibid. These entries begin on p. 57 and carry through at least p. 104.</w:t>
      </w:r>
    </w:p>
  </w:footnote>
  <w:footnote w:id="120">
    <w:p>
      <w:pPr>
        <w:pStyle w:val="FootnoteText"/>
      </w:pPr>
      <w:r>
        <w:rPr>
          <w:rStyle w:val="FootnoteReference"/>
        </w:rPr>
        <w:footnoteRef/>
      </w:r>
      <w:r>
        <w:t xml:space="preserve">Ibid., p. 72.</w:t>
      </w:r>
    </w:p>
  </w:footnote>
  <w:footnote w:id="121">
    <w:p>
      <w:pPr>
        <w:pStyle w:val="FootnoteText"/>
      </w:pPr>
      <w:r>
        <w:rPr>
          <w:rStyle w:val="FootnoteReference"/>
        </w:rPr>
        <w:footnoteRef/>
      </w:r>
      <w:r>
        <w:t xml:space="preserve">Ibid., p. 102.</w:t>
      </w:r>
    </w:p>
  </w:footnote>
  <w:footnote w:id="122">
    <w:p>
      <w:pPr>
        <w:pStyle w:val="FootnoteText"/>
      </w:pPr>
      <w:r>
        <w:rPr>
          <w:rStyle w:val="FootnoteReference"/>
        </w:rPr>
        <w:footnoteRef/>
      </w:r>
      <w:r>
        <w:t xml:space="preserve">Ibid., p. 121.</w:t>
      </w:r>
    </w:p>
  </w:footnote>
  <w:footnote w:id="123">
    <w:p>
      <w:pPr>
        <w:pStyle w:val="FootnoteText"/>
      </w:pPr>
      <w:r>
        <w:rPr>
          <w:rStyle w:val="FootnoteReference"/>
        </w:rPr>
        <w:footnoteRef/>
      </w:r>
      <w:r>
        <w:t xml:space="preserve">Ibid., p. 122.</w:t>
      </w:r>
    </w:p>
  </w:footnote>
  <w:footnote w:id="124">
    <w:p>
      <w:pPr>
        <w:pStyle w:val="FootnoteText"/>
      </w:pPr>
      <w:r>
        <w:rPr>
          <w:rStyle w:val="FootnoteReference"/>
        </w:rPr>
        <w:footnoteRef/>
      </w:r>
      <w:r>
        <w:t xml:space="preserve">See my "Jonathan Edwards as Historian," </w:t>
      </w:r>
      <w:r>
        <w:rPr>
          <w:i/>
          <w:iCs/>
        </w:rPr>
        <w:t xml:space="preserve">Church History</w:t>
      </w:r>
      <w:r>
        <w:t xml:space="preserve">, </w:t>
      </w:r>
      <w:r>
        <w:rPr>
          <w:i/>
          <w:iCs/>
        </w:rPr>
        <w:t xml:space="preserve">46</w:t>
      </w:r>
      <w:r>
        <w:t xml:space="preserve"> (1977), 5–18.</w:t>
      </w:r>
    </w:p>
  </w:footnote>
  <w:footnote w:id="125">
    <w:p>
      <w:pPr>
        <w:pStyle w:val="FootnoteText"/>
      </w:pPr>
      <w:r>
        <w:rPr>
          <w:rStyle w:val="FootnoteReference"/>
        </w:rPr>
        <w:footnoteRef/>
      </w:r>
      <w:r>
        <w:t xml:space="preserve">Notebook A, p. 103.</w:t>
      </w:r>
    </w:p>
  </w:footnote>
  <w:footnote w:id="126">
    <w:p>
      <w:pPr>
        <w:pStyle w:val="FootnoteText"/>
      </w:pPr>
      <w:r>
        <w:rPr>
          <w:rStyle w:val="FootnoteReference"/>
        </w:rPr>
        <w:footnoteRef/>
      </w:r>
      <w:r>
        <w:t xml:space="preserve">Ibid., p. 104.</w:t>
      </w:r>
    </w:p>
  </w:footnote>
  <w:footnote w:id="127">
    <w:p>
      <w:pPr>
        <w:pStyle w:val="FootnoteText"/>
      </w:pPr>
      <w:r>
        <w:rPr>
          <w:rStyle w:val="FootnoteReference"/>
        </w:rPr>
        <w:footnoteRef/>
      </w:r>
      <w:r>
        <w:t xml:space="preserve">Ibid., p. 122.</w:t>
      </w:r>
    </w:p>
  </w:footnote>
  <w:footnote w:id="128">
    <w:p>
      <w:pPr>
        <w:pStyle w:val="FootnoteText"/>
      </w:pPr>
      <w:r>
        <w:rPr>
          <w:rStyle w:val="FootnoteReference"/>
        </w:rPr>
        <w:footnoteRef/>
      </w:r>
      <w:r>
        <w:t xml:space="preserve">Available in </w:t>
      </w:r>
      <w:r>
        <w:rPr>
          <w:i/>
          <w:iCs/>
        </w:rPr>
        <w:t xml:space="preserve">Works</w:t>
      </w:r>
      <w:r>
        <w:t xml:space="preserve">, </w:t>
      </w:r>
      <w:r>
        <w:rPr>
          <w:i/>
          <w:iCs/>
        </w:rPr>
        <w:t xml:space="preserve">4</w:t>
      </w:r>
      <w:r>
        <w:t xml:space="preserve">, </w:t>
      </w:r>
      <w:r>
        <w:rPr>
          <w:i/>
          <w:iCs/>
        </w:rPr>
        <w:t xml:space="preserve">The Great Awakening</w:t>
      </w:r>
      <w:r>
        <w:t xml:space="preserve">.</w:t>
      </w:r>
    </w:p>
  </w:footnote>
  <w:footnote w:id="129">
    <w:p>
      <w:pPr>
        <w:pStyle w:val="FootnoteText"/>
      </w:pPr>
      <w:r>
        <w:rPr>
          <w:rStyle w:val="FootnoteReference"/>
        </w:rPr>
        <w:footnoteRef/>
      </w:r>
      <w:r>
        <w:t xml:space="preserve">Cf. table 2 (pp. 77–79). Table 1 (pp. 74–77) schematically indicates the logical structure of the Discourse, which enveloped, so to speak, the historical flow of its development. See also Appendix A.</w:t>
      </w:r>
    </w:p>
  </w:footnote>
  <w:footnote w:id="130">
    <w:p>
      <w:pPr>
        <w:pStyle w:val="FootnoteText"/>
      </w:pPr>
      <w:r>
        <w:rPr>
          <w:rStyle w:val="FootnoteReference"/>
        </w:rPr>
        <w:footnoteRef/>
      </w:r>
      <w:r>
        <w:t xml:space="preserve">Note that the present edition is the only one, including Erskine's (from which all others have heretofore derived), that was prepared directly from JE's manuscript sermon booklets.</w:t>
      </w:r>
    </w:p>
  </w:footnote>
  <w:footnote w:id="131">
    <w:p>
      <w:pPr>
        <w:pStyle w:val="FootnoteText"/>
      </w:pPr>
      <w:r>
        <w:rPr>
          <w:rStyle w:val="FootnoteReference"/>
        </w:rPr>
        <w:footnoteRef/>
      </w:r>
      <w:r>
        <w:t xml:space="preserve">See Paul Ramsey's discussion "Edwards and His Antagonists" in </w:t>
      </w:r>
      <w:r>
        <w:rPr>
          <w:i/>
          <w:iCs/>
        </w:rPr>
        <w:t xml:space="preserve">Works</w:t>
      </w:r>
      <w:r>
        <w:t xml:space="preserve">, </w:t>
      </w:r>
      <w:r>
        <w:rPr>
          <w:i/>
          <w:iCs/>
        </w:rPr>
        <w:t xml:space="preserve">1</w:t>
      </w:r>
      <w:r>
        <w:t xml:space="preserve">, 65–118.</w:t>
      </w:r>
    </w:p>
  </w:footnote>
  <w:footnote w:id="132">
    <w:p>
      <w:pPr>
        <w:pStyle w:val="FootnoteText"/>
      </w:pPr>
      <w:r>
        <w:rPr>
          <w:rStyle w:val="FootnoteReference"/>
        </w:rPr>
        <w:footnoteRef/>
      </w:r>
      <w:r>
        <w:t xml:space="preserve">JE's title page identifies his chief antagonist. See </w:t>
      </w:r>
      <w:r>
        <w:rPr>
          <w:i/>
          <w:iCs/>
        </w:rPr>
        <w:t xml:space="preserve">Works</w:t>
      </w:r>
      <w:r>
        <w:t xml:space="preserve">, </w:t>
      </w:r>
      <w:r>
        <w:rPr>
          <w:i/>
          <w:iCs/>
        </w:rPr>
        <w:t xml:space="preserve">3</w:t>
      </w:r>
      <w:r>
        <w:t xml:space="preserve">, 68–70.</w:t>
      </w:r>
    </w:p>
  </w:footnote>
  <w:footnote w:id="133">
    <w:p>
      <w:pPr>
        <w:pStyle w:val="FootnoteText"/>
      </w:pPr>
      <w:r>
        <w:rPr>
          <w:rStyle w:val="FootnoteReference"/>
        </w:rPr>
        <w:footnoteRef/>
      </w:r>
      <w:r>
        <w:t xml:space="preserve">John E. Smith, who edited this treatise, calls attention to the background of JE's reading on the subject, demonstrating that even in this case he developed his position with reference to others' work. See </w:t>
      </w:r>
      <w:r>
        <w:rPr>
          <w:i/>
          <w:iCs/>
        </w:rPr>
        <w:t xml:space="preserve">Works</w:t>
      </w:r>
      <w:r>
        <w:t xml:space="preserve">, </w:t>
      </w:r>
      <w:r>
        <w:rPr>
          <w:i/>
          <w:iCs/>
        </w:rPr>
        <w:t xml:space="preserve">2</w:t>
      </w:r>
      <w:r>
        <w:t xml:space="preserve">, 52–73.</w:t>
      </w:r>
    </w:p>
  </w:footnote>
  <w:footnote w:id="134">
    <w:p>
      <w:pPr>
        <w:pStyle w:val="FootnoteText"/>
      </w:pPr>
      <w:r>
        <w:rPr>
          <w:rStyle w:val="FootnoteReference"/>
        </w:rPr>
        <w:footnoteRef/>
      </w:r>
      <w:r>
        <w:t xml:space="preserve">Originally published in 1907. Reissued in 1963 by Russell &amp; Russell, New York.</w:t>
      </w:r>
    </w:p>
  </w:footnote>
  <w:footnote w:id="135">
    <w:p>
      <w:pPr>
        <w:pStyle w:val="FootnoteText"/>
      </w:pPr>
      <w:r>
        <w:rPr>
          <w:rStyle w:val="FootnoteReference"/>
        </w:rPr>
        <w:footnoteRef/>
      </w:r>
      <w:r>
        <w:t xml:space="preserve">Apparently Joseph Bellamy was resident in the Edwards household in this general period.</w:t>
      </w:r>
    </w:p>
  </w:footnote>
  <w:footnote w:id="136">
    <w:p>
      <w:pPr>
        <w:pStyle w:val="FootnoteText"/>
      </w:pPr>
      <w:r>
        <w:rPr>
          <w:rStyle w:val="FootnoteReference"/>
        </w:rPr>
        <w:footnoteRef/>
      </w:r>
      <w:r>
        <w:t xml:space="preserve">For a description of the fate JE, his work, and his reputation suffered after his death, see Donald Weber, "The Image of Jonathan Edwards in American Culture," Ph.D. diss., Columbia Univ., 1978.</w:t>
      </w:r>
    </w:p>
  </w:footnote>
  <w:footnote w:id="137">
    <w:p>
      <w:pPr>
        <w:pStyle w:val="FootnoteText"/>
      </w:pPr>
      <w:r>
        <w:rPr>
          <w:rStyle w:val="FootnoteReference"/>
        </w:rPr>
        <w:footnoteRef/>
      </w:r>
      <w:r>
        <w:rPr>
          <w:i/>
          <w:iCs/>
        </w:rPr>
        <w:t xml:space="preserve">Oldtown Folks</w:t>
      </w:r>
      <w:r>
        <w:t xml:space="preserve">, ed. Henry F. May (Cambridge, Harvard Univ. Press, 1966), p. 387.</w:t>
      </w:r>
    </w:p>
  </w:footnote>
  <w:footnote w:id="138">
    <w:p>
      <w:pPr>
        <w:pStyle w:val="FootnoteText"/>
      </w:pPr>
      <w:r>
        <w:rPr>
          <w:rStyle w:val="FootnoteReference"/>
        </w:rPr>
        <w:footnoteRef/>
      </w:r>
      <w:r>
        <w:t xml:space="preserve">Ibid., p. 388.</w:t>
      </w:r>
    </w:p>
  </w:footnote>
  <w:footnote w:id="139">
    <w:p>
      <w:pPr>
        <w:pStyle w:val="FootnoteText"/>
      </w:pPr>
      <w:r>
        <w:rPr>
          <w:rStyle w:val="FootnoteReference"/>
        </w:rPr>
        <w:footnoteRef/>
      </w:r>
      <w:r>
        <w:t xml:space="preserve">See ibid., p. 9 and n. 12.</w:t>
      </w:r>
    </w:p>
  </w:footnote>
  <w:footnote w:id="140">
    <w:p>
      <w:pPr>
        <w:pStyle w:val="FootnoteText"/>
      </w:pPr>
      <w:r>
        <w:rPr>
          <w:rStyle w:val="FootnoteReference"/>
        </w:rPr>
        <w:footnoteRef/>
      </w:r>
      <w:r>
        <w:t xml:space="preserve">Ibid., p. 260.</w:t>
      </w:r>
    </w:p>
  </w:footnote>
  <w:footnote w:id="141">
    <w:p>
      <w:pPr>
        <w:pStyle w:val="FootnoteText"/>
      </w:pPr>
      <w:r>
        <w:rPr>
          <w:rStyle w:val="FootnoteReference"/>
        </w:rPr>
        <w:footnoteRef/>
      </w:r>
      <w:r>
        <w:t xml:space="preserve">E.g. the judgment, "It was his fate to devote his noble gifts to the thankless task of re-imprisoning the mind of New England within a system from which his nature and his powers summoned him to unshackle it." </w:t>
      </w:r>
      <w:r>
        <w:rPr>
          <w:i/>
          <w:iCs/>
        </w:rPr>
        <w:t xml:space="preserve">Main Currents in American Thought</w:t>
      </w:r>
      <w:r>
        <w:t xml:space="preserve">, Vol. 1, </w:t>
      </w:r>
      <w:r>
        <w:rPr>
          <w:i/>
          <w:iCs/>
        </w:rPr>
        <w:t xml:space="preserve">The Colonial Mind</w:t>
      </w:r>
      <w:r>
        <w:t xml:space="preserve">, </w:t>
      </w:r>
      <w:r>
        <w:rPr>
          <w:i/>
          <w:iCs/>
        </w:rPr>
        <w:t xml:space="preserve">1620–1800</w:t>
      </w:r>
      <w:r>
        <w:t xml:space="preserve"> (3 vols., New York, Harcourt Brace, 1958), p. 165. For section on JE, see pp. 155–65.</w:t>
      </w:r>
    </w:p>
  </w:footnote>
  <w:footnote w:id="142">
    <w:p>
      <w:pPr>
        <w:pStyle w:val="FootnoteText"/>
      </w:pPr>
      <w:r>
        <w:rPr>
          <w:rStyle w:val="FootnoteReference"/>
        </w:rPr>
        <w:footnoteRef/>
      </w:r>
      <w:r>
        <w:t xml:space="preserve">See </w:t>
      </w:r>
      <w:r>
        <w:rPr>
          <w:i/>
          <w:iCs/>
        </w:rPr>
        <w:t xml:space="preserve">The Puritan Mind</w:t>
      </w:r>
      <w:r>
        <w:t xml:space="preserve"> (New York, Henry Holt and Company, 1930; reprint, Ann Arbor, Univ. of Michigan Press, Ann Arbor Paperback, 1958).</w:t>
      </w:r>
    </w:p>
  </w:footnote>
  <w:footnote w:id="143">
    <w:p>
      <w:pPr>
        <w:pStyle w:val="FootnoteText"/>
      </w:pPr>
      <w:r>
        <w:rPr>
          <w:rStyle w:val="FootnoteReference"/>
        </w:rPr>
        <w:footnoteRef/>
      </w:r>
      <w:r>
        <w:t xml:space="preserve">First published by Chicago, Willett, Clark &amp; Company, 1937. Many times republished.</w:t>
      </w:r>
    </w:p>
  </w:footnote>
  <w:footnote w:id="144">
    <w:p>
      <w:pPr>
        <w:pStyle w:val="FootnoteText"/>
      </w:pPr>
      <w:r>
        <w:rPr>
          <w:rStyle w:val="FootnoteReference"/>
        </w:rPr>
        <w:footnoteRef/>
      </w:r>
      <w:r>
        <w:t xml:space="preserve">Most explicitly in the biographical study </w:t>
      </w:r>
      <w:r>
        <w:rPr>
          <w:i/>
          <w:iCs/>
        </w:rPr>
        <w:t xml:space="preserve">Jonathan Edwards</w:t>
      </w:r>
      <w:r>
        <w:t xml:space="preserve"> (New York, William Sloane Associates, 1949; reprint, New York, Meridian, 1959).</w:t>
      </w:r>
    </w:p>
  </w:footnote>
  <w:footnote w:id="145">
    <w:p>
      <w:pPr>
        <w:pStyle w:val="FootnoteText"/>
      </w:pPr>
      <w:r>
        <w:rPr>
          <w:rStyle w:val="FootnoteReference"/>
        </w:rPr>
        <w:footnoteRef/>
      </w:r>
      <w:r>
        <w:t xml:space="preserve">Haroutunian, </w:t>
      </w:r>
      <w:r>
        <w:rPr>
          <w:i/>
          <w:iCs/>
        </w:rPr>
        <w:t xml:space="preserve">Piety versus Moralism: The Passing of the New England Theology</w:t>
      </w:r>
      <w:r>
        <w:t xml:space="preserve"> (New York, Henry Holt and Company, 1932); Winslow, </w:t>
      </w:r>
      <w:r>
        <w:rPr>
          <w:i/>
          <w:iCs/>
        </w:rPr>
        <w:t xml:space="preserve">Jonathan Edwards</w:t>
      </w:r>
      <w:r>
        <w:t xml:space="preserve">; Faust and Johnson, eds., </w:t>
      </w:r>
      <w:r>
        <w:rPr>
          <w:i/>
          <w:iCs/>
        </w:rPr>
        <w:t xml:space="preserve">Jonathan Edwards: Representative Selections</w:t>
      </w:r>
      <w:r>
        <w:t xml:space="preserve">, American Writers Series, ed. Harry H. Clark (New York, American Book Co., 1935).</w:t>
      </w:r>
    </w:p>
  </w:footnote>
  <w:footnote w:id="146">
    <w:p>
      <w:pPr>
        <w:pStyle w:val="FootnoteText"/>
      </w:pPr>
      <w:r>
        <w:rPr>
          <w:rStyle w:val="FootnoteReference"/>
        </w:rPr>
        <w:footnoteRef/>
      </w:r>
      <w:r>
        <w:rPr>
          <w:i/>
          <w:iCs/>
        </w:rPr>
        <w:t xml:space="preserve">Monthly Review</w:t>
      </w:r>
      <w:r>
        <w:t xml:space="preserve">, </w:t>
      </w:r>
      <w:r>
        <w:rPr>
          <w:i/>
          <w:iCs/>
        </w:rPr>
        <w:t xml:space="preserve">52</w:t>
      </w:r>
      <w:r>
        <w:t xml:space="preserve"> (London, 1775). See Article 6, pp. 117–20.</w:t>
      </w:r>
    </w:p>
  </w:footnote>
  <w:footnote w:id="147">
    <w:p>
      <w:pPr>
        <w:pStyle w:val="FootnoteText"/>
      </w:pPr>
      <w:r>
        <w:rPr>
          <w:rStyle w:val="FootnoteReference"/>
        </w:rPr>
        <w:footnoteRef/>
      </w:r>
      <w:r>
        <w:t xml:space="preserve">Ibid., p. 117.</w:t>
      </w:r>
    </w:p>
  </w:footnote>
  <w:footnote w:id="148">
    <w:p>
      <w:pPr>
        <w:pStyle w:val="FootnoteText"/>
      </w:pPr>
      <w:r>
        <w:rPr>
          <w:rStyle w:val="FootnoteReference"/>
        </w:rPr>
        <w:footnoteRef/>
      </w:r>
      <w:r>
        <w:t xml:space="preserve">Ibid., p. 118.</w:t>
      </w:r>
    </w:p>
  </w:footnote>
  <w:footnote w:id="149">
    <w:p>
      <w:pPr>
        <w:pStyle w:val="FootnoteText"/>
      </w:pPr>
      <w:r>
        <w:rPr>
          <w:rStyle w:val="FootnoteReference"/>
        </w:rPr>
        <w:footnoteRef/>
      </w:r>
      <w:r>
        <w:t xml:space="preserve">Ibid., p. 119.</w:t>
      </w:r>
    </w:p>
  </w:footnote>
  <w:footnote w:id="150">
    <w:p>
      <w:pPr>
        <w:pStyle w:val="FootnoteText"/>
      </w:pPr>
      <w:r>
        <w:rPr>
          <w:rStyle w:val="FootnoteReference"/>
        </w:rPr>
        <w:footnoteRef/>
      </w:r>
      <w:r>
        <w:t xml:space="preserve">Ibid.</w:t>
      </w:r>
    </w:p>
  </w:footnote>
  <w:footnote w:id="151">
    <w:p>
      <w:pPr>
        <w:pStyle w:val="FootnoteText"/>
      </w:pPr>
      <w:r>
        <w:rPr>
          <w:rStyle w:val="FootnoteReference"/>
        </w:rPr>
        <w:footnoteRef/>
      </w:r>
      <w:r>
        <w:t xml:space="preserve">Ibid., p. 120.</w:t>
      </w:r>
    </w:p>
  </w:footnote>
  <w:footnote w:id="152">
    <w:p>
      <w:pPr>
        <w:pStyle w:val="FootnoteText"/>
      </w:pPr>
      <w:r>
        <w:rPr>
          <w:rStyle w:val="FootnoteReference"/>
        </w:rPr>
        <w:footnoteRef/>
      </w:r>
      <w:r>
        <w:t xml:space="preserve">London, Rivington, 1827.</w:t>
      </w:r>
    </w:p>
  </w:footnote>
  <w:footnote w:id="153">
    <w:p>
      <w:pPr>
        <w:pStyle w:val="FootnoteText"/>
      </w:pPr>
      <w:r>
        <w:rPr>
          <w:rStyle w:val="FootnoteReference"/>
        </w:rPr>
        <w:footnoteRef/>
      </w:r>
      <w:r>
        <w:t xml:space="preserve">Grinfield, </w:t>
      </w:r>
      <w:r>
        <w:rPr>
          <w:i/>
          <w:iCs/>
        </w:rPr>
        <w:t xml:space="preserve">Christian Dispensation</w:t>
      </w:r>
      <w:r>
        <w:t xml:space="preserve">, p. xvii.</w:t>
      </w:r>
    </w:p>
  </w:footnote>
  <w:footnote w:id="154">
    <w:p>
      <w:pPr>
        <w:pStyle w:val="FootnoteText"/>
      </w:pPr>
      <w:r>
        <w:rPr>
          <w:rStyle w:val="FootnoteReference"/>
        </w:rPr>
        <w:footnoteRef/>
      </w:r>
      <w:r>
        <w:t xml:space="preserve">Ibid.</w:t>
      </w:r>
    </w:p>
  </w:footnote>
  <w:footnote w:id="155">
    <w:p>
      <w:pPr>
        <w:pStyle w:val="FootnoteText"/>
      </w:pPr>
      <w:r>
        <w:rPr>
          <w:rStyle w:val="FootnoteReference"/>
        </w:rPr>
        <w:footnoteRef/>
      </w:r>
      <w:r>
        <w:t xml:space="preserve">See Kraus, </w:t>
      </w:r>
      <w:r>
        <w:rPr>
          <w:i/>
          <w:iCs/>
        </w:rPr>
        <w:t xml:space="preserve">Dispensationalism in America</w:t>
      </w:r>
      <w:r>
        <w:t xml:space="preserve">.</w:t>
      </w:r>
    </w:p>
  </w:footnote>
  <w:footnote w:id="156">
    <w:p>
      <w:pPr>
        <w:pStyle w:val="FootnoteText"/>
      </w:pPr>
      <w:r>
        <w:rPr>
          <w:rStyle w:val="FootnoteReference"/>
        </w:rPr>
        <w:footnoteRef/>
      </w:r>
      <w:r>
        <w:t xml:space="preserve">Grinfield, p. 237.</w:t>
      </w:r>
    </w:p>
  </w:footnote>
  <w:footnote w:id="157">
    <w:p>
      <w:pPr>
        <w:pStyle w:val="FootnoteText"/>
      </w:pPr>
      <w:r>
        <w:rPr>
          <w:rStyle w:val="FootnoteReference"/>
        </w:rPr>
        <w:footnoteRef/>
      </w:r>
      <w:r>
        <w:t xml:space="preserve">Ibid., p. 337.</w:t>
      </w:r>
    </w:p>
  </w:footnote>
  <w:footnote w:id="158">
    <w:p>
      <w:pPr>
        <w:pStyle w:val="FootnoteText"/>
      </w:pPr>
      <w:r>
        <w:rPr>
          <w:rStyle w:val="FootnoteReference"/>
        </w:rPr>
        <w:footnoteRef/>
      </w:r>
      <w:r>
        <w:t xml:space="preserve">Ibid., p. 427.</w:t>
      </w:r>
    </w:p>
  </w:footnote>
  <w:footnote w:id="159">
    <w:p>
      <w:pPr>
        <w:pStyle w:val="FootnoteText"/>
      </w:pPr>
      <w:r>
        <w:rPr>
          <w:rStyle w:val="FootnoteReference"/>
        </w:rPr>
        <w:footnoteRef/>
      </w:r>
      <w:r>
        <w:t xml:space="preserve">One example that supports this larger interpretation of the influential role JE's </w:t>
      </w:r>
      <w:r>
        <w:rPr>
          <w:i/>
          <w:iCs/>
        </w:rPr>
        <w:t xml:space="preserve">Work of Redemption</w:t>
      </w:r>
      <w:r>
        <w:t xml:space="preserve"> played in popular culture comes from the early years of Mt. Holyoke Female Seminary. Fidelia Fisk recalls how Mary Lyon regularly read it aloud to her students "between the morning and afternoon service of the Sabbath." This kind of evidence, while anecdotal, suggests how JE's book shaped the mental world of Americans in the nineteenth century. See </w:t>
      </w:r>
      <w:r>
        <w:rPr>
          <w:i/>
          <w:iCs/>
        </w:rPr>
        <w:t xml:space="preserve">Recollections of Mary Lyon</w:t>
      </w:r>
      <w:r>
        <w:t xml:space="preserve"> (Boston, American Tract Society, [1866]), pp. 103–04. I am indebted to Lisa Drakeman for this reference.</w:t>
      </w:r>
    </w:p>
  </w:footnote>
  <w:footnote w:id="160">
    <w:p>
      <w:pPr>
        <w:pStyle w:val="FootnoteText"/>
      </w:pPr>
      <w:r>
        <w:rPr>
          <w:rStyle w:val="FootnoteReference"/>
        </w:rPr>
        <w:footnoteRef/>
      </w:r>
      <w:r>
        <w:t xml:space="preserve">Bancroft, </w:t>
      </w:r>
      <w:r>
        <w:rPr>
          <w:i/>
          <w:iCs/>
        </w:rPr>
        <w:t xml:space="preserve">History of the United States</w:t>
      </w:r>
      <w:r>
        <w:t xml:space="preserve">, 2d ed. (Boston, Little and Brown, 1840).</w:t>
      </w:r>
    </w:p>
  </w:footnote>
  <w:footnote w:id="161">
    <w:p>
      <w:pPr>
        <w:pStyle w:val="FootnoteText"/>
      </w:pPr>
      <w:r>
        <w:rPr>
          <w:rStyle w:val="FootnoteReference"/>
        </w:rPr>
        <w:footnoteRef/>
      </w:r>
      <w:r>
        <w:t xml:space="preserve">Ibid., p. 398.</w:t>
      </w:r>
    </w:p>
  </w:footnote>
  <w:footnote w:id="162">
    <w:p>
      <w:pPr>
        <w:pStyle w:val="FootnoteText"/>
      </w:pPr>
      <w:r>
        <w:rPr>
          <w:rStyle w:val="FootnoteReference"/>
        </w:rPr>
        <w:footnoteRef/>
      </w:r>
      <w:r>
        <w:t xml:space="preserve">Ibid.</w:t>
      </w:r>
    </w:p>
  </w:footnote>
  <w:footnote w:id="163">
    <w:p>
      <w:pPr>
        <w:pStyle w:val="FootnoteText"/>
      </w:pPr>
      <w:r>
        <w:rPr>
          <w:rStyle w:val="FootnoteReference"/>
        </w:rPr>
        <w:footnoteRef/>
      </w:r>
      <w:r>
        <w:t xml:space="preserve">Ibid., p. 399.</w:t>
      </w:r>
    </w:p>
  </w:footnote>
  <w:footnote w:id="164">
    <w:p>
      <w:pPr>
        <w:pStyle w:val="FootnoteText"/>
      </w:pPr>
      <w:r>
        <w:rPr>
          <w:rStyle w:val="FootnoteReference"/>
        </w:rPr>
        <w:footnoteRef/>
      </w:r>
      <w:r>
        <w:t xml:space="preserve">"Jonathan Edwards: A New Departure in Eschatology," </w:t>
      </w:r>
      <w:r>
        <w:rPr>
          <w:i/>
          <w:iCs/>
        </w:rPr>
        <w:t xml:space="preserve">Church History</w:t>
      </w:r>
      <w:r>
        <w:t xml:space="preserve">, </w:t>
      </w:r>
      <w:r>
        <w:rPr>
          <w:i/>
          <w:iCs/>
        </w:rPr>
        <w:t xml:space="preserve">28</w:t>
      </w:r>
      <w:r>
        <w:t xml:space="preserve"> (1959), 25–40. A full discussion of the issues raised by Goen's essay may be found in my "History, Redemption, and the Millennium," ch. 8 of </w:t>
      </w:r>
      <w:r>
        <w:rPr>
          <w:i/>
          <w:iCs/>
        </w:rPr>
        <w:t xml:space="preserve">Jonathan Edwards and the American Experience</w:t>
      </w:r>
      <w:r>
        <w:t xml:space="preserve">, ed. Nathan O. Hatch and Harry S. Stout (New York, Oxford University Press, 1988), pp. 131–41.</w:t>
      </w:r>
    </w:p>
  </w:footnote>
  <w:footnote w:id="165">
    <w:p>
      <w:pPr>
        <w:pStyle w:val="FootnoteText"/>
      </w:pPr>
      <w:r>
        <w:rPr>
          <w:rStyle w:val="FootnoteReference"/>
        </w:rPr>
        <w:footnoteRef/>
      </w:r>
      <w:r>
        <w:t xml:space="preserve">There is a very large literature on millenarianism in sixteenth- and seventeenth-century England. Among many titles the following serve as useful introductions: Bryan W. Ball, </w:t>
      </w:r>
      <w:r>
        <w:rPr>
          <w:i/>
          <w:iCs/>
        </w:rPr>
        <w:t xml:space="preserve">A Great Expectation: Eschatological Thought in English Protestantism to 1660</w:t>
      </w:r>
      <w:r>
        <w:t xml:space="preserve"> (Leiden, E.J. Brill, 1975); Paul Christianson, </w:t>
      </w:r>
      <w:r>
        <w:rPr>
          <w:i/>
          <w:iCs/>
        </w:rPr>
        <w:t xml:space="preserve">Reformers and Babylon: English Apocalyptic Visions from the Reformation to the Eve of the Civil War</w:t>
      </w:r>
      <w:r>
        <w:t xml:space="preserve"> (Toronto, Univ. of Toronto Press, 1978). For the New England background see A. Joy Gilsdorf, "The Puritan Apocalypse: New England Eschatology in the Seventeenth Century," Ph.D. diss., Yale Univ., 1965.</w:t>
      </w:r>
    </w:p>
  </w:footnote>
  <w:footnote w:id="166">
    <w:p>
      <w:pPr>
        <w:pStyle w:val="FootnoteText"/>
      </w:pPr>
      <w:r>
        <w:rPr>
          <w:rStyle w:val="FootnoteReference"/>
        </w:rPr>
        <w:footnoteRef/>
      </w:r>
      <w:r>
        <w:rPr>
          <w:i/>
          <w:iCs/>
        </w:rPr>
        <w:t xml:space="preserve">Visionary Republic: Millennial Themes in American Thought</w:t>
      </w:r>
      <w:r>
        <w:t xml:space="preserve">, </w:t>
      </w:r>
      <w:r>
        <w:rPr>
          <w:i/>
          <w:iCs/>
        </w:rPr>
        <w:t xml:space="preserve">1756–1800</w:t>
      </w:r>
      <w:r>
        <w:t xml:space="preserve"> (Cambridge, Cambridge Univ. Press, 1985).</w:t>
      </w:r>
    </w:p>
  </w:footnote>
  <w:footnote w:id="167">
    <w:p>
      <w:pPr>
        <w:pStyle w:val="FootnoteText"/>
      </w:pPr>
      <w:r>
        <w:rPr>
          <w:rStyle w:val="FootnoteReference"/>
        </w:rPr>
        <w:footnoteRef/>
      </w:r>
      <w:r>
        <w:t xml:space="preserve">Bellamy's discussion of the millennium (originally published in 1758), together with JE's "Humble Attempt" and David Austin's "Downfall of the Mystical Babylon," were published by Austin as </w:t>
      </w:r>
      <w:r>
        <w:rPr>
          <w:i/>
          <w:iCs/>
        </w:rPr>
        <w:t xml:space="preserve">The Millennium</w:t>
      </w:r>
      <w:r>
        <w:t xml:space="preserve">, </w:t>
      </w:r>
      <w:r>
        <w:rPr>
          <w:i/>
          <w:iCs/>
        </w:rPr>
        <w:t xml:space="preserve">or the Thousand Years of Prosperity</w:t>
      </w:r>
      <w:r>
        <w:t xml:space="preserve"> (Elizabeth Town, N.J., Shepard Kollock, 1794). Hopkins' </w:t>
      </w:r>
      <w:r>
        <w:rPr>
          <w:i/>
          <w:iCs/>
        </w:rPr>
        <w:t xml:space="preserve">Treatise on the Millennium</w:t>
      </w:r>
      <w:r>
        <w:t xml:space="preserve"> was published at Boston (Thomas and Andrews, 1793). Austin's cause became an obsession, eventually leading him to construct wharves and other structures to facilitate the return of the Jews to the Holy Land where the messiah would appear. For a brief sketch of Austin, see </w:t>
      </w:r>
      <w:r>
        <w:rPr>
          <w:i/>
          <w:iCs/>
        </w:rPr>
        <w:t xml:space="preserve">Dictionary of American Biography</w:t>
      </w:r>
      <w:r>
        <w:t xml:space="preserve">, ed. Allen Johnson (New York, Scribner's, 1956), </w:t>
      </w:r>
      <w:r>
        <w:rPr>
          <w:i/>
          <w:iCs/>
        </w:rPr>
        <w:t xml:space="preserve">1</w:t>
      </w:r>
      <w:r>
        <w:t xml:space="preserve">, 432.</w:t>
      </w:r>
    </w:p>
  </w:footnote>
  <w:footnote w:id="168">
    <w:p>
      <w:pPr>
        <w:pStyle w:val="FootnoteText"/>
      </w:pPr>
      <w:r>
        <w:rPr>
          <w:rStyle w:val="FootnoteReference"/>
        </w:rPr>
        <w:footnoteRef/>
      </w:r>
      <w:r>
        <w:t xml:space="preserve">Bloch, </w:t>
      </w:r>
      <w:r>
        <w:rPr>
          <w:i/>
          <w:iCs/>
        </w:rPr>
        <w:t xml:space="preserve">Visionary Republic</w:t>
      </w:r>
      <w:r>
        <w:t xml:space="preserve">, p. 131. A more analytical approach to millennial thought in the period is James West Davidson, </w:t>
      </w:r>
      <w:r>
        <w:rPr>
          <w:i/>
          <w:iCs/>
        </w:rPr>
        <w:t xml:space="preserve">The Logic of Millennial Thought: Eighteenth Century New England</w:t>
      </w:r>
      <w:r>
        <w:t xml:space="preserve"> (New Haven, Yale Univ. Press, 1977).</w:t>
      </w:r>
    </w:p>
  </w:footnote>
  <w:footnote w:id="169">
    <w:p>
      <w:pPr>
        <w:pStyle w:val="FootnoteText"/>
      </w:pPr>
      <w:r>
        <w:rPr>
          <w:rStyle w:val="FootnoteReference"/>
        </w:rPr>
        <w:footnoteRef/>
      </w:r>
      <w:r>
        <w:t xml:space="preserve">See Nathan O. Hatch, </w:t>
      </w:r>
      <w:r>
        <w:rPr>
          <w:i/>
          <w:iCs/>
        </w:rPr>
        <w:t xml:space="preserve">The Sacred Cause of Liberty: Republican Thought and the Millennium in Revolutionary New England</w:t>
      </w:r>
      <w:r>
        <w:t xml:space="preserve"> (New Haven, Yale Univ. Press, 1977); Alan Heimert, </w:t>
      </w:r>
      <w:r>
        <w:rPr>
          <w:i/>
          <w:iCs/>
        </w:rPr>
        <w:t xml:space="preserve">Religion and the American Mind: From the Great Awakening to the Revolution</w:t>
      </w:r>
      <w:r>
        <w:t xml:space="preserve"> (Cambridge, Harvard Univ. Press, 1966).</w:t>
      </w:r>
    </w:p>
  </w:footnote>
  <w:footnote w:id="170">
    <w:p>
      <w:pPr>
        <w:pStyle w:val="FootnoteText"/>
      </w:pPr>
      <w:r>
        <w:rPr>
          <w:rStyle w:val="FootnoteReference"/>
        </w:rPr>
        <w:footnoteRef/>
      </w:r>
      <w:r>
        <w:t xml:space="preserve">JE's influence on the Shaker elaboration of their theology may be seen in </w:t>
      </w:r>
      <w:r>
        <w:rPr>
          <w:i/>
          <w:iCs/>
        </w:rPr>
        <w:t xml:space="preserve">The Testimony of Christ's Second Appearing Containing a General Statements of All Things Pertaining to the Faith and Practice of the Church of God in This Latter-Day</w:t>
      </w:r>
      <w:r>
        <w:t xml:space="preserve">, ed. David Darrow, John Meacham, and Benjamin S. Youngs (Lebanon, Ohio, John M'Clean, 1808). For example, on pp. 204–05, in the context of a discussion of the Antichrist and the reign of Constantine, JE is identified as "that eminent Protestant writer," and his "History of Redemption" is quoted at length. I am indebted to Stephen J. Stein for this reference.</w:t>
      </w:r>
    </w:p>
  </w:footnote>
  <w:footnote w:id="171">
    <w:p>
      <w:pPr>
        <w:pStyle w:val="FootnoteText"/>
      </w:pPr>
      <w:r>
        <w:rPr>
          <w:rStyle w:val="FootnoteReference"/>
        </w:rPr>
        <w:footnoteRef/>
      </w:r>
      <w:r>
        <w:t xml:space="preserve">P. 152.</w:t>
      </w:r>
    </w:p>
  </w:footnote>
  <w:footnote w:id="172">
    <w:p>
      <w:pPr>
        <w:pStyle w:val="FootnoteText"/>
      </w:pPr>
      <w:r>
        <w:rPr>
          <w:rStyle w:val="FootnoteReference"/>
        </w:rPr>
        <w:footnoteRef/>
      </w:r>
      <w:r>
        <w:t xml:space="preserve">New York, Henry Holt and Company, 1929. Niebuhr's summary is in </w:t>
      </w:r>
      <w:r>
        <w:rPr>
          <w:i/>
          <w:iCs/>
        </w:rPr>
        <w:t xml:space="preserve">The Kingdom of God in America</w:t>
      </w:r>
      <w:r>
        <w:t xml:space="preserve">, p. vii.</w:t>
      </w:r>
    </w:p>
  </w:footnote>
  <w:footnote w:id="173">
    <w:p>
      <w:pPr>
        <w:pStyle w:val="FootnoteText"/>
      </w:pPr>
      <w:r>
        <w:rPr>
          <w:rStyle w:val="FootnoteReference"/>
        </w:rPr>
        <w:footnoteRef/>
      </w:r>
      <w:r>
        <w:t xml:space="preserve">Niebuhr, </w:t>
      </w:r>
      <w:r>
        <w:rPr>
          <w:i/>
          <w:iCs/>
        </w:rPr>
        <w:t xml:space="preserve">Kingdom of God</w:t>
      </w:r>
      <w:r>
        <w:t xml:space="preserve">, p. 138.</w:t>
      </w:r>
    </w:p>
  </w:footnote>
  <w:footnote w:id="174">
    <w:p>
      <w:pPr>
        <w:pStyle w:val="FootnoteText"/>
      </w:pPr>
      <w:r>
        <w:rPr>
          <w:rStyle w:val="FootnoteReference"/>
        </w:rPr>
        <w:footnoteRef/>
      </w:r>
      <w:r>
        <w:t xml:space="preserve">Miller, </w:t>
      </w:r>
      <w:r>
        <w:rPr>
          <w:i/>
          <w:iCs/>
        </w:rPr>
        <w:t xml:space="preserve">Jonathan Edwards</w:t>
      </w:r>
      <w:r>
        <w:t xml:space="preserve">, p. 309.</w:t>
      </w:r>
    </w:p>
  </w:footnote>
  <w:footnote w:id="175">
    <w:p>
      <w:pPr>
        <w:pStyle w:val="FootnoteText"/>
      </w:pPr>
      <w:r>
        <w:rPr>
          <w:rStyle w:val="FootnoteReference"/>
        </w:rPr>
        <w:footnoteRef/>
      </w:r>
      <w:r>
        <w:t xml:space="preserve">Ibid.</w:t>
      </w:r>
    </w:p>
  </w:footnote>
  <w:footnote w:id="176">
    <w:p>
      <w:pPr>
        <w:pStyle w:val="FootnoteText"/>
      </w:pPr>
      <w:r>
        <w:rPr>
          <w:rStyle w:val="FootnoteReference"/>
        </w:rPr>
        <w:footnoteRef/>
      </w:r>
      <w:r>
        <w:t xml:space="preserve">Ibid., p. 310.</w:t>
      </w:r>
    </w:p>
  </w:footnote>
  <w:footnote w:id="177">
    <w:p>
      <w:pPr>
        <w:pStyle w:val="FootnoteText"/>
      </w:pPr>
      <w:r>
        <w:rPr>
          <w:rStyle w:val="FootnoteReference"/>
        </w:rPr>
        <w:footnoteRef/>
      </w:r>
      <w:r>
        <w:t xml:space="preserve">Ibid., p. 313.</w:t>
      </w:r>
    </w:p>
  </w:footnote>
  <w:footnote w:id="178">
    <w:p>
      <w:pPr>
        <w:pStyle w:val="FootnoteText"/>
      </w:pPr>
      <w:r>
        <w:rPr>
          <w:rStyle w:val="FootnoteReference"/>
        </w:rPr>
        <w:footnoteRef/>
      </w:r>
      <w:r>
        <w:t xml:space="preserve">Ibid., pp. 315–18.</w:t>
      </w:r>
    </w:p>
  </w:footnote>
  <w:footnote w:id="179">
    <w:p>
      <w:pPr>
        <w:pStyle w:val="FootnoteText"/>
      </w:pPr>
      <w:r>
        <w:rPr>
          <w:rStyle w:val="FootnoteReference"/>
        </w:rPr>
        <w:footnoteRef/>
      </w:r>
      <w:r>
        <w:t xml:space="preserve">Gay, </w:t>
      </w:r>
      <w:r>
        <w:rPr>
          <w:i/>
          <w:iCs/>
        </w:rPr>
        <w:t xml:space="preserve">A Loss of Mastery: Puritan Historians in Colonial America</w:t>
      </w:r>
      <w:r>
        <w:t xml:space="preserve"> (1966; reprint, New York, Vintage, 1968), pp. 93–94.</w:t>
      </w:r>
    </w:p>
  </w:footnote>
  <w:footnote w:id="180">
    <w:p>
      <w:pPr>
        <w:pStyle w:val="FootnoteText"/>
      </w:pPr>
      <w:r>
        <w:rPr>
          <w:rStyle w:val="FootnoteReference"/>
        </w:rPr>
        <w:footnoteRef/>
      </w:r>
      <w:r>
        <w:t xml:space="preserve">Ibid., p. 97.</w:t>
      </w:r>
    </w:p>
  </w:footnote>
  <w:footnote w:id="181">
    <w:p>
      <w:pPr>
        <w:pStyle w:val="FootnoteText"/>
      </w:pPr>
      <w:r>
        <w:rPr>
          <w:rStyle w:val="FootnoteReference"/>
        </w:rPr>
        <w:footnoteRef/>
      </w:r>
      <w:r>
        <w:t xml:space="preserve">Successively, William Bradford, Cotton Mather, and then Jonathan Edwards. Peter Gay's interpretation should be compared with such criticism of Miller as Vincent Tomas, "The Modernity of Jonathan Edwards," </w:t>
      </w:r>
      <w:r>
        <w:rPr>
          <w:i/>
          <w:iCs/>
        </w:rPr>
        <w:t xml:space="preserve">New England Quarterly</w:t>
      </w:r>
      <w:r>
        <w:t xml:space="preserve">, </w:t>
      </w:r>
      <w:r>
        <w:rPr>
          <w:i/>
          <w:iCs/>
        </w:rPr>
        <w:t xml:space="preserve">25</w:t>
      </w:r>
      <w:r>
        <w:t xml:space="preserve"> (1952), 60–84.</w:t>
      </w:r>
    </w:p>
  </w:footnote>
  <w:footnote w:id="182">
    <w:p>
      <w:pPr>
        <w:pStyle w:val="FootnoteText"/>
      </w:pPr>
      <w:r>
        <w:rPr>
          <w:rStyle w:val="FootnoteReference"/>
        </w:rPr>
        <w:footnoteRef/>
      </w:r>
      <w:r>
        <w:t xml:space="preserve">Originally published in </w:t>
      </w:r>
      <w:r>
        <w:rPr>
          <w:i/>
          <w:iCs/>
        </w:rPr>
        <w:t xml:space="preserve">Eighteenth Century Studies</w:t>
      </w:r>
      <w:r>
        <w:t xml:space="preserve">, </w:t>
      </w:r>
      <w:r>
        <w:rPr>
          <w:i/>
          <w:iCs/>
        </w:rPr>
        <w:t xml:space="preserve">8</w:t>
      </w:r>
      <w:r>
        <w:t xml:space="preserve"> (1975), 300–14. Reprinted in </w:t>
      </w:r>
      <w:r>
        <w:rPr>
          <w:i/>
          <w:iCs/>
        </w:rPr>
        <w:t xml:space="preserve">Critical Essays on Jonathan Edwards</w:t>
      </w:r>
      <w:r>
        <w:t xml:space="preserve">, ed. Williams J. Scheick (Boston, G.K. Hall, 1980). See p. 178.</w:t>
      </w:r>
    </w:p>
  </w:footnote>
  <w:footnote w:id="183">
    <w:p>
      <w:pPr>
        <w:pStyle w:val="FootnoteText"/>
      </w:pPr>
      <w:r>
        <w:rPr>
          <w:rStyle w:val="FootnoteReference"/>
        </w:rPr>
        <w:footnoteRef/>
      </w:r>
      <w:r>
        <w:t xml:space="preserve">Scheick, </w:t>
      </w:r>
      <w:r>
        <w:rPr>
          <w:i/>
          <w:iCs/>
        </w:rPr>
        <w:t xml:space="preserve">Critical Essays</w:t>
      </w:r>
      <w:r>
        <w:t xml:space="preserve">, p. 178.</w:t>
      </w:r>
    </w:p>
  </w:footnote>
  <w:footnote w:id="184">
    <w:p>
      <w:pPr>
        <w:pStyle w:val="FootnoteText"/>
      </w:pPr>
      <w:r>
        <w:rPr>
          <w:rStyle w:val="FootnoteReference"/>
        </w:rPr>
        <w:footnoteRef/>
      </w:r>
      <w:r>
        <w:t xml:space="preserve">Begins </w:t>
      </w:r>
      <w:r>
        <w:rPr>
          <w:i/>
          <w:iCs/>
        </w:rPr>
        <w:t xml:space="preserve">1.27v</w:t>
      </w:r>
      <w:r>
        <w:t xml:space="preserve"> at bottom, continues through </w:t>
      </w:r>
      <w:r>
        <w:rPr>
          <w:i/>
          <w:iCs/>
        </w:rPr>
        <w:t xml:space="preserve">1.28r</w:t>
      </w:r>
      <w:r>
        <w:t xml:space="preserve">; pp. 144–45. But see the distinction he develops from </w:t>
      </w:r>
      <w:r>
        <w:rPr>
          <w:i/>
          <w:iCs/>
        </w:rPr>
        <w:t xml:space="preserve">1.7r</w:t>
      </w:r>
      <w:r>
        <w:t xml:space="preserve"> at the bottom through </w:t>
      </w:r>
      <w:r>
        <w:rPr>
          <w:i/>
          <w:iCs/>
        </w:rPr>
        <w:t xml:space="preserve">1.9r</w:t>
      </w:r>
      <w:r>
        <w:t xml:space="preserve">; pp. 120–22.</w:t>
      </w:r>
    </w:p>
  </w:footnote>
  <w:footnote w:id="185">
    <w:p>
      <w:pPr>
        <w:pStyle w:val="FootnoteText"/>
      </w:pPr>
      <w:r>
        <w:rPr>
          <w:rStyle w:val="FootnoteReference"/>
        </w:rPr>
        <w:footnoteRef/>
      </w:r>
      <w:r>
        <w:t xml:space="preserve">See Kimnach, "Literary Techniques"; and "The Brazen Trumpet," in </w:t>
      </w:r>
      <w:r>
        <w:rPr>
          <w:i/>
          <w:iCs/>
        </w:rPr>
        <w:t xml:space="preserve">Jonathan Edward</w:t>
      </w:r>
      <w:r>
        <w:t xml:space="preserve">, </w:t>
      </w:r>
      <w:r>
        <w:rPr>
          <w:i/>
          <w:iCs/>
        </w:rPr>
        <w:t xml:space="preserve">His Life Influence</w:t>
      </w:r>
      <w:r>
        <w:t xml:space="preserve">, ed. Charles Angoff. A discussion of JE's preaching is forthcoming in </w:t>
      </w:r>
      <w:r>
        <w:rPr>
          <w:i/>
          <w:iCs/>
        </w:rPr>
        <w:t xml:space="preserve">Works</w:t>
      </w:r>
      <w:r>
        <w:t xml:space="preserve"> (Yale ed.), </w:t>
      </w:r>
      <w:r>
        <w:rPr>
          <w:i/>
          <w:iCs/>
        </w:rPr>
        <w:t xml:space="preserve">Early Sermons</w:t>
      </w:r>
      <w:r>
        <w:t xml:space="preserve">, ed. Wilson Kimnach.</w:t>
      </w:r>
    </w:p>
  </w:footnote>
  <w:footnote w:id="186">
    <w:p>
      <w:pPr>
        <w:pStyle w:val="FootnoteText"/>
      </w:pPr>
      <w:r>
        <w:rPr>
          <w:rStyle w:val="FootnoteReference"/>
        </w:rPr>
        <w:footnoteRef/>
      </w:r>
      <w:r>
        <w:rPr>
          <w:i/>
          <w:iCs/>
        </w:rPr>
        <w:t xml:space="preserve">Works</w:t>
      </w:r>
      <w:r>
        <w:t xml:space="preserve">, </w:t>
      </w:r>
      <w:r>
        <w:rPr>
          <w:i/>
          <w:iCs/>
        </w:rPr>
        <w:t xml:space="preserve">1</w:t>
      </w:r>
      <w:r>
        <w:t xml:space="preserve">, </w:t>
      </w:r>
      <w:r>
        <w:rPr>
          <w:i/>
          <w:iCs/>
        </w:rPr>
        <w:t xml:space="preserve">5</w:t>
      </w:r>
      <w:r>
        <w:t xml:space="preserve">, and </w:t>
      </w:r>
      <w:r>
        <w:rPr>
          <w:i/>
          <w:iCs/>
        </w:rPr>
        <w:t xml:space="preserve">6</w:t>
      </w:r>
      <w:r>
        <w:t xml:space="preserve">, respectively.</w:t>
      </w:r>
    </w:p>
  </w:footnote>
  <w:footnote w:id="187">
    <w:p>
      <w:pPr>
        <w:pStyle w:val="FootnoteText"/>
      </w:pPr>
      <w:r>
        <w:rPr>
          <w:rStyle w:val="FootnoteReference"/>
        </w:rPr>
        <w:footnoteRef/>
      </w:r>
      <w:r>
        <w:t xml:space="preserve">See discussion at the beginning of the introduction, pp. 1–2.</w:t>
      </w:r>
    </w:p>
  </w:footnote>
  <w:footnote w:id="188">
    <w:p>
      <w:pPr>
        <w:pStyle w:val="FootnoteText"/>
      </w:pPr>
      <w:r>
        <w:rPr>
          <w:rStyle w:val="FootnoteReference"/>
        </w:rPr>
        <w:footnoteRef/>
      </w:r>
      <w:r>
        <w:t xml:space="preserve">For purposes of consistency I have used the following edition of the Authorized Version: New York, Thomas Nelson and Sons, 1903. This is a relatively modern and widely used edition, which provides punctuation and spelling (both of which have changed over time in the King James Bible) comparable to my usage in the text.</w:t>
      </w:r>
    </w:p>
  </w:footnote>
  <w:footnote w:id="189">
    <w:p>
      <w:pPr>
        <w:pStyle w:val="FootnoteText"/>
      </w:pPr>
      <w:r>
        <w:rPr>
          <w:rStyle w:val="FootnoteReference"/>
        </w:rPr>
        <w:footnoteRef/>
      </w:r>
      <w:r>
        <w:t xml:space="preserve">Each movement to a new booklet, to a new leaf, or from verso to recto of a leaf will be noted in that order: booklet, leaf, side. This, the first entry in booklet 1, first leaf, recto, is thus </w:t>
      </w:r>
      <w:r>
        <w:rPr>
          <w:i/>
          <w:iCs/>
        </w:rPr>
        <w:t xml:space="preserve">1.1r</w:t>
      </w:r>
      <w:r>
        <w:t xml:space="preserve">.</w:t>
      </w:r>
    </w:p>
  </w:footnote>
  <w:footnote w:id="190">
    <w:p>
      <w:pPr>
        <w:pStyle w:val="FootnoteText"/>
      </w:pPr>
      <w:r>
        <w:rPr>
          <w:rStyle w:val="FootnoteReference"/>
        </w:rPr>
        <w:footnoteRef/>
      </w:r>
      <w:r>
        <w:t xml:space="preserve">Top corner of first leaf worn away; bracketed words supplied from biblical text.</w:t>
      </w:r>
    </w:p>
  </w:footnote>
  <w:footnote w:id="191">
    <w:p>
      <w:pPr>
        <w:pStyle w:val="FootnoteText"/>
      </w:pPr>
      <w:r>
        <w:rPr>
          <w:rStyle w:val="FootnoteReference"/>
        </w:rPr>
        <w:footnoteRef/>
      </w:r>
      <w:r>
        <w:t xml:space="preserve">Edwards' (hereafter JE) numbering of the divisions of his sermons is inconsistent. I have left JE's numbers in the body of the text, but in italicized notes I supply numbers or letters corresponding to the system given in table 1, pp. 74–77, and Appendix A, pp. 531–42. In this instance both are </w:t>
      </w:r>
      <w:r>
        <w:rPr>
          <w:i/>
          <w:iCs/>
        </w:rPr>
        <w:t xml:space="preserve">1</w:t>
      </w:r>
      <w:r>
        <w:t xml:space="preserve">.</w:t>
      </w:r>
    </w:p>
  </w:footnote>
  <w:footnote w:id="192">
    <w:p>
      <w:pPr>
        <w:pStyle w:val="FootnoteText"/>
      </w:pPr>
      <w:r>
        <w:rPr>
          <w:rStyle w:val="FootnoteReference"/>
        </w:rPr>
        <w:footnoteRef/>
      </w:r>
      <w:r>
        <w:rPr>
          <w:i/>
          <w:iCs/>
        </w:rPr>
        <w:t xml:space="preserve">1.1v</w:t>
      </w:r>
      <w:r>
        <w:t xml:space="preserve">. Leaf breaks at "how." Worn first leaf makes some editorial reconstruction necessary in this sentence.</w:t>
      </w:r>
    </w:p>
  </w:footnote>
  <w:footnote w:id="193">
    <w:p>
      <w:pPr>
        <w:pStyle w:val="FootnoteText"/>
      </w:pPr>
      <w:r>
        <w:rPr>
          <w:rStyle w:val="FootnoteReference"/>
        </w:rPr>
        <w:footnoteRef/>
      </w:r>
      <w:r>
        <w:t xml:space="preserve">Isaiah 51:7. Where JE indicates intent to quote more of a scriptural verse than he writes out, I have supplied the missing words in brackets from a 1903 edition of the King James Bible (New York, Thomas Nelson and Sons).</w:t>
      </w:r>
    </w:p>
  </w:footnote>
  <w:footnote w:id="194">
    <w:p>
      <w:pPr>
        <w:pStyle w:val="FootnoteText"/>
      </w:pPr>
      <w:r>
        <w:rPr>
          <w:rStyle w:val="FootnoteReference"/>
        </w:rPr>
        <w:footnoteRef/>
      </w:r>
      <w:r>
        <w:rPr>
          <w:i/>
          <w:iCs/>
        </w:rPr>
        <w:t xml:space="preserve">2</w:t>
      </w:r>
      <w:r>
        <w:t xml:space="preserve">.</w:t>
      </w:r>
    </w:p>
  </w:footnote>
  <w:footnote w:id="195">
    <w:p>
      <w:pPr>
        <w:pStyle w:val="FootnoteText"/>
      </w:pPr>
      <w:r>
        <w:rPr>
          <w:rStyle w:val="FootnoteReference"/>
        </w:rPr>
        <w:footnoteRef/>
      </w:r>
      <w:r>
        <w:t xml:space="preserve">Isaiah 51:7.</w:t>
      </w:r>
    </w:p>
  </w:footnote>
  <w:footnote w:id="196">
    <w:p>
      <w:pPr>
        <w:pStyle w:val="FootnoteText"/>
      </w:pPr>
      <w:r>
        <w:rPr>
          <w:rStyle w:val="FootnoteReference"/>
        </w:rPr>
        <w:footnoteRef/>
      </w:r>
      <w:r>
        <w:rPr>
          <w:i/>
          <w:iCs/>
        </w:rPr>
        <w:t xml:space="preserve">(1.)</w:t>
      </w:r>
      <w:r>
        <w:t xml:space="preserve">.</w:t>
      </w:r>
    </w:p>
  </w:footnote>
  <w:footnote w:id="197">
    <w:p>
      <w:pPr>
        <w:pStyle w:val="FootnoteText"/>
      </w:pPr>
      <w:r>
        <w:rPr>
          <w:rStyle w:val="FootnoteReference"/>
        </w:rPr>
        <w:footnoteRef/>
      </w:r>
      <w:r>
        <w:t xml:space="preserve">Worn bottom corner edge has obliterated a word.</w:t>
      </w:r>
    </w:p>
  </w:footnote>
  <w:footnote w:id="198">
    <w:p>
      <w:pPr>
        <w:pStyle w:val="FootnoteText"/>
      </w:pPr>
      <w:r>
        <w:rPr>
          <w:rStyle w:val="FootnoteReference"/>
        </w:rPr>
        <w:footnoteRef/>
      </w:r>
      <w:r>
        <w:rPr>
          <w:i/>
          <w:iCs/>
        </w:rPr>
        <w:t xml:space="preserve">1.2r</w:t>
      </w:r>
      <w:r>
        <w:t xml:space="preserve">. Leaf breaks at "righteous."</w:t>
      </w:r>
    </w:p>
  </w:footnote>
  <w:footnote w:id="199">
    <w:p>
      <w:pPr>
        <w:pStyle w:val="FootnoteText"/>
      </w:pPr>
      <w:r>
        <w:rPr>
          <w:rStyle w:val="FootnoteReference"/>
        </w:rPr>
        <w:footnoteRef/>
      </w:r>
      <w:r>
        <w:t xml:space="preserve">Insertion required by JE's construction. Alternatively, "that" might be added after "to understand."</w:t>
      </w:r>
    </w:p>
  </w:footnote>
  <w:footnote w:id="200">
    <w:p>
      <w:pPr>
        <w:pStyle w:val="FootnoteText"/>
      </w:pPr>
      <w:r>
        <w:rPr>
          <w:rStyle w:val="FootnoteReference"/>
        </w:rPr>
        <w:footnoteRef/>
      </w:r>
      <w:r>
        <w:rPr>
          <w:i/>
          <w:iCs/>
        </w:rPr>
        <w:t xml:space="preserve">1.2v</w:t>
      </w:r>
      <w:r>
        <w:t xml:space="preserve">.</w:t>
      </w:r>
    </w:p>
  </w:footnote>
  <w:footnote w:id="201">
    <w:p>
      <w:pPr>
        <w:pStyle w:val="FootnoteText"/>
      </w:pPr>
      <w:r>
        <w:rPr>
          <w:rStyle w:val="FootnoteReference"/>
        </w:rPr>
        <w:footnoteRef/>
      </w:r>
      <w:r>
        <w:rPr>
          <w:i/>
          <w:iCs/>
        </w:rPr>
        <w:t xml:space="preserve">(2.)</w:t>
      </w:r>
      <w:r>
        <w:t xml:space="preserve">.</w:t>
      </w:r>
    </w:p>
  </w:footnote>
  <w:footnote w:id="202">
    <w:p>
      <w:pPr>
        <w:pStyle w:val="FootnoteText"/>
      </w:pPr>
      <w:r>
        <w:rPr>
          <w:rStyle w:val="FootnoteReference"/>
        </w:rPr>
        <w:footnoteRef/>
      </w:r>
      <w:r>
        <w:t xml:space="preserve">A reference to Deuteronomy 15:17.</w:t>
      </w:r>
    </w:p>
  </w:footnote>
  <w:footnote w:id="203">
    <w:p>
      <w:pPr>
        <w:pStyle w:val="FootnoteText"/>
      </w:pPr>
      <w:r>
        <w:rPr>
          <w:rStyle w:val="FootnoteReference"/>
        </w:rPr>
        <w:footnoteRef/>
      </w:r>
      <w:r>
        <w:rPr>
          <w:i/>
          <w:iCs/>
        </w:rPr>
        <w:t xml:space="preserve">1.3r</w:t>
      </w:r>
      <w:r>
        <w:t xml:space="preserve">.</w:t>
      </w:r>
    </w:p>
  </w:footnote>
  <w:footnote w:id="204">
    <w:p>
      <w:pPr>
        <w:pStyle w:val="FootnoteText"/>
      </w:pPr>
      <w:r>
        <w:rPr>
          <w:rStyle w:val="FootnoteReference"/>
        </w:rPr>
        <w:footnoteRef/>
      </w:r>
      <w:r>
        <w:t xml:space="preserve">E.g. Leviticus 6:18, Leviticus 6:22.</w:t>
      </w:r>
    </w:p>
  </w:footnote>
  <w:footnote w:id="205">
    <w:p>
      <w:pPr>
        <w:pStyle w:val="FootnoteText"/>
      </w:pPr>
      <w:r>
        <w:rPr>
          <w:rStyle w:val="FootnoteReference"/>
        </w:rPr>
        <w:footnoteRef/>
      </w:r>
      <w:r>
        <w:t xml:space="preserve">Manuscript reads "thy R.," presumably "thy righteousness," a slip for "my salvation."</w:t>
      </w:r>
    </w:p>
  </w:footnote>
  <w:footnote w:id="206">
    <w:p>
      <w:pPr>
        <w:pStyle w:val="FootnoteText"/>
      </w:pPr>
      <w:r>
        <w:rPr>
          <w:rStyle w:val="FootnoteReference"/>
        </w:rPr>
        <w:footnoteRef/>
      </w:r>
      <w:r>
        <w:rPr>
          <w:i/>
          <w:iCs/>
        </w:rPr>
        <w:t xml:space="preserve">1.3v</w:t>
      </w:r>
      <w:r>
        <w:t xml:space="preserve">.</w:t>
      </w:r>
    </w:p>
  </w:footnote>
  <w:footnote w:id="207">
    <w:p>
      <w:pPr>
        <w:pStyle w:val="FootnoteText"/>
      </w:pPr>
      <w:r>
        <w:rPr>
          <w:rStyle w:val="FootnoteReference"/>
        </w:rPr>
        <w:footnoteRef/>
      </w:r>
      <w:r>
        <w:t xml:space="preserve">JE originally wrote "their" but changed it to "his."</w:t>
      </w:r>
    </w:p>
  </w:footnote>
  <w:footnote w:id="208">
    <w:p>
      <w:pPr>
        <w:pStyle w:val="FootnoteText"/>
      </w:pPr>
      <w:r>
        <w:rPr>
          <w:rStyle w:val="FootnoteReference"/>
        </w:rPr>
        <w:footnoteRef/>
      </w:r>
      <w:r>
        <w:rPr>
          <w:i/>
          <w:iCs/>
        </w:rPr>
        <w:t xml:space="preserve">1.4r</w:t>
      </w:r>
      <w:r>
        <w:t xml:space="preserve">.</w:t>
      </w:r>
    </w:p>
  </w:footnote>
  <w:footnote w:id="209">
    <w:p>
      <w:pPr>
        <w:pStyle w:val="FootnoteText"/>
      </w:pPr>
      <w:r>
        <w:rPr>
          <w:rStyle w:val="FootnoteReference"/>
        </w:rPr>
        <w:footnoteRef/>
      </w:r>
      <w:r>
        <w:t xml:space="preserve">At this point in his manuscript, JE gives the chief heads under which his development of the argument will proceed. His note reads: "1. Explain the terms used. / 2. What the things are that are designed to be accomplished by this great work of God. / 3. How the work by which those things are accomplished is carried on."</w:t>
      </w:r>
    </w:p>
  </w:footnote>
  <w:footnote w:id="210">
    <w:p>
      <w:pPr>
        <w:pStyle w:val="FootnoteText"/>
      </w:pPr>
      <w:r>
        <w:rPr>
          <w:rStyle w:val="FootnoteReference"/>
        </w:rPr>
        <w:footnoteRef/>
      </w:r>
      <w:r>
        <w:rPr>
          <w:i/>
          <w:iCs/>
        </w:rPr>
        <w:t xml:space="preserve">1</w:t>
      </w:r>
      <w:r>
        <w:t xml:space="preserve">.</w:t>
      </w:r>
    </w:p>
  </w:footnote>
  <w:footnote w:id="211">
    <w:p>
      <w:pPr>
        <w:pStyle w:val="FootnoteText"/>
      </w:pPr>
      <w:r>
        <w:rPr>
          <w:rStyle w:val="FootnoteReference"/>
        </w:rPr>
        <w:footnoteRef/>
      </w:r>
      <w:r>
        <w:rPr>
          <w:i/>
          <w:iCs/>
        </w:rPr>
        <w:t xml:space="preserve">First</w:t>
      </w:r>
      <w:r>
        <w:t xml:space="preserve">.</w:t>
      </w:r>
    </w:p>
  </w:footnote>
  <w:footnote w:id="212">
    <w:p>
      <w:pPr>
        <w:pStyle w:val="FootnoteText"/>
      </w:pPr>
      <w:r>
        <w:rPr>
          <w:rStyle w:val="FootnoteReference"/>
        </w:rPr>
        <w:footnoteRef/>
      </w:r>
      <w:r>
        <w:rPr>
          <w:i/>
          <w:iCs/>
        </w:rPr>
        <w:t xml:space="preserve">1.4v</w:t>
      </w:r>
    </w:p>
  </w:footnote>
  <w:footnote w:id="213">
    <w:p>
      <w:pPr>
        <w:pStyle w:val="FootnoteText"/>
      </w:pPr>
      <w:r>
        <w:rPr>
          <w:rStyle w:val="FootnoteReference"/>
        </w:rPr>
        <w:footnoteRef/>
      </w:r>
      <w:r>
        <w:rPr>
          <w:i/>
          <w:iCs/>
        </w:rPr>
        <w:t xml:space="preserve">1.5r</w:t>
      </w:r>
      <w:r>
        <w:t xml:space="preserve">.</w:t>
      </w:r>
    </w:p>
  </w:footnote>
  <w:footnote w:id="214">
    <w:p>
      <w:pPr>
        <w:pStyle w:val="FootnoteText"/>
      </w:pPr>
      <w:r>
        <w:rPr>
          <w:rStyle w:val="FootnoteReference"/>
        </w:rPr>
        <w:footnoteRef/>
      </w:r>
      <w:r>
        <w:rPr>
          <w:i/>
          <w:iCs/>
        </w:rPr>
        <w:t xml:space="preserve">Second</w:t>
      </w:r>
      <w:r>
        <w:t xml:space="preserve">.</w:t>
      </w:r>
    </w:p>
  </w:footnote>
  <w:footnote w:id="215">
    <w:p>
      <w:pPr>
        <w:pStyle w:val="FootnoteText"/>
      </w:pPr>
      <w:r>
        <w:rPr>
          <w:rStyle w:val="FootnoteReference"/>
        </w:rPr>
        <w:footnoteRef/>
      </w:r>
      <w:r>
        <w:rPr>
          <w:i/>
          <w:iCs/>
        </w:rPr>
        <w:t xml:space="preserve">1. 5v</w:t>
      </w:r>
      <w:r>
        <w:t xml:space="preserve">.</w:t>
      </w:r>
    </w:p>
  </w:footnote>
  <w:footnote w:id="216">
    <w:p>
      <w:pPr>
        <w:pStyle w:val="FootnoteText"/>
      </w:pPr>
      <w:r>
        <w:rPr>
          <w:rStyle w:val="FootnoteReference"/>
        </w:rPr>
        <w:footnoteRef/>
      </w:r>
      <w:r>
        <w:rPr>
          <w:i/>
          <w:iCs/>
        </w:rPr>
        <w:t xml:space="preserve">1</w:t>
      </w:r>
      <w:r>
        <w:t xml:space="preserve">.</w:t>
      </w:r>
    </w:p>
  </w:footnote>
  <w:footnote w:id="217">
    <w:p>
      <w:pPr>
        <w:pStyle w:val="FootnoteText"/>
      </w:pPr>
      <w:r>
        <w:rPr>
          <w:rStyle w:val="FootnoteReference"/>
        </w:rPr>
        <w:footnoteRef/>
      </w:r>
      <w:r>
        <w:rPr>
          <w:i/>
          <w:iCs/>
        </w:rPr>
        <w:t xml:space="preserve">1.6r</w:t>
      </w:r>
      <w:r>
        <w:t xml:space="preserve">.</w:t>
      </w:r>
    </w:p>
  </w:footnote>
  <w:footnote w:id="218">
    <w:p>
      <w:pPr>
        <w:pStyle w:val="FootnoteText"/>
      </w:pPr>
      <w:r>
        <w:rPr>
          <w:rStyle w:val="FootnoteReference"/>
        </w:rPr>
        <w:footnoteRef/>
      </w:r>
      <w:r>
        <w:t xml:space="preserve">JE inserted this citation but apparently did not intend to quote it; Matthew 25:34 reads in part, "Come ye blessed of my Father, inherit the kingdom prepared for you from the foundation of the world."</w:t>
      </w:r>
    </w:p>
  </w:footnote>
  <w:footnote w:id="219">
    <w:p>
      <w:pPr>
        <w:pStyle w:val="FootnoteText"/>
      </w:pPr>
      <w:r>
        <w:rPr>
          <w:rStyle w:val="FootnoteReference"/>
        </w:rPr>
        <w:footnoteRef/>
      </w:r>
      <w:r>
        <w:t xml:space="preserve">JE sketched in this sentence with phrases. I have made additions to suggest his argument.</w:t>
      </w:r>
    </w:p>
  </w:footnote>
  <w:footnote w:id="220">
    <w:p>
      <w:pPr>
        <w:pStyle w:val="FootnoteText"/>
      </w:pPr>
      <w:r>
        <w:rPr>
          <w:rStyle w:val="FootnoteReference"/>
        </w:rPr>
        <w:footnoteRef/>
      </w:r>
      <w:r>
        <w:t xml:space="preserve">JE apparently intended to introduce this clause from the Doctrine.</w:t>
      </w:r>
    </w:p>
  </w:footnote>
  <w:footnote w:id="221">
    <w:p>
      <w:pPr>
        <w:pStyle w:val="FootnoteText"/>
      </w:pPr>
      <w:r>
        <w:rPr>
          <w:rStyle w:val="FootnoteReference"/>
        </w:rPr>
        <w:footnoteRef/>
      </w:r>
      <w:r>
        <w:rPr>
          <w:i/>
          <w:iCs/>
        </w:rPr>
        <w:t xml:space="preserve">2</w:t>
      </w:r>
      <w:r>
        <w:t xml:space="preserve">.</w:t>
      </w:r>
    </w:p>
  </w:footnote>
  <w:footnote w:id="222">
    <w:p>
      <w:pPr>
        <w:pStyle w:val="FootnoteText"/>
      </w:pPr>
      <w:r>
        <w:rPr>
          <w:rStyle w:val="FootnoteReference"/>
        </w:rPr>
        <w:footnoteRef/>
      </w:r>
      <w:r>
        <w:rPr>
          <w:i/>
          <w:iCs/>
        </w:rPr>
        <w:t xml:space="preserve">1.6v</w:t>
      </w:r>
      <w:r>
        <w:t xml:space="preserve">. At the head of this leaf JE wrote "list more before the beginning of the work."</w:t>
      </w:r>
    </w:p>
  </w:footnote>
  <w:footnote w:id="223">
    <w:p>
      <w:pPr>
        <w:pStyle w:val="FootnoteText"/>
      </w:pPr>
      <w:r>
        <w:rPr>
          <w:rStyle w:val="FootnoteReference"/>
        </w:rPr>
        <w:footnoteRef/>
      </w:r>
      <w:r>
        <w:rPr>
          <w:i/>
          <w:iCs/>
        </w:rPr>
        <w:t xml:space="preserve">3</w:t>
      </w:r>
      <w:r>
        <w:t xml:space="preserve">.</w:t>
      </w:r>
    </w:p>
  </w:footnote>
  <w:footnote w:id="224">
    <w:p>
      <w:pPr>
        <w:pStyle w:val="FootnoteText"/>
      </w:pPr>
      <w:r>
        <w:rPr>
          <w:rStyle w:val="FootnoteReference"/>
        </w:rPr>
        <w:footnoteRef/>
      </w:r>
      <w:r>
        <w:rPr>
          <w:i/>
          <w:iCs/>
        </w:rPr>
        <w:t xml:space="preserve">1.7r</w:t>
      </w:r>
      <w:r>
        <w:t xml:space="preserve">.</w:t>
      </w:r>
    </w:p>
  </w:footnote>
  <w:footnote w:id="225">
    <w:p>
      <w:pPr>
        <w:pStyle w:val="FootnoteText"/>
      </w:pPr>
      <w:r>
        <w:rPr>
          <w:rStyle w:val="FootnoteReference"/>
        </w:rPr>
        <w:footnoteRef/>
      </w:r>
      <w:r>
        <w:t xml:space="preserve">Exodus 1–15; Joshua 1–14.</w:t>
      </w:r>
    </w:p>
  </w:footnote>
  <w:footnote w:id="226">
    <w:p>
      <w:pPr>
        <w:pStyle w:val="FootnoteText"/>
      </w:pPr>
      <w:r>
        <w:rPr>
          <w:rStyle w:val="FootnoteReference"/>
        </w:rPr>
        <w:footnoteRef/>
      </w:r>
      <w:r>
        <w:rPr>
          <w:i/>
          <w:iCs/>
        </w:rPr>
        <w:t xml:space="preserve">1.7v</w:t>
      </w:r>
      <w:r>
        <w:t xml:space="preserve">.</w:t>
      </w:r>
    </w:p>
  </w:footnote>
  <w:footnote w:id="227">
    <w:p>
      <w:pPr>
        <w:pStyle w:val="FootnoteText"/>
      </w:pPr>
      <w:r>
        <w:rPr>
          <w:rStyle w:val="FootnoteReference"/>
        </w:rPr>
        <w:footnoteRef/>
      </w:r>
      <w:r>
        <w:rPr>
          <w:i/>
          <w:iCs/>
        </w:rPr>
        <w:t xml:space="preserve">a</w:t>
      </w:r>
      <w:r>
        <w:t xml:space="preserve">.</w:t>
      </w:r>
    </w:p>
  </w:footnote>
  <w:footnote w:id="228">
    <w:p>
      <w:pPr>
        <w:pStyle w:val="FootnoteText"/>
      </w:pPr>
      <w:r>
        <w:rPr>
          <w:rStyle w:val="FootnoteReference"/>
        </w:rPr>
        <w:footnoteRef/>
      </w:r>
      <w:r>
        <w:rPr>
          <w:i/>
          <w:iCs/>
        </w:rPr>
        <w:t xml:space="preserve">1.8r</w:t>
      </w:r>
      <w:r>
        <w:t xml:space="preserve">. Leaf breaks at "re."</w:t>
      </w:r>
    </w:p>
  </w:footnote>
  <w:footnote w:id="229">
    <w:p>
      <w:pPr>
        <w:pStyle w:val="FootnoteText"/>
      </w:pPr>
      <w:r>
        <w:rPr>
          <w:rStyle w:val="FootnoteReference"/>
        </w:rPr>
        <w:footnoteRef/>
      </w:r>
      <w:r>
        <w:rPr>
          <w:i/>
          <w:iCs/>
        </w:rPr>
        <w:t xml:space="preserve">1.8v</w:t>
      </w:r>
      <w:r>
        <w:t xml:space="preserve">.</w:t>
      </w:r>
    </w:p>
  </w:footnote>
  <w:footnote w:id="230">
    <w:p>
      <w:pPr>
        <w:pStyle w:val="FootnoteText"/>
      </w:pPr>
      <w:r>
        <w:rPr>
          <w:rStyle w:val="FootnoteReference"/>
        </w:rPr>
        <w:footnoteRef/>
      </w:r>
      <w:r>
        <w:rPr>
          <w:i/>
          <w:iCs/>
        </w:rPr>
        <w:t xml:space="preserve">b</w:t>
      </w:r>
      <w:r>
        <w:t xml:space="preserve">.</w:t>
      </w:r>
    </w:p>
  </w:footnote>
  <w:footnote w:id="231">
    <w:p>
      <w:pPr>
        <w:pStyle w:val="FootnoteText"/>
      </w:pPr>
      <w:r>
        <w:rPr>
          <w:rStyle w:val="FootnoteReference"/>
        </w:rPr>
        <w:footnoteRef/>
      </w:r>
      <w:r>
        <w:rPr>
          <w:i/>
          <w:iCs/>
        </w:rPr>
        <w:t xml:space="preserve">1.9r</w:t>
      </w:r>
      <w:r>
        <w:t xml:space="preserve">.</w:t>
      </w:r>
    </w:p>
  </w:footnote>
  <w:footnote w:id="232">
    <w:p>
      <w:pPr>
        <w:pStyle w:val="FootnoteText"/>
      </w:pPr>
      <w:r>
        <w:rPr>
          <w:rStyle w:val="FootnoteReference"/>
        </w:rPr>
        <w:footnoteRef/>
      </w:r>
      <w:r>
        <w:rPr>
          <w:i/>
          <w:iCs/>
        </w:rPr>
        <w:t xml:space="preserve">1.9v</w:t>
      </w:r>
      <w:r>
        <w:t xml:space="preserve">.</w:t>
      </w:r>
    </w:p>
  </w:footnote>
  <w:footnote w:id="233">
    <w:p>
      <w:pPr>
        <w:pStyle w:val="FootnoteText"/>
      </w:pPr>
      <w:r>
        <w:rPr>
          <w:rStyle w:val="FootnoteReference"/>
        </w:rPr>
        <w:footnoteRef/>
      </w:r>
      <w:r>
        <w:rPr>
          <w:i/>
          <w:iCs/>
        </w:rPr>
        <w:t xml:space="preserve">II</w:t>
      </w:r>
      <w:r>
        <w:t xml:space="preserve">.</w:t>
      </w:r>
    </w:p>
  </w:footnote>
  <w:footnote w:id="234">
    <w:p>
      <w:pPr>
        <w:pStyle w:val="FootnoteText"/>
      </w:pPr>
      <w:r>
        <w:rPr>
          <w:rStyle w:val="FootnoteReference"/>
        </w:rPr>
        <w:footnoteRef/>
      </w:r>
      <w:r>
        <w:t xml:space="preserve">At this point JE has crossed out with a large X the following passage: "I would set before you briefly the major things issued it or designed to be accomplished in this great [illegible] to accomplish which he began to work."</w:t>
      </w:r>
    </w:p>
  </w:footnote>
  <w:footnote w:id="235">
    <w:p>
      <w:pPr>
        <w:pStyle w:val="FootnoteText"/>
      </w:pPr>
      <w:r>
        <w:rPr>
          <w:rStyle w:val="FootnoteReference"/>
        </w:rPr>
        <w:footnoteRef/>
      </w:r>
      <w:r>
        <w:rPr>
          <w:i/>
          <w:iCs/>
        </w:rPr>
        <w:t xml:space="preserve">1.10r</w:t>
      </w:r>
      <w:r>
        <w:t xml:space="preserve">.</w:t>
      </w:r>
    </w:p>
  </w:footnote>
  <w:footnote w:id="236">
    <w:p>
      <w:pPr>
        <w:pStyle w:val="FootnoteText"/>
      </w:pPr>
      <w:r>
        <w:rPr>
          <w:rStyle w:val="FootnoteReference"/>
        </w:rPr>
        <w:footnoteRef/>
      </w:r>
      <w:r>
        <w:rPr>
          <w:i/>
          <w:iCs/>
        </w:rPr>
        <w:t xml:space="preserve">First</w:t>
      </w:r>
      <w:r>
        <w:t xml:space="preserve">.</w:t>
      </w:r>
    </w:p>
  </w:footnote>
  <w:footnote w:id="237">
    <w:p>
      <w:pPr>
        <w:pStyle w:val="FootnoteText"/>
      </w:pPr>
      <w:r>
        <w:rPr>
          <w:rStyle w:val="FootnoteReference"/>
        </w:rPr>
        <w:footnoteRef/>
      </w:r>
      <w:r>
        <w:rPr>
          <w:i/>
          <w:iCs/>
        </w:rPr>
        <w:t xml:space="preserve">1.10v</w:t>
      </w:r>
      <w:r>
        <w:t xml:space="preserve">.</w:t>
      </w:r>
    </w:p>
  </w:footnote>
  <w:footnote w:id="238">
    <w:p>
      <w:pPr>
        <w:pStyle w:val="FootnoteText"/>
      </w:pPr>
      <w:r>
        <w:rPr>
          <w:rStyle w:val="FootnoteReference"/>
        </w:rPr>
        <w:footnoteRef/>
      </w:r>
      <w:r>
        <w:t xml:space="preserve">It is not clear whether JE intended to quote the verse, which reads, "For he must reign, till he hath put all enemies under his feet."</w:t>
      </w:r>
    </w:p>
  </w:footnote>
  <w:footnote w:id="239">
    <w:p>
      <w:pPr>
        <w:pStyle w:val="FootnoteText"/>
      </w:pPr>
      <w:r>
        <w:rPr>
          <w:rStyle w:val="FootnoteReference"/>
        </w:rPr>
        <w:footnoteRef/>
      </w:r>
      <w:r>
        <w:t xml:space="preserve">The manuscript has a line crossed out and a blank space at this point.</w:t>
      </w:r>
    </w:p>
  </w:footnote>
  <w:footnote w:id="240">
    <w:p>
      <w:pPr>
        <w:pStyle w:val="FootnoteText"/>
      </w:pPr>
      <w:r>
        <w:rPr>
          <w:rStyle w:val="FootnoteReference"/>
        </w:rPr>
        <w:footnoteRef/>
      </w:r>
      <w:r>
        <w:t xml:space="preserve">See Sermon 2 for JE's extended interpretation of this verse.</w:t>
      </w:r>
    </w:p>
  </w:footnote>
  <w:footnote w:id="241">
    <w:p>
      <w:pPr>
        <w:pStyle w:val="FootnoteText"/>
      </w:pPr>
      <w:r>
        <w:rPr>
          <w:rStyle w:val="FootnoteReference"/>
        </w:rPr>
        <w:footnoteRef/>
      </w:r>
      <w:r>
        <w:t xml:space="preserve">JE has inverted the order of the clauses in 1 John 3:8, which reads "For this purpose the Son of God was manifested, that he might destroy the works of the devil."</w:t>
      </w:r>
    </w:p>
  </w:footnote>
  <w:footnote w:id="242">
    <w:p>
      <w:pPr>
        <w:pStyle w:val="FootnoteText"/>
      </w:pPr>
      <w:r>
        <w:rPr>
          <w:rStyle w:val="FootnoteReference"/>
        </w:rPr>
        <w:footnoteRef/>
      </w:r>
      <w:r>
        <w:rPr>
          <w:i/>
          <w:iCs/>
        </w:rPr>
        <w:t xml:space="preserve">1.11r</w:t>
      </w:r>
      <w:r>
        <w:t xml:space="preserve">.</w:t>
      </w:r>
    </w:p>
  </w:footnote>
  <w:footnote w:id="243">
    <w:p>
      <w:pPr>
        <w:pStyle w:val="FootnoteText"/>
      </w:pPr>
      <w:r>
        <w:rPr>
          <w:rStyle w:val="FootnoteReference"/>
        </w:rPr>
        <w:footnoteRef/>
      </w:r>
      <w:r>
        <w:t xml:space="preserve">The language JE uses here may have been evoked by Colossians 2:14–15, which extols Christ's work and says that he "made a show of them [principalities and powers] openly, triumphing over them in it [the cross]."</w:t>
      </w:r>
    </w:p>
  </w:footnote>
  <w:footnote w:id="244">
    <w:p>
      <w:pPr>
        <w:pStyle w:val="FootnoteText"/>
      </w:pPr>
      <w:r>
        <w:rPr>
          <w:rStyle w:val="FootnoteReference"/>
        </w:rPr>
        <w:footnoteRef/>
      </w:r>
      <w:r>
        <w:rPr>
          <w:i/>
          <w:iCs/>
        </w:rPr>
        <w:t xml:space="preserve">Second</w:t>
      </w:r>
      <w:r>
        <w:t xml:space="preserve">.</w:t>
      </w:r>
    </w:p>
  </w:footnote>
  <w:footnote w:id="245">
    <w:p>
      <w:pPr>
        <w:pStyle w:val="FootnoteText"/>
      </w:pPr>
      <w:r>
        <w:rPr>
          <w:rStyle w:val="FootnoteReference"/>
        </w:rPr>
        <w:footnoteRef/>
      </w:r>
      <w:r>
        <w:t xml:space="preserve">JE mis-cites this verse as Acts 3:2. I have changed the text accordingly.</w:t>
      </w:r>
    </w:p>
  </w:footnote>
  <w:footnote w:id="246">
    <w:p>
      <w:pPr>
        <w:pStyle w:val="FootnoteText"/>
      </w:pPr>
      <w:r>
        <w:rPr>
          <w:rStyle w:val="FootnoteReference"/>
        </w:rPr>
        <w:footnoteRef/>
      </w:r>
      <w:r>
        <w:rPr>
          <w:i/>
          <w:iCs/>
        </w:rPr>
        <w:t xml:space="preserve">1.11v</w:t>
      </w:r>
      <w:r>
        <w:t xml:space="preserve">.</w:t>
      </w:r>
    </w:p>
  </w:footnote>
  <w:footnote w:id="247">
    <w:p>
      <w:pPr>
        <w:pStyle w:val="FootnoteText"/>
      </w:pPr>
      <w:r>
        <w:rPr>
          <w:rStyle w:val="FootnoteReference"/>
        </w:rPr>
        <w:footnoteRef/>
      </w:r>
      <w:r>
        <w:t xml:space="preserve">JE also cites 2 Peter 2:13, which is not immediately relevant to his argument.</w:t>
      </w:r>
    </w:p>
  </w:footnote>
  <w:footnote w:id="248">
    <w:p>
      <w:pPr>
        <w:pStyle w:val="FootnoteText"/>
      </w:pPr>
      <w:r>
        <w:rPr>
          <w:rStyle w:val="FootnoteReference"/>
        </w:rPr>
        <w:footnoteRef/>
      </w:r>
      <w:r>
        <w:t xml:space="preserve">Revelation 21:1.</w:t>
      </w:r>
    </w:p>
  </w:footnote>
  <w:footnote w:id="249">
    <w:p>
      <w:pPr>
        <w:pStyle w:val="FootnoteText"/>
      </w:pPr>
      <w:r>
        <w:rPr>
          <w:rStyle w:val="FootnoteReference"/>
        </w:rPr>
        <w:footnoteRef/>
      </w:r>
      <w:r>
        <w:rPr>
          <w:i/>
          <w:iCs/>
        </w:rPr>
        <w:t xml:space="preserve">Third</w:t>
      </w:r>
      <w:r>
        <w:t xml:space="preserve">.</w:t>
      </w:r>
    </w:p>
  </w:footnote>
  <w:footnote w:id="250">
    <w:p>
      <w:pPr>
        <w:pStyle w:val="FootnoteText"/>
      </w:pPr>
      <w:r>
        <w:rPr>
          <w:rStyle w:val="FootnoteReference"/>
        </w:rPr>
        <w:footnoteRef/>
      </w:r>
      <w:r>
        <w:rPr>
          <w:i/>
          <w:iCs/>
        </w:rPr>
        <w:t xml:space="preserve">1.12r</w:t>
      </w:r>
      <w:r>
        <w:t xml:space="preserve">.</w:t>
      </w:r>
    </w:p>
  </w:footnote>
  <w:footnote w:id="251">
    <w:p>
      <w:pPr>
        <w:pStyle w:val="FootnoteText"/>
      </w:pPr>
      <w:r>
        <w:rPr>
          <w:rStyle w:val="FootnoteReference"/>
        </w:rPr>
        <w:footnoteRef/>
      </w:r>
      <w:r>
        <w:t xml:space="preserve">JE may be referring here to a series of sermons on 1 Corinthians 13 that he had preached in the preceding year, known as </w:t>
      </w:r>
      <w:r>
        <w:rPr>
          <w:i/>
          <w:iCs/>
        </w:rPr>
        <w:t xml:space="preserve">Charity and Its Fruits</w:t>
      </w:r>
      <w:r>
        <w:t xml:space="preserve">. This series was first published in 1852 and can now be found in Jonathan Edwards, </w:t>
      </w:r>
      <w:r>
        <w:rPr>
          <w:i/>
          <w:iCs/>
        </w:rPr>
        <w:t xml:space="preserve">Ethical Writings</w:t>
      </w:r>
      <w:r>
        <w:t xml:space="preserve">, ed. Paul Ramsey, in </w:t>
      </w:r>
      <w:r>
        <w:rPr>
          <w:i/>
          <w:iCs/>
        </w:rPr>
        <w:t xml:space="preserve">The Works of Jonathan Edwards</w:t>
      </w:r>
      <w:r>
        <w:t xml:space="preserve"> (New Haven, Yale Univ. Press, 1989), 8.</w:t>
      </w:r>
    </w:p>
  </w:footnote>
  <w:footnote w:id="252">
    <w:p>
      <w:pPr>
        <w:pStyle w:val="FootnoteText"/>
      </w:pPr>
      <w:r>
        <w:rPr>
          <w:rStyle w:val="FootnoteReference"/>
        </w:rPr>
        <w:footnoteRef/>
      </w:r>
      <w:r>
        <w:rPr>
          <w:i/>
          <w:iCs/>
        </w:rPr>
        <w:t xml:space="preserve">Fourth</w:t>
      </w:r>
      <w:r>
        <w:t xml:space="preserve">.</w:t>
      </w:r>
    </w:p>
  </w:footnote>
  <w:footnote w:id="253">
    <w:p>
      <w:pPr>
        <w:pStyle w:val="FootnoteText"/>
      </w:pPr>
      <w:r>
        <w:rPr>
          <w:rStyle w:val="FootnoteReference"/>
        </w:rPr>
        <w:footnoteRef/>
      </w:r>
      <w:r>
        <w:t xml:space="preserve">This phrase is from 1 Corinthians 2:9, which reads, in part, "Eye hath not seen, nor ear heard … the things which God hath prepared for them that love him."</w:t>
      </w:r>
    </w:p>
  </w:footnote>
  <w:footnote w:id="254">
    <w:p>
      <w:pPr>
        <w:pStyle w:val="FootnoteText"/>
      </w:pPr>
      <w:r>
        <w:rPr>
          <w:rStyle w:val="FootnoteReference"/>
        </w:rPr>
        <w:footnoteRef/>
      </w:r>
      <w:r>
        <w:rPr>
          <w:i/>
          <w:iCs/>
        </w:rPr>
        <w:t xml:space="preserve">1.12v</w:t>
      </w:r>
      <w:r>
        <w:t xml:space="preserve">.</w:t>
      </w:r>
    </w:p>
  </w:footnote>
  <w:footnote w:id="255">
    <w:p>
      <w:pPr>
        <w:pStyle w:val="FootnoteText"/>
      </w:pPr>
      <w:r>
        <w:rPr>
          <w:rStyle w:val="FootnoteReference"/>
        </w:rPr>
        <w:footnoteRef/>
      </w:r>
      <w:r>
        <w:rPr>
          <w:i/>
          <w:iCs/>
        </w:rPr>
        <w:t xml:space="preserve">Fifth</w:t>
      </w:r>
      <w:r>
        <w:t xml:space="preserve">.</w:t>
      </w:r>
    </w:p>
  </w:footnote>
  <w:footnote w:id="256">
    <w:p>
      <w:pPr>
        <w:pStyle w:val="FootnoteText"/>
      </w:pPr>
      <w:r>
        <w:rPr>
          <w:rStyle w:val="FootnoteReference"/>
        </w:rPr>
        <w:footnoteRef/>
      </w:r>
      <w:r>
        <w:t xml:space="preserve">Reading uncertain.</w:t>
      </w:r>
    </w:p>
  </w:footnote>
  <w:footnote w:id="257">
    <w:p>
      <w:pPr>
        <w:pStyle w:val="FootnoteText"/>
      </w:pPr>
      <w:r>
        <w:rPr>
          <w:rStyle w:val="FootnoteReference"/>
        </w:rPr>
        <w:footnoteRef/>
      </w:r>
      <w:r>
        <w:rPr>
          <w:i/>
          <w:iCs/>
        </w:rPr>
        <w:t xml:space="preserve">1.13r</w:t>
      </w:r>
      <w:r>
        <w:t xml:space="preserve">.</w:t>
      </w:r>
    </w:p>
  </w:footnote>
  <w:footnote w:id="258">
    <w:p>
      <w:pPr>
        <w:pStyle w:val="FootnoteText"/>
      </w:pPr>
      <w:r>
        <w:rPr>
          <w:rStyle w:val="FootnoteReference"/>
        </w:rPr>
        <w:footnoteRef/>
      </w:r>
      <w:r>
        <w:rPr>
          <w:i/>
          <w:iCs/>
        </w:rPr>
        <w:t xml:space="preserve">1.13r</w:t>
      </w:r>
      <w:r>
        <w:t xml:space="preserve">.</w:t>
      </w:r>
    </w:p>
  </w:footnote>
  <w:footnote w:id="259">
    <w:p>
      <w:pPr>
        <w:pStyle w:val="FootnoteText"/>
      </w:pPr>
      <w:r>
        <w:rPr>
          <w:rStyle w:val="FootnoteReference"/>
        </w:rPr>
        <w:footnoteRef/>
      </w:r>
      <w:r>
        <w:t xml:space="preserve">JE recapitulates the argument of his first sermon before continuing with the second: "1. Show in what sense terms are used. / 2. What is the design of this great work or what is designed to be accomplished by it. / 3. How the work by which those things are accomplished is carried on from the fall ‹of man to the end of the world›. "1. To put all God's enemies under him and finally to appear triumphant over all evil. / 2. Perfectly restore the ruins. / 3. To gather together in one. / 4. To complete and perfect the glory. / 5. In all this exceedingly to glorify each person of the Trinity by Christ."</w:t>
      </w:r>
    </w:p>
  </w:footnote>
  <w:footnote w:id="260">
    <w:p>
      <w:pPr>
        <w:pStyle w:val="FootnoteText"/>
      </w:pPr>
      <w:r>
        <w:rPr>
          <w:rStyle w:val="FootnoteReference"/>
        </w:rPr>
        <w:footnoteRef/>
      </w:r>
      <w:r>
        <w:rPr>
          <w:i/>
          <w:iCs/>
        </w:rPr>
        <w:t xml:space="preserve">1.13v</w:t>
      </w:r>
      <w:r>
        <w:t xml:space="preserve">.</w:t>
      </w:r>
    </w:p>
  </w:footnote>
  <w:footnote w:id="261">
    <w:p>
      <w:pPr>
        <w:pStyle w:val="FootnoteText"/>
      </w:pPr>
      <w:r>
        <w:rPr>
          <w:rStyle w:val="FootnoteReference"/>
        </w:rPr>
        <w:footnoteRef/>
      </w:r>
      <w:r>
        <w:rPr>
          <w:i/>
          <w:iCs/>
        </w:rPr>
        <w:t xml:space="preserve">III</w:t>
      </w:r>
      <w:r>
        <w:t xml:space="preserve">.</w:t>
      </w:r>
    </w:p>
  </w:footnote>
  <w:footnote w:id="262">
    <w:p>
      <w:pPr>
        <w:pStyle w:val="FootnoteText"/>
      </w:pPr>
      <w:r>
        <w:rPr>
          <w:rStyle w:val="FootnoteReference"/>
        </w:rPr>
        <w:footnoteRef/>
      </w:r>
      <w:r>
        <w:rPr>
          <w:i/>
          <w:iCs/>
        </w:rPr>
        <w:t xml:space="preserve">1.14r</w:t>
      </w:r>
      <w:r>
        <w:t xml:space="preserve">.</w:t>
      </w:r>
    </w:p>
  </w:footnote>
  <w:footnote w:id="263">
    <w:p>
      <w:pPr>
        <w:pStyle w:val="FootnoteText"/>
      </w:pPr>
      <w:r>
        <w:rPr>
          <w:rStyle w:val="FootnoteReference"/>
        </w:rPr>
        <w:footnoteRef/>
      </w:r>
      <w:r>
        <w:rPr>
          <w:i/>
          <w:iCs/>
        </w:rPr>
        <w:t xml:space="preserve">First</w:t>
      </w:r>
      <w:r>
        <w:t xml:space="preserve">.</w:t>
      </w:r>
    </w:p>
  </w:footnote>
  <w:footnote w:id="264">
    <w:p>
      <w:pPr>
        <w:pStyle w:val="FootnoteText"/>
      </w:pPr>
      <w:r>
        <w:rPr>
          <w:rStyle w:val="FootnoteReference"/>
        </w:rPr>
        <w:footnoteRef/>
      </w:r>
      <w:r>
        <w:rPr>
          <w:i/>
          <w:iCs/>
        </w:rPr>
        <w:t xml:space="preserve">1.14v</w:t>
      </w:r>
      <w:r>
        <w:t xml:space="preserve">.</w:t>
      </w:r>
    </w:p>
  </w:footnote>
  <w:footnote w:id="265">
    <w:p>
      <w:pPr>
        <w:pStyle w:val="FootnoteText"/>
      </w:pPr>
      <w:r>
        <w:rPr>
          <w:rStyle w:val="FootnoteReference"/>
        </w:rPr>
        <w:footnoteRef/>
      </w:r>
      <w:r>
        <w:t xml:space="preserve">This phrase is taken from John 8:12.</w:t>
      </w:r>
    </w:p>
  </w:footnote>
  <w:footnote w:id="266">
    <w:p>
      <w:pPr>
        <w:pStyle w:val="FootnoteText"/>
      </w:pPr>
      <w:r>
        <w:rPr>
          <w:rStyle w:val="FootnoteReference"/>
        </w:rPr>
        <w:footnoteRef/>
      </w:r>
      <w:r>
        <w:rPr>
          <w:i/>
          <w:iCs/>
        </w:rPr>
        <w:t xml:space="preserve">1.15r</w:t>
      </w:r>
      <w:r>
        <w:t xml:space="preserve">.</w:t>
      </w:r>
    </w:p>
  </w:footnote>
  <w:footnote w:id="267">
    <w:p>
      <w:pPr>
        <w:pStyle w:val="FootnoteText"/>
      </w:pPr>
      <w:r>
        <w:rPr>
          <w:rStyle w:val="FootnoteReference"/>
        </w:rPr>
        <w:footnoteRef/>
      </w:r>
      <w:r>
        <w:t xml:space="preserve">That is, the glory of the Old Testament law paled in comparison to the New Testament gospel, just as the reflected light of the moon is dim compared to sunlight.</w:t>
      </w:r>
    </w:p>
  </w:footnote>
  <w:footnote w:id="268">
    <w:p>
      <w:pPr>
        <w:pStyle w:val="FootnoteText"/>
      </w:pPr>
      <w:r>
        <w:rPr>
          <w:rStyle w:val="FootnoteReference"/>
        </w:rPr>
        <w:footnoteRef/>
      </w:r>
      <w:r>
        <w:t xml:space="preserve">This Pauline text utilizes a different metaphor to express the inferiority of Old Testament religion; Israel (the Old Testament "church") was a servant under the tutorship of the law until Christ made possible full adoption into the status of child and heir.</w:t>
      </w:r>
    </w:p>
  </w:footnote>
  <w:footnote w:id="269">
    <w:p>
      <w:pPr>
        <w:pStyle w:val="FootnoteText"/>
      </w:pPr>
      <w:r>
        <w:rPr>
          <w:rStyle w:val="FootnoteReference"/>
        </w:rPr>
        <w:footnoteRef/>
      </w:r>
      <w:r>
        <w:rPr>
          <w:i/>
          <w:iCs/>
        </w:rPr>
        <w:t xml:space="preserve">1</w:t>
      </w:r>
      <w:r>
        <w:t xml:space="preserve">.</w:t>
      </w:r>
    </w:p>
  </w:footnote>
  <w:footnote w:id="270">
    <w:p>
      <w:pPr>
        <w:pStyle w:val="FootnoteText"/>
      </w:pPr>
      <w:r>
        <w:rPr>
          <w:rStyle w:val="FootnoteReference"/>
        </w:rPr>
        <w:footnoteRef/>
      </w:r>
      <w:r>
        <w:rPr>
          <w:i/>
          <w:iCs/>
        </w:rPr>
        <w:t xml:space="preserve">a</w:t>
      </w:r>
      <w:r>
        <w:t xml:space="preserve">.</w:t>
      </w:r>
    </w:p>
  </w:footnote>
  <w:footnote w:id="271">
    <w:p>
      <w:pPr>
        <w:pStyle w:val="FootnoteText"/>
      </w:pPr>
      <w:r>
        <w:rPr>
          <w:rStyle w:val="FootnoteReference"/>
        </w:rPr>
        <w:footnoteRef/>
      </w:r>
      <w:r>
        <w:rPr>
          <w:i/>
          <w:iCs/>
        </w:rPr>
        <w:t xml:space="preserve">1.15v</w:t>
      </w:r>
      <w:r>
        <w:t xml:space="preserve">.</w:t>
      </w:r>
    </w:p>
  </w:footnote>
  <w:footnote w:id="272">
    <w:p>
      <w:pPr>
        <w:pStyle w:val="FootnoteText"/>
      </w:pPr>
      <w:r>
        <w:rPr>
          <w:rStyle w:val="FootnoteReference"/>
        </w:rPr>
        <w:footnoteRef/>
      </w:r>
      <w:r>
        <w:t xml:space="preserve">Text reads "son of son"; JE clearly intended "son of God."</w:t>
      </w:r>
    </w:p>
  </w:footnote>
  <w:footnote w:id="273">
    <w:p>
      <w:pPr>
        <w:pStyle w:val="FootnoteText"/>
      </w:pPr>
      <w:r>
        <w:rPr>
          <w:rStyle w:val="FootnoteReference"/>
        </w:rPr>
        <w:footnoteRef/>
      </w:r>
      <w:r>
        <w:t xml:space="preserve">Probable reading.</w:t>
      </w:r>
    </w:p>
  </w:footnote>
  <w:footnote w:id="274">
    <w:p>
      <w:pPr>
        <w:pStyle w:val="FootnoteText"/>
      </w:pPr>
      <w:r>
        <w:rPr>
          <w:rStyle w:val="FootnoteReference"/>
        </w:rPr>
        <w:footnoteRef/>
      </w:r>
      <w:r>
        <w:rPr>
          <w:i/>
          <w:iCs/>
        </w:rPr>
        <w:t xml:space="preserve">1.16r</w:t>
      </w:r>
      <w:r>
        <w:t xml:space="preserve">.</w:t>
      </w:r>
    </w:p>
  </w:footnote>
  <w:footnote w:id="275">
    <w:p>
      <w:pPr>
        <w:pStyle w:val="FootnoteText"/>
      </w:pPr>
      <w:r>
        <w:rPr>
          <w:rStyle w:val="FootnoteReference"/>
        </w:rPr>
        <w:footnoteRef/>
      </w:r>
      <w:r>
        <w:rPr>
          <w:i/>
          <w:iCs/>
        </w:rPr>
        <w:t xml:space="preserve">1.16v</w:t>
      </w:r>
      <w:r>
        <w:t xml:space="preserve">. At this point, JE rearranges the order of his manuscript, directing himself to move from recto to verso of the same leaf.</w:t>
      </w:r>
    </w:p>
  </w:footnote>
  <w:footnote w:id="276">
    <w:p>
      <w:pPr>
        <w:pStyle w:val="FootnoteText"/>
      </w:pPr>
      <w:r>
        <w:rPr>
          <w:rStyle w:val="FootnoteReference"/>
        </w:rPr>
        <w:footnoteRef/>
      </w:r>
      <w:r>
        <w:rPr>
          <w:i/>
          <w:iCs/>
        </w:rPr>
        <w:t xml:space="preserve">1.17r</w:t>
      </w:r>
      <w:r>
        <w:t xml:space="preserve">.</w:t>
      </w:r>
    </w:p>
  </w:footnote>
  <w:footnote w:id="277">
    <w:p>
      <w:pPr>
        <w:pStyle w:val="FootnoteText"/>
      </w:pPr>
      <w:r>
        <w:rPr>
          <w:rStyle w:val="FootnoteReference"/>
        </w:rPr>
        <w:footnoteRef/>
      </w:r>
      <w:r>
        <w:rPr>
          <w:i/>
          <w:iCs/>
        </w:rPr>
        <w:t xml:space="preserve">1.16r</w:t>
      </w:r>
      <w:r>
        <w:t xml:space="preserve">. Here JE returns to the earlier leaf. See n. 9, above.</w:t>
      </w:r>
    </w:p>
  </w:footnote>
  <w:footnote w:id="278">
    <w:p>
      <w:pPr>
        <w:pStyle w:val="FootnoteText"/>
      </w:pPr>
      <w:r>
        <w:rPr>
          <w:rStyle w:val="FootnoteReference"/>
        </w:rPr>
        <w:footnoteRef/>
      </w:r>
      <w:r>
        <w:rPr>
          <w:i/>
          <w:iCs/>
        </w:rPr>
        <w:t xml:space="preserve">1.16v</w:t>
      </w:r>
      <w:r>
        <w:t xml:space="preserve">.</w:t>
      </w:r>
    </w:p>
  </w:footnote>
  <w:footnote w:id="279">
    <w:p>
      <w:pPr>
        <w:pStyle w:val="FootnoteText"/>
      </w:pPr>
      <w:r>
        <w:rPr>
          <w:rStyle w:val="FootnoteReference"/>
        </w:rPr>
        <w:footnoteRef/>
      </w:r>
      <w:r>
        <w:rPr>
          <w:i/>
          <w:iCs/>
        </w:rPr>
        <w:t xml:space="preserve">1.17r</w:t>
      </w:r>
      <w:r>
        <w:t xml:space="preserve">. At this point, JE directs himself to the recto of the next leaf.</w:t>
      </w:r>
    </w:p>
  </w:footnote>
  <w:footnote w:id="280">
    <w:p>
      <w:pPr>
        <w:pStyle w:val="FootnoteText"/>
      </w:pPr>
      <w:r>
        <w:rPr>
          <w:rStyle w:val="FootnoteReference"/>
        </w:rPr>
        <w:footnoteRef/>
      </w:r>
      <w:r>
        <w:t xml:space="preserve">At this point JE adds an interlineation which reads, "after this God saw man suffering that God had a design of Redemption, Revelation 15 at beginning." JE may have had in mind here the picture of the angels who praise God and Christ for the initiation of the eschatological defeat of Satan, Revelation 15:1–4.</w:t>
      </w:r>
    </w:p>
  </w:footnote>
  <w:footnote w:id="281">
    <w:p>
      <w:pPr>
        <w:pStyle w:val="FootnoteText"/>
      </w:pPr>
      <w:r>
        <w:rPr>
          <w:rStyle w:val="FootnoteReference"/>
        </w:rPr>
        <w:footnoteRef/>
      </w:r>
      <w:r>
        <w:rPr>
          <w:i/>
          <w:iCs/>
        </w:rPr>
        <w:t xml:space="preserve">1.17v</w:t>
      </w:r>
      <w:r>
        <w:t xml:space="preserve">.</w:t>
      </w:r>
    </w:p>
  </w:footnote>
  <w:footnote w:id="282">
    <w:p>
      <w:pPr>
        <w:pStyle w:val="FootnoteText"/>
      </w:pPr>
      <w:r>
        <w:rPr>
          <w:rStyle w:val="FootnoteReference"/>
        </w:rPr>
        <w:footnoteRef/>
      </w:r>
      <w:r>
        <w:t xml:space="preserve">This reference and the phrase are interlineated, indicating JE's intention to quote.</w:t>
      </w:r>
    </w:p>
  </w:footnote>
  <w:footnote w:id="283">
    <w:p>
      <w:pPr>
        <w:pStyle w:val="FootnoteText"/>
      </w:pPr>
      <w:r>
        <w:rPr>
          <w:rStyle w:val="FootnoteReference"/>
        </w:rPr>
        <w:footnoteRef/>
      </w:r>
      <w:r>
        <w:rPr>
          <w:i/>
          <w:iCs/>
        </w:rPr>
        <w:t xml:space="preserve">1.16v</w:t>
      </w:r>
      <w:r>
        <w:t xml:space="preserve">. At this point, JE apparently moves back to include a sentence left unused by his earlier rearrangement of text.</w:t>
      </w:r>
    </w:p>
  </w:footnote>
  <w:footnote w:id="284">
    <w:p>
      <w:pPr>
        <w:pStyle w:val="FootnoteText"/>
      </w:pPr>
      <w:r>
        <w:rPr>
          <w:rStyle w:val="FootnoteReference"/>
        </w:rPr>
        <w:footnoteRef/>
      </w:r>
      <w:r>
        <w:rPr>
          <w:i/>
          <w:iCs/>
        </w:rPr>
        <w:t xml:space="preserve">1.17v</w:t>
      </w:r>
      <w:r>
        <w:t xml:space="preserve">.</w:t>
      </w:r>
    </w:p>
  </w:footnote>
  <w:footnote w:id="285">
    <w:p>
      <w:pPr>
        <w:pStyle w:val="FootnoteText"/>
      </w:pPr>
      <w:r>
        <w:rPr>
          <w:rStyle w:val="FootnoteReference"/>
        </w:rPr>
        <w:footnoteRef/>
      </w:r>
      <w:r>
        <w:rPr>
          <w:i/>
          <w:iCs/>
        </w:rPr>
        <w:t xml:space="preserve">b</w:t>
      </w:r>
      <w:r>
        <w:t xml:space="preserve">.</w:t>
      </w:r>
    </w:p>
  </w:footnote>
  <w:footnote w:id="286">
    <w:p>
      <w:pPr>
        <w:pStyle w:val="FootnoteText"/>
      </w:pPr>
      <w:r>
        <w:rPr>
          <w:rStyle w:val="FootnoteReference"/>
        </w:rPr>
        <w:footnoteRef/>
      </w:r>
      <w:r>
        <w:t xml:space="preserve">JE thus interprets the seed of Eve as Christ, and the bruising of the serpent's head as Christ's Work of Redemption over and against Satan.</w:t>
      </w:r>
    </w:p>
  </w:footnote>
  <w:footnote w:id="287">
    <w:p>
      <w:pPr>
        <w:pStyle w:val="FootnoteText"/>
      </w:pPr>
      <w:r>
        <w:rPr>
          <w:rStyle w:val="FootnoteReference"/>
        </w:rPr>
        <w:footnoteRef/>
      </w:r>
      <w:r>
        <w:rPr>
          <w:i/>
          <w:iCs/>
        </w:rPr>
        <w:t xml:space="preserve">1.18r</w:t>
      </w:r>
      <w:r>
        <w:t xml:space="preserve">.</w:t>
      </w:r>
    </w:p>
  </w:footnote>
  <w:footnote w:id="288">
    <w:p>
      <w:pPr>
        <w:pStyle w:val="FootnoteText"/>
      </w:pPr>
      <w:r>
        <w:rPr>
          <w:rStyle w:val="FootnoteReference"/>
        </w:rPr>
        <w:footnoteRef/>
      </w:r>
      <w:r>
        <w:t xml:space="preserve">This is an obvious allusion to Genesis 3:7–8.</w:t>
      </w:r>
    </w:p>
  </w:footnote>
  <w:footnote w:id="289">
    <w:p>
      <w:pPr>
        <w:pStyle w:val="FootnoteText"/>
      </w:pPr>
      <w:r>
        <w:rPr>
          <w:rStyle w:val="FootnoteReference"/>
        </w:rPr>
        <w:footnoteRef/>
      </w:r>
      <w:r>
        <w:t xml:space="preserve">JE conflates the question put to Eve ("What is this?") in Genesis 3:13 with the question put to Adam ("Hast thou eaten of the tree?") in Genesis 3:11.</w:t>
      </w:r>
    </w:p>
  </w:footnote>
  <w:footnote w:id="290">
    <w:p>
      <w:pPr>
        <w:pStyle w:val="FootnoteText"/>
      </w:pPr>
      <w:r>
        <w:rPr>
          <w:rStyle w:val="FootnoteReference"/>
        </w:rPr>
        <w:footnoteRef/>
      </w:r>
      <w:r>
        <w:rPr>
          <w:i/>
          <w:iCs/>
        </w:rPr>
        <w:t xml:space="preserve">1.18v</w:t>
      </w:r>
      <w:r>
        <w:t xml:space="preserve">.</w:t>
      </w:r>
    </w:p>
  </w:footnote>
  <w:footnote w:id="291">
    <w:p>
      <w:pPr>
        <w:pStyle w:val="FootnoteText"/>
      </w:pPr>
      <w:r>
        <w:rPr>
          <w:rStyle w:val="FootnoteReference"/>
        </w:rPr>
        <w:footnoteRef/>
      </w:r>
      <w:r>
        <w:t xml:space="preserve">The sentence is that of banishment from the garden, sorrow, subjection, toil, etc., in Genesis 3:16–24.</w:t>
      </w:r>
    </w:p>
  </w:footnote>
  <w:footnote w:id="292">
    <w:p>
      <w:pPr>
        <w:pStyle w:val="FootnoteText"/>
      </w:pPr>
      <w:r>
        <w:rPr>
          <w:rStyle w:val="FootnoteReference"/>
        </w:rPr>
        <w:footnoteRef/>
      </w:r>
      <w:r>
        <w:rPr>
          <w:i/>
          <w:iCs/>
        </w:rPr>
        <w:t xml:space="preserve">1.19r</w:t>
      </w:r>
      <w:r>
        <w:t xml:space="preserve">.</w:t>
      </w:r>
    </w:p>
  </w:footnote>
  <w:footnote w:id="293">
    <w:p>
      <w:pPr>
        <w:pStyle w:val="FootnoteText"/>
      </w:pPr>
      <w:r>
        <w:rPr>
          <w:rStyle w:val="FootnoteReference"/>
        </w:rPr>
        <w:footnoteRef/>
      </w:r>
      <w:r>
        <w:t xml:space="preserve">Here an interlineation by JE reads, "Satan probably had triumphed greatly."</w:t>
      </w:r>
    </w:p>
  </w:footnote>
  <w:footnote w:id="294">
    <w:p>
      <w:pPr>
        <w:pStyle w:val="FootnoteText"/>
      </w:pPr>
      <w:r>
        <w:rPr>
          <w:rStyle w:val="FootnoteReference"/>
        </w:rPr>
        <w:footnoteRef/>
      </w:r>
      <w:r>
        <w:t xml:space="preserve">Text requires bracketed words or excision of "into the world."</w:t>
      </w:r>
    </w:p>
  </w:footnote>
  <w:footnote w:id="295">
    <w:p>
      <w:pPr>
        <w:pStyle w:val="FootnoteText"/>
      </w:pPr>
      <w:r>
        <w:rPr>
          <w:rStyle w:val="FootnoteReference"/>
        </w:rPr>
        <w:footnoteRef/>
      </w:r>
      <w:r>
        <w:rPr>
          <w:i/>
          <w:iCs/>
        </w:rPr>
        <w:t xml:space="preserve">c</w:t>
      </w:r>
      <w:r>
        <w:t xml:space="preserve">.</w:t>
      </w:r>
    </w:p>
  </w:footnote>
  <w:footnote w:id="296">
    <w:p>
      <w:pPr>
        <w:pStyle w:val="FootnoteText"/>
      </w:pPr>
      <w:r>
        <w:rPr>
          <w:rStyle w:val="FootnoteReference"/>
        </w:rPr>
        <w:footnoteRef/>
      </w:r>
      <w:r>
        <w:rPr>
          <w:i/>
          <w:iCs/>
        </w:rPr>
        <w:t xml:space="preserve">1.19v</w:t>
      </w:r>
      <w:r>
        <w:t xml:space="preserve">.</w:t>
      </w:r>
    </w:p>
  </w:footnote>
  <w:footnote w:id="297">
    <w:p>
      <w:pPr>
        <w:pStyle w:val="FootnoteText"/>
      </w:pPr>
      <w:r>
        <w:rPr>
          <w:rStyle w:val="FootnoteReference"/>
        </w:rPr>
        <w:footnoteRef/>
      </w:r>
      <w:r>
        <w:t xml:space="preserve">See Genesis 4:4; Genesis 8:20; Genesis 22:13; and Genesis 31:54 for the sacrifices, respectively, of Abel, Noah, Abraham, and Jacob. No clear reference is made to Isaac, although he built an altar in Genesis 26:25.</w:t>
      </w:r>
    </w:p>
  </w:footnote>
  <w:footnote w:id="298">
    <w:p>
      <w:pPr>
        <w:pStyle w:val="FootnoteText"/>
      </w:pPr>
      <w:r>
        <w:rPr>
          <w:rStyle w:val="FootnoteReference"/>
        </w:rPr>
        <w:footnoteRef/>
      </w:r>
      <w:r>
        <w:t xml:space="preserve">This verse—"this people draw near me with their mouth … but have removed their heart far from me, and their fear toward me is taught by the precept of men"—is a general denunciation of human wisdom and religious rite lacking a spirit of obedience. See Isaiah 29:1–2 for prophetic anger against impious sacrifices.</w:t>
      </w:r>
    </w:p>
  </w:footnote>
  <w:footnote w:id="299">
    <w:p>
      <w:pPr>
        <w:pStyle w:val="FootnoteText"/>
      </w:pPr>
      <w:r>
        <w:rPr>
          <w:rStyle w:val="FootnoteReference"/>
        </w:rPr>
        <w:footnoteRef/>
      </w:r>
      <w:r>
        <w:t xml:space="preserve">Spacing in manuscript may indicate JE meant this phrase to be a heading.</w:t>
      </w:r>
    </w:p>
  </w:footnote>
  <w:footnote w:id="300">
    <w:p>
      <w:pPr>
        <w:pStyle w:val="FootnoteText"/>
      </w:pPr>
      <w:r>
        <w:rPr>
          <w:rStyle w:val="FootnoteReference"/>
        </w:rPr>
        <w:footnoteRef/>
      </w:r>
      <w:r>
        <w:rPr>
          <w:i/>
          <w:iCs/>
        </w:rPr>
        <w:t xml:space="preserve">1.20r</w:t>
      </w:r>
      <w:r>
        <w:t xml:space="preserve">.</w:t>
      </w:r>
    </w:p>
  </w:footnote>
  <w:footnote w:id="301">
    <w:p>
      <w:pPr>
        <w:pStyle w:val="FootnoteText"/>
      </w:pPr>
      <w:r>
        <w:rPr>
          <w:rStyle w:val="FootnoteReference"/>
        </w:rPr>
        <w:footnoteRef/>
      </w:r>
      <w:r>
        <w:rPr>
          <w:i/>
          <w:iCs/>
        </w:rPr>
        <w:t xml:space="preserve">1.20v</w:t>
      </w:r>
      <w:r>
        <w:t xml:space="preserve">. Genesis 3:21.</w:t>
      </w:r>
    </w:p>
  </w:footnote>
  <w:footnote w:id="302">
    <w:p>
      <w:pPr>
        <w:pStyle w:val="FootnoteText"/>
      </w:pPr>
      <w:r>
        <w:rPr>
          <w:rStyle w:val="FootnoteReference"/>
        </w:rPr>
        <w:footnoteRef/>
      </w:r>
      <w:r>
        <w:t xml:space="preserve">Genesis 9:3.</w:t>
      </w:r>
    </w:p>
  </w:footnote>
  <w:footnote w:id="303">
    <w:p>
      <w:pPr>
        <w:pStyle w:val="FootnoteText"/>
      </w:pPr>
      <w:r>
        <w:rPr>
          <w:rStyle w:val="FootnoteReference"/>
        </w:rPr>
        <w:footnoteRef/>
      </w:r>
      <w:r>
        <w:rPr>
          <w:i/>
          <w:iCs/>
        </w:rPr>
        <w:t xml:space="preserve">1.21r</w:t>
      </w:r>
      <w:r>
        <w:t xml:space="preserve">.</w:t>
      </w:r>
    </w:p>
  </w:footnote>
  <w:footnote w:id="304">
    <w:p>
      <w:pPr>
        <w:pStyle w:val="FootnoteText"/>
      </w:pPr>
      <w:r>
        <w:rPr>
          <w:rStyle w:val="FootnoteReference"/>
        </w:rPr>
        <w:footnoteRef/>
      </w:r>
      <w:r>
        <w:t xml:space="preserve">The text continues, "all that a man hath will he give for his life." This is Satan's charge, to which Job submitted, the destruction of his family and animals in return for keeping his life.</w:t>
      </w:r>
    </w:p>
  </w:footnote>
  <w:footnote w:id="305">
    <w:p>
      <w:pPr>
        <w:pStyle w:val="FootnoteText"/>
      </w:pPr>
      <w:r>
        <w:rPr>
          <w:rStyle w:val="FootnoteReference"/>
        </w:rPr>
        <w:footnoteRef/>
      </w:r>
      <w:r>
        <w:rPr>
          <w:i/>
          <w:iCs/>
        </w:rPr>
        <w:t xml:space="preserve">1.21v</w:t>
      </w:r>
      <w:r>
        <w:t xml:space="preserve">.</w:t>
      </w:r>
    </w:p>
  </w:footnote>
  <w:footnote w:id="306">
    <w:p>
      <w:pPr>
        <w:pStyle w:val="FootnoteText"/>
      </w:pPr>
      <w:r>
        <w:rPr>
          <w:rStyle w:val="FootnoteReference"/>
        </w:rPr>
        <w:footnoteRef/>
      </w:r>
      <w:r>
        <w:rPr>
          <w:i/>
          <w:iCs/>
        </w:rPr>
        <w:t xml:space="preserve">1.22r</w:t>
      </w:r>
      <w:r>
        <w:t xml:space="preserve">.</w:t>
      </w:r>
    </w:p>
  </w:footnote>
  <w:footnote w:id="307">
    <w:p>
      <w:pPr>
        <w:pStyle w:val="FootnoteText"/>
      </w:pPr>
      <w:r>
        <w:rPr>
          <w:rStyle w:val="FootnoteReference"/>
        </w:rPr>
        <w:footnoteRef/>
      </w:r>
      <w:r>
        <w:rPr>
          <w:i/>
          <w:iCs/>
        </w:rPr>
        <w:t xml:space="preserve">1.22v</w:t>
      </w:r>
      <w:r>
        <w:t xml:space="preserve">.</w:t>
      </w:r>
    </w:p>
  </w:footnote>
  <w:footnote w:id="308">
    <w:p>
      <w:pPr>
        <w:pStyle w:val="FootnoteText"/>
      </w:pPr>
      <w:r>
        <w:rPr>
          <w:rStyle w:val="FootnoteReference"/>
        </w:rPr>
        <w:footnoteRef/>
      </w:r>
      <w:r>
        <w:rPr>
          <w:i/>
          <w:iCs/>
        </w:rPr>
        <w:t xml:space="preserve">d</w:t>
      </w:r>
      <w:r>
        <w:t xml:space="preserve">.</w:t>
      </w:r>
    </w:p>
  </w:footnote>
  <w:footnote w:id="309">
    <w:p>
      <w:pPr>
        <w:pStyle w:val="FootnoteText"/>
      </w:pPr>
      <w:r>
        <w:rPr>
          <w:rStyle w:val="FootnoteReference"/>
        </w:rPr>
        <w:footnoteRef/>
      </w:r>
      <w:r>
        <w:rPr>
          <w:i/>
          <w:iCs/>
        </w:rPr>
        <w:t xml:space="preserve">1.23r</w:t>
      </w:r>
      <w:r>
        <w:t xml:space="preserve">.</w:t>
      </w:r>
    </w:p>
  </w:footnote>
  <w:footnote w:id="310">
    <w:p>
      <w:pPr>
        <w:pStyle w:val="FootnoteText"/>
      </w:pPr>
      <w:r>
        <w:rPr>
          <w:rStyle w:val="FootnoteReference"/>
        </w:rPr>
        <w:footnoteRef/>
      </w:r>
      <w:r>
        <w:rPr>
          <w:i/>
          <w:iCs/>
        </w:rPr>
        <w:t xml:space="preserve">1.23v</w:t>
      </w:r>
      <w:r>
        <w:t xml:space="preserve">.</w:t>
      </w:r>
    </w:p>
  </w:footnote>
  <w:footnote w:id="311">
    <w:p>
      <w:pPr>
        <w:pStyle w:val="FootnoteText"/>
      </w:pPr>
      <w:r>
        <w:rPr>
          <w:rStyle w:val="FootnoteReference"/>
        </w:rPr>
        <w:footnoteRef/>
      </w:r>
      <w:r>
        <w:t xml:space="preserve">JE clearly has in mind here the biblical account that Christ—the seed promised to bruise Satan—was related genealogically to Seth, not Cain. See Genesis 5 and Luke 3:23–38.</w:t>
      </w:r>
    </w:p>
  </w:footnote>
  <w:footnote w:id="312">
    <w:p>
      <w:pPr>
        <w:pStyle w:val="FootnoteText"/>
      </w:pPr>
      <w:r>
        <w:rPr>
          <w:rStyle w:val="FootnoteReference"/>
        </w:rPr>
        <w:footnoteRef/>
      </w:r>
      <w:r>
        <w:t xml:space="preserve">"God, she said, hath appointed me another seed instead of Abel" (Genesis 4:25).</w:t>
      </w:r>
    </w:p>
  </w:footnote>
  <w:footnote w:id="313">
    <w:p>
      <w:pPr>
        <w:pStyle w:val="FootnoteText"/>
      </w:pPr>
      <w:r>
        <w:rPr>
          <w:rStyle w:val="FootnoteReference"/>
        </w:rPr>
        <w:footnoteRef/>
      </w:r>
      <w:r>
        <w:rPr>
          <w:i/>
          <w:iCs/>
        </w:rPr>
        <w:t xml:space="preserve">1.24r</w:t>
      </w:r>
      <w:r>
        <w:t xml:space="preserve">.</w:t>
      </w:r>
    </w:p>
  </w:footnote>
  <w:footnote w:id="314">
    <w:p>
      <w:pPr>
        <w:pStyle w:val="FootnoteText"/>
      </w:pPr>
      <w:r>
        <w:rPr>
          <w:rStyle w:val="FootnoteReference"/>
        </w:rPr>
        <w:footnoteRef/>
      </w:r>
      <w:r>
        <w:t xml:space="preserve">Reading uncertain.</w:t>
      </w:r>
    </w:p>
  </w:footnote>
  <w:footnote w:id="315">
    <w:p>
      <w:pPr>
        <w:pStyle w:val="FootnoteText"/>
      </w:pPr>
      <w:r>
        <w:rPr>
          <w:rStyle w:val="FootnoteReference"/>
        </w:rPr>
        <w:footnoteRef/>
      </w:r>
      <w:r>
        <w:t xml:space="preserve">See Genesis 4:8, where Abel's death at Cain's hands is mentioned. The rest of the detail, e.g. the angels and the ascent of Abel's soul, is JE's interpolation.</w:t>
      </w:r>
    </w:p>
  </w:footnote>
  <w:footnote w:id="316">
    <w:p>
      <w:pPr>
        <w:pStyle w:val="FootnoteText"/>
      </w:pPr>
      <w:r>
        <w:rPr>
          <w:rStyle w:val="FootnoteReference"/>
        </w:rPr>
        <w:footnoteRef/>
      </w:r>
      <w:r>
        <w:rPr>
          <w:i/>
          <w:iCs/>
        </w:rPr>
        <w:t xml:space="preserve">1.24v</w:t>
      </w:r>
      <w:r>
        <w:t xml:space="preserve">.</w:t>
      </w:r>
    </w:p>
  </w:footnote>
  <w:footnote w:id="317">
    <w:p>
      <w:pPr>
        <w:pStyle w:val="FootnoteText"/>
      </w:pPr>
      <w:r>
        <w:rPr>
          <w:rStyle w:val="FootnoteReference"/>
        </w:rPr>
        <w:footnoteRef/>
      </w:r>
      <w:r>
        <w:rPr>
          <w:i/>
          <w:iCs/>
        </w:rPr>
        <w:t xml:space="preserve">1.24v</w:t>
      </w:r>
      <w:r>
        <w:t xml:space="preserve">.</w:t>
      </w:r>
    </w:p>
  </w:footnote>
  <w:footnote w:id="318">
    <w:p>
      <w:pPr>
        <w:pStyle w:val="FootnoteText"/>
      </w:pPr>
      <w:r>
        <w:rPr>
          <w:rStyle w:val="FootnoteReference"/>
        </w:rPr>
        <w:footnoteRef/>
      </w:r>
      <w:r>
        <w:t xml:space="preserve">The third sermon of the series continues in the same booklet without any recapitulation of arguments or even a formal indication that the doctrine of the whole is to be reiterated. A plausible inference is that this sermon was delivered at a second preaching occasion on the same day that the second sermon was given. Typically, JE preached on Sunday forenoons and afternoons.</w:t>
      </w:r>
    </w:p>
  </w:footnote>
  <w:footnote w:id="319">
    <w:p>
      <w:pPr>
        <w:pStyle w:val="FootnoteText"/>
      </w:pPr>
      <w:r>
        <w:rPr>
          <w:rStyle w:val="FootnoteReference"/>
        </w:rPr>
        <w:footnoteRef/>
      </w:r>
      <w:r>
        <w:rPr>
          <w:i/>
          <w:iCs/>
        </w:rPr>
        <w:t xml:space="preserve">e</w:t>
      </w:r>
      <w:r>
        <w:t xml:space="preserve">.</w:t>
      </w:r>
    </w:p>
  </w:footnote>
  <w:footnote w:id="320">
    <w:p>
      <w:pPr>
        <w:pStyle w:val="FootnoteText"/>
      </w:pPr>
      <w:r>
        <w:rPr>
          <w:rStyle w:val="FootnoteReference"/>
        </w:rPr>
        <w:footnoteRef/>
      </w:r>
      <w:r>
        <w:rPr>
          <w:i/>
          <w:iCs/>
        </w:rPr>
        <w:t xml:space="preserve">1.25r</w:t>
      </w:r>
      <w:r>
        <w:t xml:space="preserve">.</w:t>
      </w:r>
    </w:p>
  </w:footnote>
  <w:footnote w:id="321">
    <w:p>
      <w:pPr>
        <w:pStyle w:val="FootnoteText"/>
      </w:pPr>
      <w:r>
        <w:rPr>
          <w:rStyle w:val="FootnoteReference"/>
        </w:rPr>
        <w:footnoteRef/>
      </w:r>
      <w:r>
        <w:rPr>
          <w:i/>
          <w:iCs/>
        </w:rPr>
        <w:t xml:space="preserve">1.25v</w:t>
      </w:r>
      <w:r>
        <w:t xml:space="preserve">. Leaf breaks at "re."</w:t>
      </w:r>
    </w:p>
  </w:footnote>
  <w:footnote w:id="322">
    <w:p>
      <w:pPr>
        <w:pStyle w:val="FootnoteText"/>
      </w:pPr>
      <w:r>
        <w:rPr>
          <w:rStyle w:val="FootnoteReference"/>
        </w:rPr>
        <w:footnoteRef/>
      </w:r>
      <w:r>
        <w:t xml:space="preserve">Although the revival known as the Great Awakening, occasioned by the itineration of George Whitefield, did not take place until 1741, the Northampton church had experienced a remarkable refreshment in 1734, which JE publicized through </w:t>
      </w:r>
      <w:r>
        <w:rPr>
          <w:i/>
          <w:iCs/>
        </w:rPr>
        <w:t xml:space="preserve">A Faithful Narrative</w:t>
      </w:r>
      <w:r>
        <w:t xml:space="preserve">. See </w:t>
      </w:r>
      <w:r>
        <w:rPr>
          <w:i/>
          <w:iCs/>
        </w:rPr>
        <w:t xml:space="preserve">Works</w:t>
      </w:r>
      <w:r>
        <w:t xml:space="preserve"> (Yale ed., 1972). </w:t>
      </w:r>
      <w:r>
        <w:rPr>
          <w:i/>
          <w:iCs/>
        </w:rPr>
        <w:t xml:space="preserve">4</w:t>
      </w:r>
      <w:r>
        <w:t xml:space="preserve">, </w:t>
      </w:r>
      <w:r>
        <w:rPr>
          <w:i/>
          <w:iCs/>
        </w:rPr>
        <w:t xml:space="preserve">The Great Awakening</w:t>
      </w:r>
      <w:r>
        <w:t xml:space="preserve">, ed. C. C. Goen.</w:t>
      </w:r>
    </w:p>
  </w:footnote>
  <w:footnote w:id="323">
    <w:p>
      <w:pPr>
        <w:pStyle w:val="FootnoteText"/>
      </w:pPr>
      <w:r>
        <w:rPr>
          <w:rStyle w:val="FootnoteReference"/>
        </w:rPr>
        <w:footnoteRef/>
      </w:r>
      <w:r>
        <w:t xml:space="preserve">JE is perhaps referring to Acts 9:3–6, in which Paul first speaks with Christ.</w:t>
      </w:r>
    </w:p>
  </w:footnote>
  <w:footnote w:id="324">
    <w:p>
      <w:pPr>
        <w:pStyle w:val="FootnoteText"/>
      </w:pPr>
      <w:r>
        <w:rPr>
          <w:rStyle w:val="FootnoteReference"/>
        </w:rPr>
        <w:footnoteRef/>
      </w:r>
      <w:r>
        <w:t xml:space="preserve">Zechariah 12:10.</w:t>
      </w:r>
    </w:p>
  </w:footnote>
  <w:footnote w:id="325">
    <w:p>
      <w:pPr>
        <w:pStyle w:val="FootnoteText"/>
      </w:pPr>
      <w:r>
        <w:rPr>
          <w:rStyle w:val="FootnoteReference"/>
        </w:rPr>
        <w:footnoteRef/>
      </w:r>
      <w:r>
        <w:t xml:space="preserve">JE indicates intent to quote further from both Zechariah and Zephaniah.</w:t>
      </w:r>
    </w:p>
  </w:footnote>
  <w:footnote w:id="326">
    <w:p>
      <w:pPr>
        <w:pStyle w:val="FootnoteText"/>
      </w:pPr>
      <w:r>
        <w:rPr>
          <w:rStyle w:val="FootnoteReference"/>
        </w:rPr>
        <w:footnoteRef/>
      </w:r>
      <w:r>
        <w:t xml:space="preserve">JE's emphasis.</w:t>
      </w:r>
    </w:p>
  </w:footnote>
  <w:footnote w:id="327">
    <w:p>
      <w:pPr>
        <w:pStyle w:val="FootnoteText"/>
      </w:pPr>
      <w:r>
        <w:rPr>
          <w:rStyle w:val="FootnoteReference"/>
        </w:rPr>
        <w:footnoteRef/>
      </w:r>
      <w:r>
        <w:rPr>
          <w:i/>
          <w:iCs/>
        </w:rPr>
        <w:t xml:space="preserve">1.26r</w:t>
      </w:r>
      <w:r>
        <w:t xml:space="preserve">.</w:t>
      </w:r>
    </w:p>
  </w:footnote>
  <w:footnote w:id="328">
    <w:p>
      <w:pPr>
        <w:pStyle w:val="FootnoteText"/>
      </w:pPr>
      <w:r>
        <w:rPr>
          <w:rStyle w:val="FootnoteReference"/>
        </w:rPr>
        <w:footnoteRef/>
      </w:r>
      <w:r>
        <w:t xml:space="preserve">JE's reference here is meant to show that outpourings of the Spirit (salvation) are frequently indicated in Scripture by the word </w:t>
      </w:r>
      <w:r>
        <w:rPr>
          <w:i/>
          <w:iCs/>
        </w:rPr>
        <w:t xml:space="preserve">began</w:t>
      </w:r>
      <w:r>
        <w:t xml:space="preserve">. Thus Saul's attempt to revive obedience to the ceremonial law was described, JE argues, by the phrase "he began to."</w:t>
      </w:r>
    </w:p>
  </w:footnote>
  <w:footnote w:id="329">
    <w:p>
      <w:pPr>
        <w:pStyle w:val="FootnoteText"/>
      </w:pPr>
      <w:r>
        <w:rPr>
          <w:rStyle w:val="FootnoteReference"/>
        </w:rPr>
        <w:footnoteRef/>
      </w:r>
      <w:r>
        <w:rPr>
          <w:i/>
          <w:iCs/>
        </w:rPr>
        <w:t xml:space="preserve">1.26v</w:t>
      </w:r>
      <w:r>
        <w:t xml:space="preserve">.</w:t>
      </w:r>
    </w:p>
  </w:footnote>
  <w:footnote w:id="330">
    <w:p>
      <w:pPr>
        <w:pStyle w:val="FootnoteText"/>
      </w:pPr>
      <w:r>
        <w:rPr>
          <w:rStyle w:val="FootnoteReference"/>
        </w:rPr>
        <w:footnoteRef/>
      </w:r>
      <w:r>
        <w:t xml:space="preserve">JE first started his sixth point here, but crossed it out in order to make concluding remarks.</w:t>
      </w:r>
    </w:p>
  </w:footnote>
  <w:footnote w:id="331">
    <w:p>
      <w:pPr>
        <w:pStyle w:val="FootnoteText"/>
      </w:pPr>
      <w:r>
        <w:rPr>
          <w:rStyle w:val="FootnoteReference"/>
        </w:rPr>
        <w:footnoteRef/>
      </w:r>
      <w:r>
        <w:rPr>
          <w:i/>
          <w:iCs/>
        </w:rPr>
        <w:t xml:space="preserve">f</w:t>
      </w:r>
      <w:r>
        <w:t xml:space="preserve">.</w:t>
      </w:r>
    </w:p>
  </w:footnote>
  <w:footnote w:id="332">
    <w:p>
      <w:pPr>
        <w:pStyle w:val="FootnoteText"/>
      </w:pPr>
      <w:r>
        <w:rPr>
          <w:rStyle w:val="FootnoteReference"/>
        </w:rPr>
        <w:footnoteRef/>
      </w:r>
      <w:r>
        <w:t xml:space="preserve">See Genesis 5:18–24.</w:t>
      </w:r>
    </w:p>
  </w:footnote>
  <w:footnote w:id="333">
    <w:p>
      <w:pPr>
        <w:pStyle w:val="FootnoteText"/>
      </w:pPr>
      <w:r>
        <w:rPr>
          <w:rStyle w:val="FootnoteReference"/>
        </w:rPr>
        <w:footnoteRef/>
      </w:r>
      <w:r>
        <w:rPr>
          <w:i/>
          <w:iCs/>
        </w:rPr>
        <w:t xml:space="preserve">1.27r</w:t>
      </w:r>
      <w:r>
        <w:t xml:space="preserve">.</w:t>
      </w:r>
    </w:p>
  </w:footnote>
  <w:footnote w:id="334">
    <w:p>
      <w:pPr>
        <w:pStyle w:val="FootnoteText"/>
      </w:pPr>
      <w:r>
        <w:rPr>
          <w:rStyle w:val="FootnoteReference"/>
        </w:rPr>
        <w:footnoteRef/>
      </w:r>
      <w:r>
        <w:rPr>
          <w:i/>
          <w:iCs/>
        </w:rPr>
        <w:t xml:space="preserve">g</w:t>
      </w:r>
      <w:r>
        <w:t xml:space="preserve">.</w:t>
      </w:r>
    </w:p>
  </w:footnote>
  <w:footnote w:id="335">
    <w:p>
      <w:pPr>
        <w:pStyle w:val="FootnoteText"/>
      </w:pPr>
      <w:r>
        <w:rPr>
          <w:rStyle w:val="FootnoteReference"/>
        </w:rPr>
        <w:footnoteRef/>
      </w:r>
      <w:r>
        <w:rPr>
          <w:i/>
          <w:iCs/>
        </w:rPr>
        <w:t xml:space="preserve">1.27v</w:t>
      </w:r>
      <w:r>
        <w:t xml:space="preserve">.</w:t>
      </w:r>
    </w:p>
  </w:footnote>
  <w:footnote w:id="336">
    <w:p>
      <w:pPr>
        <w:pStyle w:val="FootnoteText"/>
      </w:pPr>
      <w:r>
        <w:rPr>
          <w:rStyle w:val="FootnoteReference"/>
        </w:rPr>
        <w:footnoteRef/>
      </w:r>
      <w:r>
        <w:rPr>
          <w:i/>
          <w:iCs/>
        </w:rPr>
        <w:t xml:space="preserve">1.28r</w:t>
      </w:r>
      <w:r>
        <w:t xml:space="preserve">.</w:t>
      </w:r>
    </w:p>
  </w:footnote>
  <w:footnote w:id="337">
    <w:p>
      <w:pPr>
        <w:pStyle w:val="FootnoteText"/>
      </w:pPr>
      <w:r>
        <w:rPr>
          <w:rStyle w:val="FootnoteReference"/>
        </w:rPr>
        <w:footnoteRef/>
      </w:r>
      <w:r>
        <w:rPr>
          <w:i/>
          <w:iCs/>
        </w:rPr>
        <w:t xml:space="preserve">1.28v</w:t>
      </w:r>
      <w:r>
        <w:t xml:space="preserve">.</w:t>
      </w:r>
    </w:p>
  </w:footnote>
  <w:footnote w:id="338">
    <w:p>
      <w:pPr>
        <w:pStyle w:val="FootnoteText"/>
      </w:pPr>
      <w:r>
        <w:rPr>
          <w:rStyle w:val="FootnoteReference"/>
        </w:rPr>
        <w:footnoteRef/>
      </w:r>
      <w:r>
        <w:rPr>
          <w:i/>
          <w:iCs/>
        </w:rPr>
        <w:t xml:space="preserve">h</w:t>
      </w:r>
      <w:r>
        <w:t xml:space="preserve">.</w:t>
      </w:r>
    </w:p>
  </w:footnote>
  <w:footnote w:id="339">
    <w:p>
      <w:pPr>
        <w:pStyle w:val="FootnoteText"/>
      </w:pPr>
      <w:r>
        <w:rPr>
          <w:rStyle w:val="FootnoteReference"/>
        </w:rPr>
        <w:footnoteRef/>
      </w:r>
      <w:r>
        <w:rPr>
          <w:i/>
          <w:iCs/>
        </w:rPr>
        <w:t xml:space="preserve">1.29r</w:t>
      </w:r>
      <w:r>
        <w:t xml:space="preserve">.</w:t>
      </w:r>
    </w:p>
  </w:footnote>
  <w:footnote w:id="340">
    <w:p>
      <w:pPr>
        <w:pStyle w:val="FootnoteText"/>
      </w:pPr>
      <w:r>
        <w:rPr>
          <w:rStyle w:val="FootnoteReference"/>
        </w:rPr>
        <w:footnoteRef/>
      </w:r>
      <w:r>
        <w:t xml:space="preserve">See 2 Kings 2:11 and Mark 9:4 for references to Elijah's glorification.</w:t>
      </w:r>
    </w:p>
  </w:footnote>
  <w:footnote w:id="341">
    <w:p>
      <w:pPr>
        <w:pStyle w:val="FootnoteText"/>
      </w:pPr>
      <w:r>
        <w:rPr>
          <w:rStyle w:val="FootnoteReference"/>
        </w:rPr>
        <w:footnoteRef/>
      </w:r>
      <w:r>
        <w:rPr>
          <w:i/>
          <w:iCs/>
        </w:rPr>
        <w:t xml:space="preserve">1.29v</w:t>
      </w:r>
      <w:r>
        <w:t xml:space="preserve">.</w:t>
      </w:r>
    </w:p>
  </w:footnote>
  <w:footnote w:id="342">
    <w:p>
      <w:pPr>
        <w:pStyle w:val="FootnoteText"/>
      </w:pPr>
      <w:r>
        <w:rPr>
          <w:rStyle w:val="FootnoteReference"/>
        </w:rPr>
        <w:footnoteRef/>
      </w:r>
      <w:r>
        <w:t xml:space="preserve">Probable reading: I have dropped the words "to them" that followed "knowing."</w:t>
      </w:r>
    </w:p>
  </w:footnote>
  <w:footnote w:id="343">
    <w:p>
      <w:pPr>
        <w:pStyle w:val="FootnoteText"/>
      </w:pPr>
      <w:r>
        <w:rPr>
          <w:rStyle w:val="FootnoteReference"/>
        </w:rPr>
        <w:footnoteRef/>
      </w:r>
      <w:r>
        <w:rPr>
          <w:i/>
          <w:iCs/>
        </w:rPr>
        <w:t xml:space="preserve">1.30r</w:t>
      </w:r>
      <w:r>
        <w:t xml:space="preserve">.</w:t>
      </w:r>
    </w:p>
  </w:footnote>
  <w:footnote w:id="344">
    <w:p>
      <w:pPr>
        <w:pStyle w:val="FootnoteText"/>
      </w:pPr>
      <w:r>
        <w:rPr>
          <w:rStyle w:val="FootnoteReference"/>
        </w:rPr>
        <w:footnoteRef/>
      </w:r>
      <w:r>
        <w:rPr>
          <w:i/>
          <w:iCs/>
        </w:rPr>
        <w:t xml:space="preserve">i</w:t>
      </w:r>
      <w:r>
        <w:t xml:space="preserve">.</w:t>
      </w:r>
    </w:p>
  </w:footnote>
  <w:footnote w:id="345">
    <w:p>
      <w:pPr>
        <w:pStyle w:val="FootnoteText"/>
      </w:pPr>
      <w:r>
        <w:rPr>
          <w:rStyle w:val="FootnoteReference"/>
        </w:rPr>
        <w:footnoteRef/>
      </w:r>
      <w:r>
        <w:rPr>
          <w:i/>
          <w:iCs/>
        </w:rPr>
        <w:t xml:space="preserve">1.30v</w:t>
      </w:r>
      <w:r>
        <w:t xml:space="preserve">.</w:t>
      </w:r>
    </w:p>
  </w:footnote>
  <w:footnote w:id="346">
    <w:p>
      <w:pPr>
        <w:pStyle w:val="FootnoteText"/>
      </w:pPr>
      <w:r>
        <w:rPr>
          <w:rStyle w:val="FootnoteReference"/>
        </w:rPr>
        <w:footnoteRef/>
      </w:r>
      <w:r>
        <w:t xml:space="preserve">Genesis 1:28.</w:t>
      </w:r>
    </w:p>
  </w:footnote>
  <w:footnote w:id="347">
    <w:p>
      <w:pPr>
        <w:pStyle w:val="FootnoteText"/>
      </w:pPr>
      <w:r>
        <w:rPr>
          <w:rStyle w:val="FootnoteReference"/>
        </w:rPr>
        <w:footnoteRef/>
      </w:r>
      <w:r>
        <w:rPr>
          <w:i/>
          <w:iCs/>
        </w:rPr>
        <w:t xml:space="preserve">1.31r</w:t>
      </w:r>
      <w:r>
        <w:t xml:space="preserve">.</w:t>
      </w:r>
    </w:p>
  </w:footnote>
  <w:footnote w:id="348">
    <w:p>
      <w:pPr>
        <w:pStyle w:val="FootnoteText"/>
      </w:pPr>
      <w:r>
        <w:rPr>
          <w:rStyle w:val="FootnoteReference"/>
        </w:rPr>
        <w:footnoteRef/>
      </w:r>
      <w:r>
        <w:t xml:space="preserve">JE loosely paraphrases Genesis 6:5 without citation.</w:t>
      </w:r>
    </w:p>
  </w:footnote>
  <w:footnote w:id="349">
    <w:p>
      <w:pPr>
        <w:pStyle w:val="FootnoteText"/>
      </w:pPr>
      <w:r>
        <w:rPr>
          <w:rStyle w:val="FootnoteReference"/>
        </w:rPr>
        <w:footnoteRef/>
      </w:r>
      <w:r>
        <w:rPr>
          <w:i/>
          <w:iCs/>
        </w:rPr>
        <w:t xml:space="preserve">1.31v</w:t>
      </w:r>
      <w:r>
        <w:t xml:space="preserve">.</w:t>
      </w:r>
    </w:p>
  </w:footnote>
  <w:footnote w:id="350">
    <w:p>
      <w:pPr>
        <w:pStyle w:val="FootnoteText"/>
      </w:pPr>
      <w:r>
        <w:rPr>
          <w:rStyle w:val="FootnoteReference"/>
        </w:rPr>
        <w:footnoteRef/>
      </w:r>
      <w:r>
        <w:t xml:space="preserve">Matthew 16:18.</w:t>
      </w:r>
    </w:p>
  </w:footnote>
  <w:footnote w:id="351">
    <w:p>
      <w:pPr>
        <w:pStyle w:val="FootnoteText"/>
      </w:pPr>
      <w:r>
        <w:rPr>
          <w:rStyle w:val="FootnoteReference"/>
        </w:rPr>
        <w:footnoteRef/>
      </w:r>
      <w:r>
        <w:rPr>
          <w:i/>
          <w:iCs/>
        </w:rPr>
        <w:t xml:space="preserve">1.32r</w:t>
      </w:r>
      <w:r>
        <w:t xml:space="preserve">. Leaf breaks at "re."</w:t>
      </w:r>
    </w:p>
  </w:footnote>
  <w:footnote w:id="352">
    <w:p>
      <w:pPr>
        <w:pStyle w:val="FootnoteText"/>
      </w:pPr>
      <w:r>
        <w:rPr>
          <w:rStyle w:val="FootnoteReference"/>
        </w:rPr>
        <w:footnoteRef/>
      </w:r>
      <w:r>
        <w:rPr>
          <w:i/>
          <w:iCs/>
        </w:rPr>
        <w:t xml:space="preserve">2</w:t>
      </w:r>
      <w:r>
        <w:t xml:space="preserve">.</w:t>
      </w:r>
    </w:p>
  </w:footnote>
  <w:footnote w:id="353">
    <w:p>
      <w:pPr>
        <w:pStyle w:val="FootnoteText"/>
      </w:pPr>
      <w:r>
        <w:rPr>
          <w:rStyle w:val="FootnoteReference"/>
        </w:rPr>
        <w:footnoteRef/>
      </w:r>
      <w:r>
        <w:rPr>
          <w:i/>
          <w:iCs/>
        </w:rPr>
        <w:t xml:space="preserve">a</w:t>
      </w:r>
      <w:r>
        <w:t xml:space="preserve">.</w:t>
      </w:r>
    </w:p>
  </w:footnote>
  <w:footnote w:id="354">
    <w:p>
      <w:pPr>
        <w:pStyle w:val="FootnoteText"/>
      </w:pPr>
      <w:r>
        <w:rPr>
          <w:rStyle w:val="FootnoteReference"/>
        </w:rPr>
        <w:footnoteRef/>
      </w:r>
      <w:r>
        <w:rPr>
          <w:i/>
          <w:iCs/>
        </w:rPr>
        <w:t xml:space="preserve">1.32v</w:t>
      </w:r>
      <w:r>
        <w:t xml:space="preserve">.</w:t>
      </w:r>
    </w:p>
  </w:footnote>
  <w:footnote w:id="355">
    <w:p>
      <w:pPr>
        <w:pStyle w:val="FootnoteText"/>
      </w:pPr>
      <w:r>
        <w:rPr>
          <w:rStyle w:val="FootnoteReference"/>
        </w:rPr>
        <w:footnoteRef/>
      </w:r>
      <w:r>
        <w:t xml:space="preserve">See Genesis 6:5, Genesis 6:13.</w:t>
      </w:r>
    </w:p>
  </w:footnote>
  <w:footnote w:id="356">
    <w:p>
      <w:pPr>
        <w:pStyle w:val="FootnoteText"/>
      </w:pPr>
      <w:r>
        <w:rPr>
          <w:rStyle w:val="FootnoteReference"/>
        </w:rPr>
        <w:footnoteRef/>
      </w:r>
      <w:r>
        <w:t xml:space="preserve">Genesis 3:15. JE paraphrases but does not cite the verse.</w:t>
      </w:r>
    </w:p>
  </w:footnote>
  <w:footnote w:id="357">
    <w:p>
      <w:pPr>
        <w:pStyle w:val="FootnoteText"/>
      </w:pPr>
      <w:r>
        <w:rPr>
          <w:rStyle w:val="FootnoteReference"/>
        </w:rPr>
        <w:footnoteRef/>
      </w:r>
      <w:r>
        <w:rPr>
          <w:i/>
          <w:iCs/>
        </w:rPr>
        <w:t xml:space="preserve">1.33r</w:t>
      </w:r>
      <w:r>
        <w:t xml:space="preserve">.</w:t>
      </w:r>
    </w:p>
  </w:footnote>
  <w:footnote w:id="358">
    <w:p>
      <w:pPr>
        <w:pStyle w:val="FootnoteText"/>
      </w:pPr>
      <w:r>
        <w:rPr>
          <w:rStyle w:val="FootnoteReference"/>
        </w:rPr>
        <w:footnoteRef/>
      </w:r>
      <w:r>
        <w:t xml:space="preserve">JE paraphrases Genesis 3:15 again without citation.</w:t>
      </w:r>
    </w:p>
  </w:footnote>
  <w:footnote w:id="359">
    <w:p>
      <w:pPr>
        <w:pStyle w:val="FootnoteText"/>
      </w:pPr>
      <w:r>
        <w:rPr>
          <w:rStyle w:val="FootnoteReference"/>
        </w:rPr>
        <w:footnoteRef/>
      </w:r>
      <w:r>
        <w:rPr>
          <w:i/>
          <w:iCs/>
        </w:rPr>
        <w:t xml:space="preserve">1.33v</w:t>
      </w:r>
      <w:r>
        <w:t xml:space="preserve">.</w:t>
      </w:r>
    </w:p>
  </w:footnote>
  <w:footnote w:id="360">
    <w:p>
      <w:pPr>
        <w:pStyle w:val="FootnoteText"/>
      </w:pPr>
      <w:r>
        <w:rPr>
          <w:rStyle w:val="FootnoteReference"/>
        </w:rPr>
        <w:footnoteRef/>
      </w:r>
      <w:r>
        <w:rPr>
          <w:i/>
          <w:iCs/>
        </w:rPr>
        <w:t xml:space="preserve">1.34r</w:t>
      </w:r>
      <w:r>
        <w:t xml:space="preserve">.</w:t>
      </w:r>
    </w:p>
  </w:footnote>
  <w:footnote w:id="361">
    <w:p>
      <w:pPr>
        <w:pStyle w:val="FootnoteText"/>
      </w:pPr>
      <w:r>
        <w:rPr>
          <w:rStyle w:val="FootnoteReference"/>
        </w:rPr>
        <w:footnoteRef/>
      </w:r>
      <w:r>
        <w:t xml:space="preserve">See, for the Egyptians, Exodus 14:21–31. For Sennacherib, see 2 Kings 19:32–36.</w:t>
      </w:r>
    </w:p>
  </w:footnote>
  <w:footnote w:id="362">
    <w:p>
      <w:pPr>
        <w:pStyle w:val="FootnoteText"/>
      </w:pPr>
      <w:r>
        <w:rPr>
          <w:rStyle w:val="FootnoteReference"/>
        </w:rPr>
        <w:footnoteRef/>
      </w:r>
      <w:r>
        <w:rPr>
          <w:i/>
          <w:iCs/>
        </w:rPr>
        <w:t xml:space="preserve">1.34v</w:t>
      </w:r>
      <w:r>
        <w:t xml:space="preserve">.</w:t>
      </w:r>
    </w:p>
  </w:footnote>
  <w:footnote w:id="363">
    <w:p>
      <w:pPr>
        <w:pStyle w:val="FootnoteText"/>
      </w:pPr>
      <w:r>
        <w:rPr>
          <w:rStyle w:val="FootnoteReference"/>
        </w:rPr>
        <w:footnoteRef/>
      </w:r>
      <w:r>
        <w:rPr>
          <w:i/>
          <w:iCs/>
        </w:rPr>
        <w:t xml:space="preserve">b</w:t>
      </w:r>
      <w:r>
        <w:t xml:space="preserve">.</w:t>
      </w:r>
    </w:p>
  </w:footnote>
  <w:footnote w:id="364">
    <w:p>
      <w:pPr>
        <w:pStyle w:val="FootnoteText"/>
      </w:pPr>
      <w:r>
        <w:rPr>
          <w:rStyle w:val="FootnoteReference"/>
        </w:rPr>
        <w:footnoteRef/>
      </w:r>
      <w:r>
        <w:t xml:space="preserve">See Luke's genealogy, Luke 3:23–38.</w:t>
      </w:r>
    </w:p>
  </w:footnote>
  <w:footnote w:id="365">
    <w:p>
      <w:pPr>
        <w:pStyle w:val="FootnoteText"/>
      </w:pPr>
      <w:r>
        <w:rPr>
          <w:rStyle w:val="FootnoteReference"/>
        </w:rPr>
        <w:footnoteRef/>
      </w:r>
      <w:r>
        <w:rPr>
          <w:i/>
          <w:iCs/>
        </w:rPr>
        <w:t xml:space="preserve">1.35r</w:t>
      </w:r>
      <w:r>
        <w:t xml:space="preserve">.</w:t>
      </w:r>
    </w:p>
  </w:footnote>
  <w:footnote w:id="366">
    <w:p>
      <w:pPr>
        <w:pStyle w:val="FootnoteText"/>
      </w:pPr>
      <w:r>
        <w:rPr>
          <w:rStyle w:val="FootnoteReference"/>
        </w:rPr>
        <w:footnoteRef/>
      </w:r>
      <w:r>
        <w:t xml:space="preserve">These verses provide an explicit source for JE's typological interpretation, but note its further development in his discussion. For the story of the flood, see Genesis 7:11–8:14.</w:t>
      </w:r>
    </w:p>
  </w:footnote>
  <w:footnote w:id="367">
    <w:p>
      <w:pPr>
        <w:pStyle w:val="FootnoteText"/>
      </w:pPr>
      <w:r>
        <w:rPr>
          <w:rStyle w:val="FootnoteReference"/>
        </w:rPr>
        <w:footnoteRef/>
      </w:r>
      <w:r>
        <w:rPr>
          <w:i/>
          <w:iCs/>
        </w:rPr>
        <w:t xml:space="preserve">c</w:t>
      </w:r>
    </w:p>
  </w:footnote>
  <w:footnote w:id="368">
    <w:p>
      <w:pPr>
        <w:pStyle w:val="FootnoteText"/>
      </w:pPr>
      <w:r>
        <w:rPr>
          <w:rStyle w:val="FootnoteReference"/>
        </w:rPr>
        <w:footnoteRef/>
      </w:r>
      <w:r>
        <w:rPr>
          <w:i/>
          <w:iCs/>
        </w:rPr>
        <w:t xml:space="preserve">1.35v</w:t>
      </w:r>
      <w:r>
        <w:t xml:space="preserve">.</w:t>
      </w:r>
    </w:p>
  </w:footnote>
  <w:footnote w:id="369">
    <w:p>
      <w:pPr>
        <w:pStyle w:val="FootnoteText"/>
      </w:pPr>
      <w:r>
        <w:rPr>
          <w:rStyle w:val="FootnoteReference"/>
        </w:rPr>
        <w:footnoteRef/>
      </w:r>
      <w:r>
        <w:t xml:space="preserve">See Genesis 8:20–23.</w:t>
      </w:r>
    </w:p>
  </w:footnote>
  <w:footnote w:id="370">
    <w:p>
      <w:pPr>
        <w:pStyle w:val="FootnoteText"/>
      </w:pPr>
      <w:r>
        <w:rPr>
          <w:rStyle w:val="FootnoteReference"/>
        </w:rPr>
        <w:footnoteRef/>
      </w:r>
      <w:r>
        <w:t xml:space="preserve">See Genesis 9:1–3, 7.</w:t>
      </w:r>
    </w:p>
  </w:footnote>
  <w:footnote w:id="371">
    <w:p>
      <w:pPr>
        <w:pStyle w:val="FootnoteText"/>
      </w:pPr>
      <w:r>
        <w:rPr>
          <w:rStyle w:val="FootnoteReference"/>
        </w:rPr>
        <w:footnoteRef/>
      </w:r>
      <w:r>
        <w:rPr>
          <w:i/>
          <w:iCs/>
        </w:rPr>
        <w:t xml:space="preserve">1.36r</w:t>
      </w:r>
      <w:r>
        <w:t xml:space="preserve">.</w:t>
      </w:r>
    </w:p>
  </w:footnote>
  <w:footnote w:id="372">
    <w:p>
      <w:pPr>
        <w:pStyle w:val="FootnoteText"/>
      </w:pPr>
      <w:r>
        <w:rPr>
          <w:rStyle w:val="FootnoteReference"/>
        </w:rPr>
        <w:footnoteRef/>
      </w:r>
      <w:r>
        <w:rPr>
          <w:i/>
          <w:iCs/>
        </w:rPr>
        <w:t xml:space="preserve">1.36v</w:t>
      </w:r>
      <w:r>
        <w:t xml:space="preserve">.</w:t>
      </w:r>
    </w:p>
  </w:footnote>
  <w:footnote w:id="373">
    <w:p>
      <w:pPr>
        <w:pStyle w:val="FootnoteText"/>
      </w:pPr>
      <w:r>
        <w:rPr>
          <w:rStyle w:val="FootnoteReference"/>
        </w:rPr>
        <w:footnoteRef/>
      </w:r>
      <w:r>
        <w:t xml:space="preserve">JE seems to indicate that he intends to give the citation for the passage from Genesis 8, but probably to quote the verse from Genesis 9. The verse from Genesis 8 include the promise not to "curse the ground any more."</w:t>
      </w:r>
    </w:p>
  </w:footnote>
  <w:footnote w:id="374">
    <w:p>
      <w:pPr>
        <w:pStyle w:val="FootnoteText"/>
      </w:pPr>
      <w:r>
        <w:rPr>
          <w:rStyle w:val="FootnoteReference"/>
        </w:rPr>
        <w:footnoteRef/>
      </w:r>
      <w:r>
        <w:rPr>
          <w:i/>
          <w:iCs/>
        </w:rPr>
        <w:t xml:space="preserve">1.37r</w:t>
      </w:r>
      <w:r>
        <w:t xml:space="preserve">.</w:t>
      </w:r>
    </w:p>
  </w:footnote>
  <w:footnote w:id="375">
    <w:p>
      <w:pPr>
        <w:pStyle w:val="FootnoteText"/>
      </w:pPr>
      <w:r>
        <w:rPr>
          <w:rStyle w:val="FootnoteReference"/>
        </w:rPr>
        <w:footnoteRef/>
      </w:r>
      <w:r>
        <w:rPr>
          <w:i/>
          <w:iCs/>
        </w:rPr>
        <w:t xml:space="preserve">d</w:t>
      </w:r>
      <w:r>
        <w:t xml:space="preserve">.</w:t>
      </w:r>
    </w:p>
  </w:footnote>
  <w:footnote w:id="376">
    <w:p>
      <w:pPr>
        <w:pStyle w:val="FootnoteText"/>
      </w:pPr>
      <w:r>
        <w:rPr>
          <w:rStyle w:val="FootnoteReference"/>
        </w:rPr>
        <w:footnoteRef/>
      </w:r>
      <w:r>
        <w:t xml:space="preserve">JE cites Genesis 9:10, but parts of Genesis 9:9 are also required to make his point.</w:t>
      </w:r>
    </w:p>
  </w:footnote>
  <w:footnote w:id="377">
    <w:p>
      <w:pPr>
        <w:pStyle w:val="FootnoteText"/>
      </w:pPr>
      <w:r>
        <w:rPr>
          <w:rStyle w:val="FootnoteReference"/>
        </w:rPr>
        <w:footnoteRef/>
      </w:r>
      <w:r>
        <w:rPr>
          <w:i/>
          <w:iCs/>
        </w:rPr>
        <w:t xml:space="preserve">1.37v</w:t>
      </w:r>
      <w:r>
        <w:t xml:space="preserve">.</w:t>
      </w:r>
    </w:p>
  </w:footnote>
  <w:footnote w:id="378">
    <w:p>
      <w:pPr>
        <w:pStyle w:val="FootnoteText"/>
      </w:pPr>
      <w:r>
        <w:rPr>
          <w:rStyle w:val="FootnoteReference"/>
        </w:rPr>
        <w:footnoteRef/>
      </w:r>
      <w:r>
        <w:rPr>
          <w:i/>
          <w:iCs/>
        </w:rPr>
        <w:t xml:space="preserve">1.38v</w:t>
      </w:r>
      <w:r>
        <w:t xml:space="preserve">. At this point, JE revises his text and moves to the verso of the following leaf.</w:t>
      </w:r>
    </w:p>
  </w:footnote>
  <w:footnote w:id="379">
    <w:p>
      <w:pPr>
        <w:pStyle w:val="FootnoteText"/>
      </w:pPr>
      <w:r>
        <w:rPr>
          <w:rStyle w:val="FootnoteReference"/>
        </w:rPr>
        <w:footnoteRef/>
      </w:r>
      <w:r>
        <w:rPr>
          <w:i/>
          <w:iCs/>
        </w:rPr>
        <w:t xml:space="preserve">e</w:t>
      </w:r>
      <w:r>
        <w:t xml:space="preserve">.</w:t>
      </w:r>
    </w:p>
  </w:footnote>
  <w:footnote w:id="380">
    <w:p>
      <w:pPr>
        <w:pStyle w:val="FootnoteText"/>
      </w:pPr>
      <w:r>
        <w:rPr>
          <w:rStyle w:val="FootnoteReference"/>
        </w:rPr>
        <w:footnoteRef/>
      </w:r>
      <w:r>
        <w:t xml:space="preserve">See Genesis 11:1–9.</w:t>
      </w:r>
    </w:p>
  </w:footnote>
  <w:footnote w:id="381">
    <w:p>
      <w:pPr>
        <w:pStyle w:val="FootnoteText"/>
      </w:pPr>
      <w:r>
        <w:rPr>
          <w:rStyle w:val="FootnoteReference"/>
        </w:rPr>
        <w:footnoteRef/>
      </w:r>
      <w:r>
        <w:t xml:space="preserve">At this point, JE indicates intent to amplify his point from Scripture but does not make specific reference to a passage or passages.</w:t>
      </w:r>
    </w:p>
  </w:footnote>
  <w:footnote w:id="382">
    <w:p>
      <w:pPr>
        <w:pStyle w:val="FootnoteText"/>
      </w:pPr>
      <w:r>
        <w:rPr>
          <w:rStyle w:val="FootnoteReference"/>
        </w:rPr>
        <w:footnoteRef/>
      </w:r>
      <w:r>
        <w:rPr>
          <w:i/>
          <w:iCs/>
        </w:rPr>
        <w:t xml:space="preserve">1.39r</w:t>
      </w:r>
      <w:r>
        <w:t xml:space="preserve">.</w:t>
      </w:r>
    </w:p>
  </w:footnote>
  <w:footnote w:id="383">
    <w:p>
      <w:pPr>
        <w:pStyle w:val="FootnoteText"/>
      </w:pPr>
      <w:r>
        <w:rPr>
          <w:rStyle w:val="FootnoteReference"/>
        </w:rPr>
        <w:footnoteRef/>
      </w:r>
      <w:r>
        <w:t xml:space="preserve">Probable reading.</w:t>
      </w:r>
    </w:p>
  </w:footnote>
  <w:footnote w:id="384">
    <w:p>
      <w:pPr>
        <w:pStyle w:val="FootnoteText"/>
      </w:pPr>
      <w:r>
        <w:rPr>
          <w:rStyle w:val="FootnoteReference"/>
        </w:rPr>
        <w:footnoteRef/>
      </w:r>
      <w:r>
        <w:rPr>
          <w:i/>
          <w:iCs/>
        </w:rPr>
        <w:t xml:space="preserve">1.39v</w:t>
      </w:r>
      <w:r>
        <w:t xml:space="preserve">.</w:t>
      </w:r>
    </w:p>
  </w:footnote>
  <w:footnote w:id="385">
    <w:p>
      <w:pPr>
        <w:pStyle w:val="FootnoteText"/>
      </w:pPr>
      <w:r>
        <w:rPr>
          <w:rStyle w:val="FootnoteReference"/>
        </w:rPr>
        <w:footnoteRef/>
      </w:r>
      <w:r>
        <w:rPr>
          <w:i/>
          <w:iCs/>
        </w:rPr>
        <w:t xml:space="preserve">1.40r</w:t>
      </w:r>
      <w:r>
        <w:t xml:space="preserve">.</w:t>
      </w:r>
    </w:p>
  </w:footnote>
  <w:footnote w:id="386">
    <w:p>
      <w:pPr>
        <w:pStyle w:val="FootnoteText"/>
      </w:pPr>
      <w:r>
        <w:rPr>
          <w:rStyle w:val="FootnoteReference"/>
        </w:rPr>
        <w:footnoteRef/>
      </w:r>
      <w:r>
        <w:rPr>
          <w:i/>
          <w:iCs/>
        </w:rPr>
        <w:t xml:space="preserve">f</w:t>
      </w:r>
      <w:r>
        <w:t xml:space="preserve">.</w:t>
      </w:r>
    </w:p>
  </w:footnote>
  <w:footnote w:id="387">
    <w:p>
      <w:pPr>
        <w:pStyle w:val="FootnoteText"/>
      </w:pPr>
      <w:r>
        <w:rPr>
          <w:rStyle w:val="FootnoteReference"/>
        </w:rPr>
        <w:footnoteRef/>
      </w:r>
      <w:r>
        <w:t xml:space="preserve">JE's argument below, that the division of the nations put the Jews in a strategic location and was thus designed to help spread the gospel, is an interpretation based on a theme common to these two texts—that God used the division of the nations to help establish relationships with peoples. The Deuteronomy passage states that God has shown his special relationship to Israel by setting it apart ("the Most High … set the bounds of the people according to the number of the children of Israel"). The Acts text says that God "hath made of one blood all nations … and hath determined … the bounds of their habitation; that they should seek the Lord."</w:t>
      </w:r>
    </w:p>
  </w:footnote>
  <w:footnote w:id="388">
    <w:p>
      <w:pPr>
        <w:pStyle w:val="FootnoteText"/>
      </w:pPr>
      <w:r>
        <w:rPr>
          <w:rStyle w:val="FootnoteReference"/>
        </w:rPr>
        <w:footnoteRef/>
      </w:r>
      <w:r>
        <w:t xml:space="preserve">JE indicates intent to expand this reference.</w:t>
      </w:r>
    </w:p>
  </w:footnote>
  <w:footnote w:id="389">
    <w:p>
      <w:pPr>
        <w:pStyle w:val="FootnoteText"/>
      </w:pPr>
      <w:r>
        <w:rPr>
          <w:rStyle w:val="FootnoteReference"/>
        </w:rPr>
        <w:footnoteRef/>
      </w:r>
      <w:r>
        <w:rPr>
          <w:i/>
          <w:iCs/>
        </w:rPr>
        <w:t xml:space="preserve">1.40v</w:t>
      </w:r>
      <w:r>
        <w:t xml:space="preserve">.</w:t>
      </w:r>
    </w:p>
  </w:footnote>
  <w:footnote w:id="390">
    <w:p>
      <w:pPr>
        <w:pStyle w:val="FootnoteText"/>
      </w:pPr>
      <w:r>
        <w:rPr>
          <w:rStyle w:val="FootnoteReference"/>
        </w:rPr>
        <w:footnoteRef/>
      </w:r>
      <w:r>
        <w:rPr>
          <w:i/>
          <w:iCs/>
        </w:rPr>
        <w:t xml:space="preserve">1.37v</w:t>
      </w:r>
      <w:r>
        <w:t xml:space="preserve">. At this point, JE returns to the earlier leaf to continue his series of points.</w:t>
      </w:r>
    </w:p>
  </w:footnote>
  <w:footnote w:id="391">
    <w:p>
      <w:pPr>
        <w:pStyle w:val="FootnoteText"/>
      </w:pPr>
      <w:r>
        <w:rPr>
          <w:rStyle w:val="FootnoteReference"/>
        </w:rPr>
        <w:footnoteRef/>
      </w:r>
      <w:r>
        <w:rPr>
          <w:i/>
          <w:iCs/>
        </w:rPr>
        <w:t xml:space="preserve">g</w:t>
      </w:r>
      <w:r>
        <w:t xml:space="preserve">.</w:t>
      </w:r>
    </w:p>
  </w:footnote>
  <w:footnote w:id="392">
    <w:p>
      <w:pPr>
        <w:pStyle w:val="FootnoteText"/>
      </w:pPr>
      <w:r>
        <w:rPr>
          <w:rStyle w:val="FootnoteReference"/>
        </w:rPr>
        <w:footnoteRef/>
      </w:r>
      <w:r>
        <w:rPr>
          <w:i/>
          <w:iCs/>
        </w:rPr>
        <w:t xml:space="preserve">1.38r</w:t>
      </w:r>
      <w:r>
        <w:t xml:space="preserve">.</w:t>
      </w:r>
    </w:p>
  </w:footnote>
  <w:footnote w:id="393">
    <w:p>
      <w:pPr>
        <w:pStyle w:val="FootnoteText"/>
      </w:pPr>
      <w:r>
        <w:rPr>
          <w:rStyle w:val="FootnoteReference"/>
        </w:rPr>
        <w:footnoteRef/>
      </w:r>
      <w:r>
        <w:t xml:space="preserve">See e.g. 1 Kings 11:1–10.</w:t>
      </w:r>
    </w:p>
  </w:footnote>
  <w:footnote w:id="394">
    <w:p>
      <w:pPr>
        <w:pStyle w:val="FootnoteText"/>
      </w:pPr>
      <w:r>
        <w:rPr>
          <w:rStyle w:val="FootnoteReference"/>
        </w:rPr>
        <w:footnoteRef/>
      </w:r>
      <w:r>
        <w:t xml:space="preserve">See e.g. Joshua 24:14.</w:t>
      </w:r>
    </w:p>
  </w:footnote>
  <w:footnote w:id="395">
    <w:p>
      <w:pPr>
        <w:pStyle w:val="FootnoteText"/>
      </w:pPr>
      <w:r>
        <w:rPr>
          <w:rStyle w:val="FootnoteReference"/>
        </w:rPr>
        <w:footnoteRef/>
      </w:r>
      <w:r>
        <w:t xml:space="preserve">See Genesis 28:6; Genesis 31:17–19.</w:t>
      </w:r>
    </w:p>
  </w:footnote>
  <w:footnote w:id="396">
    <w:p>
      <w:pPr>
        <w:pStyle w:val="FootnoteText"/>
      </w:pPr>
      <w:r>
        <w:rPr>
          <w:rStyle w:val="FootnoteReference"/>
        </w:rPr>
        <w:footnoteRef/>
      </w:r>
      <w:r>
        <w:rPr>
          <w:i/>
          <w:iCs/>
        </w:rPr>
        <w:t xml:space="preserve">1.38v</w:t>
      </w:r>
      <w:r>
        <w:t xml:space="preserve">.</w:t>
      </w:r>
    </w:p>
  </w:footnote>
  <w:footnote w:id="397">
    <w:p>
      <w:pPr>
        <w:pStyle w:val="FootnoteText"/>
      </w:pPr>
      <w:r>
        <w:rPr>
          <w:rStyle w:val="FootnoteReference"/>
        </w:rPr>
        <w:footnoteRef/>
      </w:r>
      <w:r>
        <w:t xml:space="preserve">Phrase "God's church" interlineated by JE.</w:t>
      </w:r>
    </w:p>
  </w:footnote>
  <w:footnote w:id="398">
    <w:p>
      <w:pPr>
        <w:pStyle w:val="FootnoteText"/>
      </w:pPr>
      <w:r>
        <w:rPr>
          <w:rStyle w:val="FootnoteReference"/>
        </w:rPr>
        <w:footnoteRef/>
      </w:r>
      <w:r>
        <w:t xml:space="preserve">Matthew 16:18.</w:t>
      </w:r>
    </w:p>
  </w:footnote>
  <w:footnote w:id="399">
    <w:p>
      <w:pPr>
        <w:pStyle w:val="FootnoteText"/>
      </w:pPr>
      <w:r>
        <w:rPr>
          <w:rStyle w:val="FootnoteReference"/>
        </w:rPr>
        <w:footnoteRef/>
      </w:r>
      <w:r>
        <w:rPr>
          <w:i/>
          <w:iCs/>
        </w:rPr>
        <w:t xml:space="preserve">2.1r</w:t>
      </w:r>
      <w:r>
        <w:t xml:space="preserve">.</w:t>
      </w:r>
    </w:p>
  </w:footnote>
  <w:footnote w:id="400">
    <w:p>
      <w:pPr>
        <w:pStyle w:val="FootnoteText"/>
      </w:pPr>
      <w:r>
        <w:rPr>
          <w:rStyle w:val="FootnoteReference"/>
        </w:rPr>
        <w:footnoteRef/>
      </w:r>
      <w:r>
        <w:t xml:space="preserve">JE indicates that he will reiterate the propositions given at the beginning of Sermon 2 that specify the main doctrine in terms of the three periods in question: from the fall of man to the incarnation of Christ, from thence to Christ's resurrection, and finally to the end of the world.</w:t>
      </w:r>
    </w:p>
  </w:footnote>
  <w:footnote w:id="401">
    <w:p>
      <w:pPr>
        <w:pStyle w:val="FootnoteText"/>
      </w:pPr>
      <w:r>
        <w:rPr>
          <w:rStyle w:val="FootnoteReference"/>
        </w:rPr>
        <w:footnoteRef/>
      </w:r>
      <w:r>
        <w:rPr>
          <w:i/>
          <w:iCs/>
        </w:rPr>
        <w:t xml:space="preserve">3</w:t>
      </w:r>
      <w:r>
        <w:t xml:space="preserve">.</w:t>
      </w:r>
    </w:p>
  </w:footnote>
  <w:footnote w:id="402">
    <w:p>
      <w:pPr>
        <w:pStyle w:val="FootnoteText"/>
      </w:pPr>
      <w:r>
        <w:rPr>
          <w:rStyle w:val="FootnoteReference"/>
        </w:rPr>
        <w:footnoteRef/>
      </w:r>
      <w:r>
        <w:rPr>
          <w:i/>
          <w:iCs/>
        </w:rPr>
        <w:t xml:space="preserve">a</w:t>
      </w:r>
      <w:r>
        <w:t xml:space="preserve">.</w:t>
      </w:r>
    </w:p>
  </w:footnote>
  <w:footnote w:id="403">
    <w:p>
      <w:pPr>
        <w:pStyle w:val="FootnoteText"/>
      </w:pPr>
      <w:r>
        <w:rPr>
          <w:rStyle w:val="FootnoteReference"/>
        </w:rPr>
        <w:footnoteRef/>
      </w:r>
      <w:r>
        <w:rPr>
          <w:i/>
          <w:iCs/>
        </w:rPr>
        <w:t xml:space="preserve">2.1v</w:t>
      </w:r>
      <w:r>
        <w:t xml:space="preserve">.</w:t>
      </w:r>
    </w:p>
  </w:footnote>
  <w:footnote w:id="404">
    <w:p>
      <w:pPr>
        <w:pStyle w:val="FootnoteText"/>
      </w:pPr>
      <w:r>
        <w:rPr>
          <w:rStyle w:val="FootnoteReference"/>
        </w:rPr>
        <w:footnoteRef/>
      </w:r>
      <w:r>
        <w:t xml:space="preserve">For Abraham's call, see Genesis 11:27–12:6.</w:t>
      </w:r>
    </w:p>
  </w:footnote>
  <w:footnote w:id="405">
    <w:p>
      <w:pPr>
        <w:pStyle w:val="FootnoteText"/>
      </w:pPr>
      <w:r>
        <w:rPr>
          <w:rStyle w:val="FootnoteReference"/>
        </w:rPr>
        <w:footnoteRef/>
      </w:r>
      <w:r>
        <w:rPr>
          <w:i/>
          <w:iCs/>
        </w:rPr>
        <w:t xml:space="preserve">2.2r</w:t>
      </w:r>
      <w:r>
        <w:t xml:space="preserve">.</w:t>
      </w:r>
    </w:p>
  </w:footnote>
  <w:footnote w:id="406">
    <w:p>
      <w:pPr>
        <w:pStyle w:val="FootnoteText"/>
      </w:pPr>
      <w:r>
        <w:rPr>
          <w:rStyle w:val="FootnoteReference"/>
        </w:rPr>
        <w:footnoteRef/>
      </w:r>
      <w:r>
        <w:rPr>
          <w:i/>
          <w:iCs/>
        </w:rPr>
        <w:t xml:space="preserve">2.2v</w:t>
      </w:r>
      <w:r>
        <w:t xml:space="preserve">.</w:t>
      </w:r>
    </w:p>
  </w:footnote>
  <w:footnote w:id="407">
    <w:p>
      <w:pPr>
        <w:pStyle w:val="FootnoteText"/>
      </w:pPr>
      <w:r>
        <w:rPr>
          <w:rStyle w:val="FootnoteReference"/>
        </w:rPr>
        <w:footnoteRef/>
      </w:r>
      <w:r>
        <w:rPr>
          <w:i/>
          <w:iCs/>
        </w:rPr>
        <w:t xml:space="preserve">2.3r</w:t>
      </w:r>
      <w:r>
        <w:t xml:space="preserve">.</w:t>
      </w:r>
    </w:p>
  </w:footnote>
  <w:footnote w:id="408">
    <w:p>
      <w:pPr>
        <w:pStyle w:val="FootnoteText"/>
      </w:pPr>
      <w:r>
        <w:rPr>
          <w:rStyle w:val="FootnoteReference"/>
        </w:rPr>
        <w:footnoteRef/>
      </w:r>
      <w:r>
        <w:rPr>
          <w:i/>
          <w:iCs/>
        </w:rPr>
        <w:t xml:space="preserve">2.3v</w:t>
      </w:r>
      <w:r>
        <w:t xml:space="preserve">.</w:t>
      </w:r>
    </w:p>
  </w:footnote>
  <w:footnote w:id="409">
    <w:p>
      <w:pPr>
        <w:pStyle w:val="FootnoteText"/>
      </w:pPr>
      <w:r>
        <w:rPr>
          <w:rStyle w:val="FootnoteReference"/>
        </w:rPr>
        <w:footnoteRef/>
      </w:r>
      <w:r>
        <w:t xml:space="preserve">JE here echoes a characteristically Pauline interpretation of the Old Testament. See e.g. Galatians 3:8–9, Galatians 3:29; Romans 4:16; Romans 11:13–20.</w:t>
      </w:r>
    </w:p>
  </w:footnote>
  <w:footnote w:id="410">
    <w:p>
      <w:pPr>
        <w:pStyle w:val="FootnoteText"/>
      </w:pPr>
      <w:r>
        <w:rPr>
          <w:rStyle w:val="FootnoteReference"/>
        </w:rPr>
        <w:footnoteRef/>
      </w:r>
      <w:r>
        <w:rPr>
          <w:i/>
          <w:iCs/>
        </w:rPr>
        <w:t xml:space="preserve">b</w:t>
      </w:r>
      <w:r>
        <w:t xml:space="preserve">.</w:t>
      </w:r>
    </w:p>
  </w:footnote>
  <w:footnote w:id="411">
    <w:p>
      <w:pPr>
        <w:pStyle w:val="FootnoteText"/>
      </w:pPr>
      <w:r>
        <w:rPr>
          <w:rStyle w:val="FootnoteReference"/>
        </w:rPr>
        <w:footnoteRef/>
      </w:r>
      <w:r>
        <w:t xml:space="preserve">Probable reading of interlineation.</w:t>
      </w:r>
    </w:p>
  </w:footnote>
  <w:footnote w:id="412">
    <w:p>
      <w:pPr>
        <w:pStyle w:val="FootnoteText"/>
      </w:pPr>
      <w:r>
        <w:rPr>
          <w:rStyle w:val="FootnoteReference"/>
        </w:rPr>
        <w:footnoteRef/>
      </w:r>
      <w:r>
        <w:rPr>
          <w:i/>
          <w:iCs/>
        </w:rPr>
        <w:t xml:space="preserve">2.4r</w:t>
      </w:r>
      <w:r>
        <w:t xml:space="preserve">.</w:t>
      </w:r>
    </w:p>
  </w:footnote>
  <w:footnote w:id="413">
    <w:p>
      <w:pPr>
        <w:pStyle w:val="FootnoteText"/>
      </w:pPr>
      <w:r>
        <w:rPr>
          <w:rStyle w:val="FootnoteReference"/>
        </w:rPr>
        <w:footnoteRef/>
      </w:r>
      <w:r>
        <w:rPr>
          <w:i/>
          <w:iCs/>
        </w:rPr>
        <w:t xml:space="preserve">2.4v</w:t>
      </w:r>
      <w:r>
        <w:t xml:space="preserve">.</w:t>
      </w:r>
    </w:p>
  </w:footnote>
  <w:footnote w:id="414">
    <w:p>
      <w:pPr>
        <w:pStyle w:val="FootnoteText"/>
      </w:pPr>
      <w:r>
        <w:rPr>
          <w:rStyle w:val="FootnoteReference"/>
        </w:rPr>
        <w:footnoteRef/>
      </w:r>
      <w:r>
        <w:t xml:space="preserve">See Romans 4:16.</w:t>
      </w:r>
    </w:p>
  </w:footnote>
  <w:footnote w:id="415">
    <w:p>
      <w:pPr>
        <w:pStyle w:val="FootnoteText"/>
      </w:pPr>
      <w:r>
        <w:rPr>
          <w:rStyle w:val="FootnoteReference"/>
        </w:rPr>
        <w:footnoteRef/>
      </w:r>
      <w:r>
        <w:rPr>
          <w:i/>
          <w:iCs/>
        </w:rPr>
        <w:t xml:space="preserve">2.5r</w:t>
      </w:r>
      <w:r>
        <w:t xml:space="preserve">. JE here skips to recto of next leaf to amplify his point.</w:t>
      </w:r>
    </w:p>
  </w:footnote>
  <w:footnote w:id="416">
    <w:p>
      <w:pPr>
        <w:pStyle w:val="FootnoteText"/>
      </w:pPr>
      <w:r>
        <w:rPr>
          <w:rStyle w:val="FootnoteReference"/>
        </w:rPr>
        <w:footnoteRef/>
      </w:r>
      <w:r>
        <w:rPr>
          <w:i/>
          <w:iCs/>
        </w:rPr>
        <w:t xml:space="preserve">2.4v</w:t>
      </w:r>
      <w:r>
        <w:t xml:space="preserve">. JE here returns to verso of preceding leaf, resuming where he broke off.</w:t>
      </w:r>
    </w:p>
  </w:footnote>
  <w:footnote w:id="417">
    <w:p>
      <w:pPr>
        <w:pStyle w:val="FootnoteText"/>
      </w:pPr>
      <w:r>
        <w:rPr>
          <w:rStyle w:val="FootnoteReference"/>
        </w:rPr>
        <w:footnoteRef/>
      </w:r>
      <w:r>
        <w:rPr>
          <w:i/>
          <w:iCs/>
        </w:rPr>
        <w:t xml:space="preserve">2.5r</w:t>
      </w:r>
      <w:r>
        <w:t xml:space="preserve">.</w:t>
      </w:r>
    </w:p>
  </w:footnote>
  <w:footnote w:id="418">
    <w:p>
      <w:pPr>
        <w:pStyle w:val="FootnoteText"/>
      </w:pPr>
      <w:r>
        <w:rPr>
          <w:rStyle w:val="FootnoteReference"/>
        </w:rPr>
        <w:footnoteRef/>
      </w:r>
      <w:r>
        <w:t xml:space="preserve">See also Genesis 14:1, 9.</w:t>
      </w:r>
    </w:p>
  </w:footnote>
  <w:footnote w:id="419">
    <w:p>
      <w:pPr>
        <w:pStyle w:val="FootnoteText"/>
      </w:pPr>
      <w:r>
        <w:rPr>
          <w:rStyle w:val="FootnoteReference"/>
        </w:rPr>
        <w:footnoteRef/>
      </w:r>
      <w:r>
        <w:rPr>
          <w:i/>
          <w:iCs/>
        </w:rPr>
        <w:t xml:space="preserve">2.5v</w:t>
      </w:r>
      <w:r>
        <w:t xml:space="preserve">.</w:t>
      </w:r>
    </w:p>
  </w:footnote>
  <w:footnote w:id="420">
    <w:p>
      <w:pPr>
        <w:pStyle w:val="FootnoteText"/>
      </w:pPr>
      <w:r>
        <w:rPr>
          <w:rStyle w:val="FootnoteReference"/>
        </w:rPr>
        <w:footnoteRef/>
      </w:r>
      <w:r>
        <w:t xml:space="preserve">These verses identify the warrior descendants of Cush, a grandson of Noah, with certain cities (e.g. Nimrod started his kingdom with Babel).</w:t>
      </w:r>
    </w:p>
  </w:footnote>
  <w:footnote w:id="421">
    <w:p>
      <w:pPr>
        <w:pStyle w:val="FootnoteText"/>
      </w:pPr>
      <w:r>
        <w:rPr>
          <w:rStyle w:val="FootnoteReference"/>
        </w:rPr>
        <w:footnoteRef/>
      </w:r>
      <w:r>
        <w:t xml:space="preserve">Genesis 14:14–16.</w:t>
      </w:r>
    </w:p>
  </w:footnote>
  <w:footnote w:id="422">
    <w:p>
      <w:pPr>
        <w:pStyle w:val="FootnoteText"/>
      </w:pPr>
      <w:r>
        <w:rPr>
          <w:rStyle w:val="FootnoteReference"/>
        </w:rPr>
        <w:footnoteRef/>
      </w:r>
      <w:r>
        <w:t xml:space="preserve">Isaiah 41:1, Isaiah 41:10, and Isaiah 41:15 lead up to the promise in Isaiah 41:25 ("he shall come upon princes as … the potter treadeth clay") by saying that the foreign nations should "Keep silence" (Isaiah 41:1) and that Israel should not fear (Isaiah 41:10), because God will make it "a new sharp threshing instrument" (Isaiah 41:15).</w:t>
      </w:r>
    </w:p>
  </w:footnote>
  <w:footnote w:id="423">
    <w:p>
      <w:pPr>
        <w:pStyle w:val="FootnoteText"/>
      </w:pPr>
      <w:r>
        <w:rPr>
          <w:rStyle w:val="FootnoteReference"/>
        </w:rPr>
        <w:footnoteRef/>
      </w:r>
      <w:r>
        <w:rPr>
          <w:i/>
          <w:iCs/>
        </w:rPr>
        <w:t xml:space="preserve">2.6r</w:t>
      </w:r>
      <w:r>
        <w:t xml:space="preserve">.</w:t>
      </w:r>
    </w:p>
  </w:footnote>
  <w:footnote w:id="424">
    <w:p>
      <w:pPr>
        <w:pStyle w:val="FootnoteText"/>
      </w:pPr>
      <w:r>
        <w:rPr>
          <w:rStyle w:val="FootnoteReference"/>
        </w:rPr>
        <w:footnoteRef/>
      </w:r>
      <w:r>
        <w:t xml:space="preserve">Whether these verses refer to Abraham is unclear; it is evident that JE considers the pledge of the church's victory found in Isaiah 41 to be connected to Abraham's victory and thus to have an eschatological fulfillment.</w:t>
      </w:r>
    </w:p>
  </w:footnote>
  <w:footnote w:id="425">
    <w:p>
      <w:pPr>
        <w:pStyle w:val="FootnoteText"/>
      </w:pPr>
      <w:r>
        <w:rPr>
          <w:rStyle w:val="FootnoteReference"/>
        </w:rPr>
        <w:footnoteRef/>
      </w:r>
      <w:r>
        <w:t xml:space="preserve">See Genesis 14:18–20. For Melchizedek as a type of Christ, see Hebrews 5:6–10; Hebrews 7:1–17.</w:t>
      </w:r>
    </w:p>
  </w:footnote>
  <w:footnote w:id="426">
    <w:p>
      <w:pPr>
        <w:pStyle w:val="FootnoteText"/>
      </w:pPr>
      <w:r>
        <w:rPr>
          <w:rStyle w:val="FootnoteReference"/>
        </w:rPr>
        <w:footnoteRef/>
      </w:r>
      <w:r>
        <w:t xml:space="preserve">In part, these verses read "Blessed be Abram of the most high God … which hath delivered thine enemies into thy hand." This confirms the covenant in that Abraham has been blessed by God's gift of victory.</w:t>
      </w:r>
    </w:p>
  </w:footnote>
  <w:footnote w:id="427">
    <w:p>
      <w:pPr>
        <w:pStyle w:val="FootnoteText"/>
      </w:pPr>
      <w:r>
        <w:rPr>
          <w:rStyle w:val="FootnoteReference"/>
        </w:rPr>
        <w:footnoteRef/>
      </w:r>
      <w:r>
        <w:rPr>
          <w:i/>
          <w:iCs/>
        </w:rPr>
        <w:t xml:space="preserve">2.6v</w:t>
      </w:r>
      <w:r>
        <w:t xml:space="preserve">.</w:t>
      </w:r>
    </w:p>
  </w:footnote>
  <w:footnote w:id="428">
    <w:p>
      <w:pPr>
        <w:pStyle w:val="FootnoteText"/>
      </w:pPr>
      <w:r>
        <w:rPr>
          <w:rStyle w:val="FootnoteReference"/>
        </w:rPr>
        <w:footnoteRef/>
      </w:r>
      <w:r>
        <w:t xml:space="preserve">Genesis 15:12–18.</w:t>
      </w:r>
    </w:p>
  </w:footnote>
  <w:footnote w:id="429">
    <w:p>
      <w:pPr>
        <w:pStyle w:val="FootnoteText"/>
      </w:pPr>
      <w:r>
        <w:rPr>
          <w:rStyle w:val="FootnoteReference"/>
        </w:rPr>
        <w:footnoteRef/>
      </w:r>
      <w:r>
        <w:t xml:space="preserve">See Genesis 21:1–5.</w:t>
      </w:r>
    </w:p>
  </w:footnote>
  <w:footnote w:id="430">
    <w:p>
      <w:pPr>
        <w:pStyle w:val="FootnoteText"/>
      </w:pPr>
      <w:r>
        <w:rPr>
          <w:rStyle w:val="FootnoteReference"/>
        </w:rPr>
        <w:footnoteRef/>
      </w:r>
      <w:r>
        <w:t xml:space="preserve">Romans 4:18–21. This passage and the one above extol Abraham and Sarah's faith; they trusted that God would grant them a son. In arguing that Isaac's birth was a further confirmation of the covenant, JE puts the emphasis on the revelation of the covenant rather than on their faith, although he connects this covenant with faith by emphasizing that it was a covenant of grace.</w:t>
      </w:r>
    </w:p>
  </w:footnote>
  <w:footnote w:id="431">
    <w:p>
      <w:pPr>
        <w:pStyle w:val="FootnoteText"/>
      </w:pPr>
      <w:r>
        <w:rPr>
          <w:rStyle w:val="FootnoteReference"/>
        </w:rPr>
        <w:footnoteRef/>
      </w:r>
      <w:r>
        <w:t xml:space="preserve">See Genesis 22:1–14.</w:t>
      </w:r>
    </w:p>
  </w:footnote>
  <w:footnote w:id="432">
    <w:p>
      <w:pPr>
        <w:pStyle w:val="FootnoteText"/>
      </w:pPr>
      <w:r>
        <w:rPr>
          <w:rStyle w:val="FootnoteReference"/>
        </w:rPr>
        <w:footnoteRef/>
      </w:r>
      <w:r>
        <w:rPr>
          <w:i/>
          <w:iCs/>
        </w:rPr>
        <w:t xml:space="preserve">2.7r</w:t>
      </w:r>
      <w:r>
        <w:t xml:space="preserve">. JE again finds confirmation of his figural interpretation in a New Testament text in these verses which say that Isaac's deliverance was a figural resurrection from the dead. By JE's interpretation, the figure represents Jesus' resurrection. He links it to Christ because Jesus was descended from Isaac (Luke 3:34) and because Jesus' resurrection made possible the fulfillment of the promise that all people would be blessed through Abraham's descendants.</w:t>
      </w:r>
    </w:p>
  </w:footnote>
  <w:footnote w:id="433">
    <w:p>
      <w:pPr>
        <w:pStyle w:val="FootnoteText"/>
      </w:pPr>
      <w:r>
        <w:rPr>
          <w:rStyle w:val="FootnoteReference"/>
        </w:rPr>
        <w:footnoteRef/>
      </w:r>
      <w:r>
        <w:t xml:space="preserve">JE gives the citation as Genesis 24:15, but from the content of the allusion, the reference is clearly to chap. Genesis 22. I have changed the text accordingly.</w:t>
      </w:r>
    </w:p>
  </w:footnote>
  <w:footnote w:id="434">
    <w:p>
      <w:pPr>
        <w:pStyle w:val="FootnoteText"/>
      </w:pPr>
      <w:r>
        <w:rPr>
          <w:rStyle w:val="FootnoteReference"/>
        </w:rPr>
        <w:footnoteRef/>
      </w:r>
      <w:r>
        <w:t xml:space="preserve">JE understands this statement to say that Abraham saw in God's upholding the covenant signs of what Christ's work would be, a different interpretation from that given in John 8:58, which is Jesus' claim that he and God were one, and that therefore Abraham's encounter with God—the I AM—was at the same time an encounter with Jesus.</w:t>
      </w:r>
    </w:p>
  </w:footnote>
  <w:footnote w:id="435">
    <w:p>
      <w:pPr>
        <w:pStyle w:val="FootnoteText"/>
      </w:pPr>
      <w:r>
        <w:rPr>
          <w:rStyle w:val="FootnoteReference"/>
        </w:rPr>
        <w:footnoteRef/>
      </w:r>
      <w:r>
        <w:rPr>
          <w:i/>
          <w:iCs/>
        </w:rPr>
        <w:t xml:space="preserve">c</w:t>
      </w:r>
      <w:r>
        <w:t xml:space="preserve">.</w:t>
      </w:r>
    </w:p>
  </w:footnote>
  <w:footnote w:id="436">
    <w:p>
      <w:pPr>
        <w:pStyle w:val="FootnoteText"/>
      </w:pPr>
      <w:r>
        <w:rPr>
          <w:rStyle w:val="FootnoteReference"/>
        </w:rPr>
        <w:footnoteRef/>
      </w:r>
      <w:r>
        <w:rPr>
          <w:i/>
          <w:iCs/>
        </w:rPr>
        <w:t xml:space="preserve">2.7v</w:t>
      </w:r>
      <w:r>
        <w:t xml:space="preserve">. Leaf breaks at "de."</w:t>
      </w:r>
    </w:p>
  </w:footnote>
  <w:footnote w:id="437">
    <w:p>
      <w:pPr>
        <w:pStyle w:val="FootnoteText"/>
      </w:pPr>
      <w:r>
        <w:rPr>
          <w:rStyle w:val="FootnoteReference"/>
        </w:rPr>
        <w:footnoteRef/>
      </w:r>
      <w:r>
        <w:t xml:space="preserve">Genesis 24:3.</w:t>
      </w:r>
    </w:p>
  </w:footnote>
  <w:footnote w:id="438">
    <w:p>
      <w:pPr>
        <w:pStyle w:val="FootnoteText"/>
      </w:pPr>
      <w:r>
        <w:rPr>
          <w:rStyle w:val="FootnoteReference"/>
        </w:rPr>
        <w:footnoteRef/>
      </w:r>
      <w:r>
        <w:t xml:space="preserve">See Genesis 27:46–28:2, which JE indicates intent to summarize.</w:t>
      </w:r>
    </w:p>
  </w:footnote>
  <w:footnote w:id="439">
    <w:p>
      <w:pPr>
        <w:pStyle w:val="FootnoteText"/>
      </w:pPr>
      <w:r>
        <w:rPr>
          <w:rStyle w:val="FootnoteReference"/>
        </w:rPr>
        <w:footnoteRef/>
      </w:r>
      <w:r>
        <w:t xml:space="preserve">See Genesis 26:34–35.</w:t>
      </w:r>
    </w:p>
  </w:footnote>
  <w:footnote w:id="440">
    <w:p>
      <w:pPr>
        <w:pStyle w:val="FootnoteText"/>
      </w:pPr>
      <w:r>
        <w:rPr>
          <w:rStyle w:val="FootnoteReference"/>
        </w:rPr>
        <w:footnoteRef/>
      </w:r>
      <w:r>
        <w:t xml:space="preserve">Admah and Zeboim are mentioned in connection with Sodom and Gomorrah in Genesis 10:19; Genesis 14:2, Genesis 14:8; and Deuteronomy 29:23.</w:t>
      </w:r>
    </w:p>
  </w:footnote>
  <w:footnote w:id="441">
    <w:p>
      <w:pPr>
        <w:pStyle w:val="FootnoteText"/>
      </w:pPr>
      <w:r>
        <w:rPr>
          <w:rStyle w:val="FootnoteReference"/>
        </w:rPr>
        <w:footnoteRef/>
      </w:r>
      <w:r>
        <w:rPr>
          <w:i/>
          <w:iCs/>
        </w:rPr>
        <w:t xml:space="preserve">2.8r</w:t>
      </w:r>
      <w:r>
        <w:t xml:space="preserve">.</w:t>
      </w:r>
    </w:p>
  </w:footnote>
  <w:footnote w:id="442">
    <w:p>
      <w:pPr>
        <w:pStyle w:val="FootnoteText"/>
      </w:pPr>
      <w:r>
        <w:rPr>
          <w:rStyle w:val="FootnoteReference"/>
        </w:rPr>
        <w:footnoteRef/>
      </w:r>
      <w:r>
        <w:t xml:space="preserve">Genesis 3:15.</w:t>
      </w:r>
    </w:p>
  </w:footnote>
  <w:footnote w:id="443">
    <w:p>
      <w:pPr>
        <w:pStyle w:val="FootnoteText"/>
      </w:pPr>
      <w:r>
        <w:rPr>
          <w:rStyle w:val="FootnoteReference"/>
        </w:rPr>
        <w:footnoteRef/>
      </w:r>
      <w:r>
        <w:t xml:space="preserve">2 Peter 2:8; see also Genesis 19:7.</w:t>
      </w:r>
    </w:p>
  </w:footnote>
  <w:footnote w:id="444">
    <w:p>
      <w:pPr>
        <w:pStyle w:val="FootnoteText"/>
      </w:pPr>
      <w:r>
        <w:rPr>
          <w:rStyle w:val="FootnoteReference"/>
        </w:rPr>
        <w:footnoteRef/>
      </w:r>
      <w:r>
        <w:t xml:space="preserve">Genesis 19:9.</w:t>
      </w:r>
    </w:p>
  </w:footnote>
  <w:footnote w:id="445">
    <w:p>
      <w:pPr>
        <w:pStyle w:val="FootnoteText"/>
      </w:pPr>
      <w:r>
        <w:rPr>
          <w:rStyle w:val="FootnoteReference"/>
        </w:rPr>
        <w:footnoteRef/>
      </w:r>
      <w:r>
        <w:rPr>
          <w:i/>
          <w:iCs/>
        </w:rPr>
        <w:t xml:space="preserve">2.8v</w:t>
      </w:r>
      <w:r>
        <w:t xml:space="preserve">.</w:t>
      </w:r>
    </w:p>
  </w:footnote>
  <w:footnote w:id="446">
    <w:p>
      <w:pPr>
        <w:pStyle w:val="FootnoteText"/>
      </w:pPr>
      <w:r>
        <w:rPr>
          <w:rStyle w:val="FootnoteReference"/>
        </w:rPr>
        <w:footnoteRef/>
      </w:r>
      <w:r>
        <w:t xml:space="preserve">JE here deletes a partial sentence which reads, "And God's preserving them not only from the Canaanites is here to be taken notice of but his preserving of 'em from other enemies."</w:t>
      </w:r>
    </w:p>
  </w:footnote>
  <w:footnote w:id="447">
    <w:p>
      <w:pPr>
        <w:pStyle w:val="FootnoteText"/>
      </w:pPr>
      <w:r>
        <w:rPr>
          <w:rStyle w:val="FootnoteReference"/>
        </w:rPr>
        <w:footnoteRef/>
      </w:r>
      <w:r>
        <w:rPr>
          <w:i/>
          <w:iCs/>
        </w:rPr>
        <w:t xml:space="preserve">2.9r</w:t>
      </w:r>
      <w:r>
        <w:t xml:space="preserve">.</w:t>
      </w:r>
    </w:p>
  </w:footnote>
  <w:footnote w:id="448">
    <w:p>
      <w:pPr>
        <w:pStyle w:val="FootnoteText"/>
      </w:pPr>
      <w:r>
        <w:rPr>
          <w:rStyle w:val="FootnoteReference"/>
        </w:rPr>
        <w:footnoteRef/>
      </w:r>
      <w:r>
        <w:t xml:space="preserve">Genesis 31:24.</w:t>
      </w:r>
    </w:p>
  </w:footnote>
  <w:footnote w:id="449">
    <w:p>
      <w:pPr>
        <w:pStyle w:val="FootnoteText"/>
      </w:pPr>
      <w:r>
        <w:rPr>
          <w:rStyle w:val="FootnoteReference"/>
        </w:rPr>
        <w:footnoteRef/>
      </w:r>
      <w:r>
        <w:t xml:space="preserve">Genesis 32:1–33:5.</w:t>
      </w:r>
    </w:p>
  </w:footnote>
  <w:footnote w:id="450">
    <w:p>
      <w:pPr>
        <w:pStyle w:val="FootnoteText"/>
      </w:pPr>
      <w:r>
        <w:rPr>
          <w:rStyle w:val="FootnoteReference"/>
        </w:rPr>
        <w:footnoteRef/>
      </w:r>
      <w:r>
        <w:rPr>
          <w:i/>
          <w:iCs/>
        </w:rPr>
        <w:t xml:space="preserve">d</w:t>
      </w:r>
      <w:r>
        <w:t xml:space="preserve">.</w:t>
      </w:r>
    </w:p>
  </w:footnote>
  <w:footnote w:id="451">
    <w:p>
      <w:pPr>
        <w:pStyle w:val="FootnoteText"/>
      </w:pPr>
      <w:r>
        <w:rPr>
          <w:rStyle w:val="FootnoteReference"/>
        </w:rPr>
        <w:footnoteRef/>
      </w:r>
      <w:r>
        <w:rPr>
          <w:i/>
          <w:iCs/>
        </w:rPr>
        <w:t xml:space="preserve">2.9v</w:t>
      </w:r>
      <w:r>
        <w:t xml:space="preserve">.</w:t>
      </w:r>
    </w:p>
  </w:footnote>
  <w:footnote w:id="452">
    <w:p>
      <w:pPr>
        <w:pStyle w:val="FootnoteText"/>
      </w:pPr>
      <w:r>
        <w:rPr>
          <w:rStyle w:val="FootnoteReference"/>
        </w:rPr>
        <w:footnoteRef/>
      </w:r>
      <w:r>
        <w:t xml:space="preserve">See Genesis 19:1–29 for the story of Sodom and Gomorrah.</w:t>
      </w:r>
    </w:p>
  </w:footnote>
  <w:footnote w:id="453">
    <w:p>
      <w:pPr>
        <w:pStyle w:val="FootnoteText"/>
      </w:pPr>
      <w:r>
        <w:rPr>
          <w:rStyle w:val="FootnoteReference"/>
        </w:rPr>
        <w:footnoteRef/>
      </w:r>
      <w:r>
        <w:rPr>
          <w:i/>
          <w:iCs/>
        </w:rPr>
        <w:t xml:space="preserve">2.10r</w:t>
      </w:r>
      <w:r>
        <w:t xml:space="preserve">.</w:t>
      </w:r>
    </w:p>
  </w:footnote>
  <w:footnote w:id="454">
    <w:p>
      <w:pPr>
        <w:pStyle w:val="FootnoteText"/>
      </w:pPr>
      <w:r>
        <w:rPr>
          <w:rStyle w:val="FootnoteReference"/>
        </w:rPr>
        <w:footnoteRef/>
      </w:r>
      <w:r>
        <w:t xml:space="preserve">Genesis 35:5.</w:t>
      </w:r>
    </w:p>
  </w:footnote>
  <w:footnote w:id="455">
    <w:p>
      <w:pPr>
        <w:pStyle w:val="FootnoteText"/>
      </w:pPr>
      <w:r>
        <w:rPr>
          <w:rStyle w:val="FootnoteReference"/>
        </w:rPr>
        <w:footnoteRef/>
      </w:r>
      <w:r>
        <w:rPr>
          <w:i/>
          <w:iCs/>
        </w:rPr>
        <w:t xml:space="preserve">2.10v</w:t>
      </w:r>
      <w:r>
        <w:t xml:space="preserve">.</w:t>
      </w:r>
    </w:p>
  </w:footnote>
  <w:footnote w:id="456">
    <w:p>
      <w:pPr>
        <w:pStyle w:val="FootnoteText"/>
      </w:pPr>
      <w:r>
        <w:rPr>
          <w:rStyle w:val="FootnoteReference"/>
        </w:rPr>
        <w:footnoteRef/>
      </w:r>
      <w:r>
        <w:t xml:space="preserve">Paraphrase of Galatians 3:24.</w:t>
      </w:r>
    </w:p>
  </w:footnote>
  <w:footnote w:id="457">
    <w:p>
      <w:pPr>
        <w:pStyle w:val="FootnoteText"/>
      </w:pPr>
      <w:r>
        <w:rPr>
          <w:rStyle w:val="FootnoteReference"/>
        </w:rPr>
        <w:footnoteRef/>
      </w:r>
      <w:r>
        <w:t xml:space="preserve">Exodus 19:16.</w:t>
      </w:r>
    </w:p>
  </w:footnote>
  <w:footnote w:id="458">
    <w:p>
      <w:pPr>
        <w:pStyle w:val="FootnoteText"/>
      </w:pPr>
      <w:r>
        <w:rPr>
          <w:rStyle w:val="FootnoteReference"/>
        </w:rPr>
        <w:footnoteRef/>
      </w:r>
      <w:r>
        <w:rPr>
          <w:i/>
          <w:iCs/>
        </w:rPr>
        <w:t xml:space="preserve">2.11r</w:t>
      </w:r>
      <w:r>
        <w:t xml:space="preserve">.</w:t>
      </w:r>
    </w:p>
  </w:footnote>
  <w:footnote w:id="459">
    <w:p>
      <w:pPr>
        <w:pStyle w:val="FootnoteText"/>
      </w:pPr>
      <w:r>
        <w:rPr>
          <w:rStyle w:val="FootnoteReference"/>
        </w:rPr>
        <w:footnoteRef/>
      </w:r>
      <w:r>
        <w:t xml:space="preserve">JE is paraphrasing.</w:t>
      </w:r>
    </w:p>
  </w:footnote>
  <w:footnote w:id="460">
    <w:p>
      <w:pPr>
        <w:pStyle w:val="FootnoteText"/>
      </w:pPr>
      <w:r>
        <w:rPr>
          <w:rStyle w:val="FootnoteReference"/>
        </w:rPr>
        <w:footnoteRef/>
      </w:r>
      <w:r>
        <w:t xml:space="preserve">The account is found in Genesis 19:24–28.</w:t>
      </w:r>
    </w:p>
  </w:footnote>
  <w:footnote w:id="461">
    <w:p>
      <w:pPr>
        <w:pStyle w:val="FootnoteText"/>
      </w:pPr>
      <w:r>
        <w:rPr>
          <w:rStyle w:val="FootnoteReference"/>
        </w:rPr>
        <w:footnoteRef/>
      </w:r>
      <w:r>
        <w:rPr>
          <w:i/>
          <w:iCs/>
        </w:rPr>
        <w:t xml:space="preserve">2.11v</w:t>
      </w:r>
      <w:r>
        <w:t xml:space="preserve">.</w:t>
      </w:r>
    </w:p>
  </w:footnote>
  <w:footnote w:id="462">
    <w:p>
      <w:pPr>
        <w:pStyle w:val="FootnoteText"/>
      </w:pPr>
      <w:r>
        <w:rPr>
          <w:rStyle w:val="FootnoteReference"/>
        </w:rPr>
        <w:footnoteRef/>
      </w:r>
      <w:r>
        <w:rPr>
          <w:i/>
          <w:iCs/>
        </w:rPr>
        <w:t xml:space="preserve">e</w:t>
      </w:r>
      <w:r>
        <w:t xml:space="preserve">.</w:t>
      </w:r>
    </w:p>
  </w:footnote>
  <w:footnote w:id="463">
    <w:p>
      <w:pPr>
        <w:pStyle w:val="FootnoteText"/>
      </w:pPr>
      <w:r>
        <w:rPr>
          <w:rStyle w:val="FootnoteReference"/>
        </w:rPr>
        <w:footnoteRef/>
      </w:r>
      <w:r>
        <w:rPr>
          <w:i/>
          <w:iCs/>
        </w:rPr>
        <w:t xml:space="preserve">12r</w:t>
      </w:r>
      <w:r>
        <w:t xml:space="preserve">.</w:t>
      </w:r>
    </w:p>
  </w:footnote>
  <w:footnote w:id="464">
    <w:p>
      <w:pPr>
        <w:pStyle w:val="FootnoteText"/>
      </w:pPr>
      <w:r>
        <w:rPr>
          <w:rStyle w:val="FootnoteReference"/>
        </w:rPr>
        <w:footnoteRef/>
      </w:r>
      <w:r>
        <w:t xml:space="preserve">For this vision, see Genesis 28:10–22. For a typological treatment of Christ as the stone, see Mark 12:10; 1 Peter 2:7; Acts 4:11.</w:t>
      </w:r>
    </w:p>
  </w:footnote>
  <w:footnote w:id="465">
    <w:p>
      <w:pPr>
        <w:pStyle w:val="FootnoteText"/>
      </w:pPr>
      <w:r>
        <w:rPr>
          <w:rStyle w:val="FootnoteReference"/>
        </w:rPr>
        <w:footnoteRef/>
      </w:r>
      <w:r>
        <w:t xml:space="preserve">JE indicates intent to complete phrase. This is a conjectural interpretation. The passage in question is Genesis 32:24–32, where Jacob is said to have wrestled with a man.</w:t>
      </w:r>
    </w:p>
  </w:footnote>
  <w:footnote w:id="466">
    <w:p>
      <w:pPr>
        <w:pStyle w:val="FootnoteText"/>
      </w:pPr>
      <w:r>
        <w:rPr>
          <w:rStyle w:val="FootnoteReference"/>
        </w:rPr>
        <w:footnoteRef/>
      </w:r>
      <w:r>
        <w:rPr>
          <w:i/>
          <w:iCs/>
        </w:rPr>
        <w:t xml:space="preserve">2.12v</w:t>
      </w:r>
      <w:r>
        <w:t xml:space="preserve">.</w:t>
      </w:r>
    </w:p>
  </w:footnote>
  <w:footnote w:id="467">
    <w:p>
      <w:pPr>
        <w:pStyle w:val="FootnoteText"/>
      </w:pPr>
      <w:r>
        <w:rPr>
          <w:rStyle w:val="FootnoteReference"/>
        </w:rPr>
        <w:footnoteRef/>
      </w:r>
      <w:r>
        <w:rPr>
          <w:i/>
          <w:iCs/>
        </w:rPr>
        <w:t xml:space="preserve">f</w:t>
      </w:r>
      <w:r>
        <w:t xml:space="preserve">.</w:t>
      </w:r>
    </w:p>
  </w:footnote>
  <w:footnote w:id="468">
    <w:p>
      <w:pPr>
        <w:pStyle w:val="FootnoteText"/>
      </w:pPr>
      <w:r>
        <w:rPr>
          <w:rStyle w:val="FootnoteReference"/>
        </w:rPr>
        <w:footnoteRef/>
      </w:r>
      <w:r>
        <w:t xml:space="preserve">For the story of Joseph, see Genesis 37–50.</w:t>
      </w:r>
    </w:p>
  </w:footnote>
  <w:footnote w:id="469">
    <w:p>
      <w:pPr>
        <w:pStyle w:val="FootnoteText"/>
      </w:pPr>
      <w:r>
        <w:rPr>
          <w:rStyle w:val="FootnoteReference"/>
        </w:rPr>
        <w:footnoteRef/>
      </w:r>
      <w:r>
        <w:t xml:space="preserve">JE condenses this verse.</w:t>
      </w:r>
    </w:p>
  </w:footnote>
  <w:footnote w:id="470">
    <w:p>
      <w:pPr>
        <w:pStyle w:val="FootnoteText"/>
      </w:pPr>
      <w:r>
        <w:rPr>
          <w:rStyle w:val="FootnoteReference"/>
        </w:rPr>
        <w:footnoteRef/>
      </w:r>
      <w:r>
        <w:rPr>
          <w:i/>
          <w:iCs/>
        </w:rPr>
        <w:t xml:space="preserve">2.13r</w:t>
      </w:r>
      <w:r>
        <w:t xml:space="preserve">.</w:t>
      </w:r>
    </w:p>
  </w:footnote>
  <w:footnote w:id="471">
    <w:p>
      <w:pPr>
        <w:pStyle w:val="FootnoteText"/>
      </w:pPr>
      <w:r>
        <w:rPr>
          <w:rStyle w:val="FootnoteReference"/>
        </w:rPr>
        <w:footnoteRef/>
      </w:r>
      <w:r>
        <w:t xml:space="preserve">JE appropriates and paraphrases Hebrews 2:11.</w:t>
      </w:r>
    </w:p>
  </w:footnote>
  <w:footnote w:id="472">
    <w:p>
      <w:pPr>
        <w:pStyle w:val="FootnoteText"/>
      </w:pPr>
      <w:r>
        <w:rPr>
          <w:rStyle w:val="FootnoteReference"/>
        </w:rPr>
        <w:footnoteRef/>
      </w:r>
      <w:r>
        <w:t xml:space="preserve">This passage echoes the language of Philippians 2:5–11, in which Paul speaks of the life of Christ.</w:t>
      </w:r>
    </w:p>
  </w:footnote>
  <w:footnote w:id="473">
    <w:p>
      <w:pPr>
        <w:pStyle w:val="FootnoteText"/>
      </w:pPr>
      <w:r>
        <w:rPr>
          <w:rStyle w:val="FootnoteReference"/>
        </w:rPr>
        <w:footnoteRef/>
      </w:r>
      <w:r>
        <w:rPr>
          <w:i/>
          <w:iCs/>
        </w:rPr>
        <w:t xml:space="preserve">2.13v</w:t>
      </w:r>
      <w:r>
        <w:t xml:space="preserve">. JE rearranges his text and appropriates one and one-half sides of manuscript leaves to conclude Sermon 4.</w:t>
      </w:r>
    </w:p>
  </w:footnote>
  <w:footnote w:id="474">
    <w:p>
      <w:pPr>
        <w:pStyle w:val="FootnoteText"/>
      </w:pPr>
      <w:r>
        <w:rPr>
          <w:rStyle w:val="FootnoteReference"/>
        </w:rPr>
        <w:footnoteRef/>
      </w:r>
      <w:r>
        <w:rPr>
          <w:i/>
          <w:iCs/>
        </w:rPr>
        <w:t xml:space="preserve">g</w:t>
      </w:r>
      <w:r>
        <w:t xml:space="preserve">.</w:t>
      </w:r>
    </w:p>
  </w:footnote>
  <w:footnote w:id="475">
    <w:p>
      <w:pPr>
        <w:pStyle w:val="FootnoteText"/>
      </w:pPr>
      <w:r>
        <w:rPr>
          <w:rStyle w:val="FootnoteReference"/>
        </w:rPr>
        <w:footnoteRef/>
      </w:r>
      <w:r>
        <w:t xml:space="preserve">See Genesis 49:8–12.</w:t>
      </w:r>
    </w:p>
  </w:footnote>
  <w:footnote w:id="476">
    <w:p>
      <w:pPr>
        <w:pStyle w:val="FootnoteText"/>
      </w:pPr>
      <w:r>
        <w:rPr>
          <w:rStyle w:val="FootnoteReference"/>
        </w:rPr>
        <w:footnoteRef/>
      </w:r>
      <w:r>
        <w:rPr>
          <w:i/>
          <w:iCs/>
        </w:rPr>
        <w:t xml:space="preserve">2.14r</w:t>
      </w:r>
      <w:r>
        <w:t xml:space="preserve">.</w:t>
      </w:r>
    </w:p>
  </w:footnote>
  <w:footnote w:id="477">
    <w:p>
      <w:pPr>
        <w:pStyle w:val="FootnoteText"/>
      </w:pPr>
      <w:r>
        <w:rPr>
          <w:rStyle w:val="FootnoteReference"/>
        </w:rPr>
        <w:footnoteRef/>
      </w:r>
      <w:r>
        <w:t xml:space="preserve">This passage echoes the language of Revelation 5:5.</w:t>
      </w:r>
    </w:p>
  </w:footnote>
  <w:footnote w:id="478">
    <w:p>
      <w:pPr>
        <w:pStyle w:val="FootnoteText"/>
      </w:pPr>
      <w:r>
        <w:rPr>
          <w:rStyle w:val="FootnoteReference"/>
        </w:rPr>
        <w:footnoteRef/>
      </w:r>
      <w:r>
        <w:t xml:space="preserve">At this point JE has a note that reads, "the use lion by Revelation," clearly a reference to Revelation 5:5.</w:t>
      </w:r>
    </w:p>
  </w:footnote>
  <w:footnote w:id="479">
    <w:p>
      <w:pPr>
        <w:pStyle w:val="FootnoteText"/>
      </w:pPr>
      <w:r>
        <w:rPr>
          <w:rStyle w:val="FootnoteReference"/>
        </w:rPr>
        <w:footnoteRef/>
      </w:r>
      <w:r>
        <w:rPr>
          <w:i/>
          <w:iCs/>
        </w:rPr>
        <w:t xml:space="preserve">2.13r</w:t>
      </w:r>
      <w:r>
        <w:t xml:space="preserve">. JE returns to recto of preceding leaf to carry forward his exposition.</w:t>
      </w:r>
    </w:p>
  </w:footnote>
  <w:footnote w:id="480">
    <w:p>
      <w:pPr>
        <w:pStyle w:val="FootnoteText"/>
      </w:pPr>
      <w:r>
        <w:rPr>
          <w:rStyle w:val="FootnoteReference"/>
        </w:rPr>
        <w:footnoteRef/>
      </w:r>
      <w:r>
        <w:t xml:space="preserve">This sermon was undoubtedly linked to the preceding one. JE gives no introduction or recapitulation, and continues the same series of points.</w:t>
      </w:r>
    </w:p>
  </w:footnote>
  <w:footnote w:id="481">
    <w:p>
      <w:pPr>
        <w:pStyle w:val="FootnoteText"/>
      </w:pPr>
      <w:r>
        <w:rPr>
          <w:rStyle w:val="FootnoteReference"/>
        </w:rPr>
        <w:footnoteRef/>
      </w:r>
      <w:r>
        <w:rPr>
          <w:i/>
          <w:iCs/>
        </w:rPr>
        <w:t xml:space="preserve">h</w:t>
      </w:r>
      <w:r>
        <w:t xml:space="preserve">.</w:t>
      </w:r>
    </w:p>
  </w:footnote>
  <w:footnote w:id="482">
    <w:p>
      <w:pPr>
        <w:pStyle w:val="FootnoteText"/>
      </w:pPr>
      <w:r>
        <w:rPr>
          <w:rStyle w:val="FootnoteReference"/>
        </w:rPr>
        <w:footnoteRef/>
      </w:r>
      <w:r>
        <w:rPr>
          <w:i/>
          <w:iCs/>
        </w:rPr>
        <w:t xml:space="preserve">2.13v</w:t>
      </w:r>
      <w:r>
        <w:t xml:space="preserve">. Leaf breaks at "en."</w:t>
      </w:r>
    </w:p>
  </w:footnote>
  <w:footnote w:id="483">
    <w:p>
      <w:pPr>
        <w:pStyle w:val="FootnoteText"/>
      </w:pPr>
      <w:r>
        <w:rPr>
          <w:rStyle w:val="FootnoteReference"/>
        </w:rPr>
        <w:footnoteRef/>
      </w:r>
      <w:r>
        <w:t xml:space="preserve">At this point JE deletes with two X's an incomplete sentence which reads: "The children of Israel in Egypt were at first but few in number, and were a handful in comparison of the native inhabitants of the land, and were much [illegible]."</w:t>
      </w:r>
    </w:p>
  </w:footnote>
  <w:footnote w:id="484">
    <w:p>
      <w:pPr>
        <w:pStyle w:val="FootnoteText"/>
      </w:pPr>
      <w:r>
        <w:rPr>
          <w:rStyle w:val="FootnoteReference"/>
        </w:rPr>
        <w:footnoteRef/>
      </w:r>
      <w:r>
        <w:t xml:space="preserve">See Exodus 1.</w:t>
      </w:r>
    </w:p>
  </w:footnote>
  <w:footnote w:id="485">
    <w:p>
      <w:pPr>
        <w:pStyle w:val="FootnoteText"/>
      </w:pPr>
      <w:r>
        <w:rPr>
          <w:rStyle w:val="FootnoteReference"/>
        </w:rPr>
        <w:footnoteRef/>
      </w:r>
      <w:r>
        <w:t xml:space="preserve">At this point in the manuscript, JE has a short series of notes to himself which appear to recapitulate the points already made about the third period from Abraham to Moses. He probably used these to introduce the second sermon of the day as he continued his exposition.</w:t>
      </w:r>
    </w:p>
  </w:footnote>
  <w:footnote w:id="486">
    <w:p>
      <w:pPr>
        <w:pStyle w:val="FootnoteText"/>
      </w:pPr>
      <w:r>
        <w:rPr>
          <w:rStyle w:val="FootnoteReference"/>
        </w:rPr>
        <w:footnoteRef/>
      </w:r>
      <w:r>
        <w:rPr>
          <w:i/>
          <w:iCs/>
        </w:rPr>
        <w:t xml:space="preserve">2.14v</w:t>
      </w:r>
      <w:r>
        <w:t xml:space="preserve">.</w:t>
      </w:r>
    </w:p>
  </w:footnote>
  <w:footnote w:id="487">
    <w:p>
      <w:pPr>
        <w:pStyle w:val="FootnoteText"/>
      </w:pPr>
      <w:r>
        <w:rPr>
          <w:rStyle w:val="FootnoteReference"/>
        </w:rPr>
        <w:footnoteRef/>
      </w:r>
      <w:r>
        <w:rPr>
          <w:i/>
          <w:iCs/>
        </w:rPr>
        <w:t xml:space="preserve">i</w:t>
      </w:r>
      <w:r>
        <w:t xml:space="preserve">.</w:t>
      </w:r>
    </w:p>
  </w:footnote>
  <w:footnote w:id="488">
    <w:p>
      <w:pPr>
        <w:pStyle w:val="FootnoteText"/>
      </w:pPr>
      <w:r>
        <w:rPr>
          <w:rStyle w:val="FootnoteReference"/>
        </w:rPr>
        <w:footnoteRef/>
      </w:r>
      <w:r>
        <w:t xml:space="preserve">JE indicates possible intent to quote these passages in full.</w:t>
      </w:r>
    </w:p>
  </w:footnote>
  <w:footnote w:id="489">
    <w:p>
      <w:pPr>
        <w:pStyle w:val="FootnoteText"/>
      </w:pPr>
      <w:r>
        <w:rPr>
          <w:rStyle w:val="FootnoteReference"/>
        </w:rPr>
        <w:footnoteRef/>
      </w:r>
      <w:r>
        <w:rPr>
          <w:i/>
          <w:iCs/>
        </w:rPr>
        <w:t xml:space="preserve">2.15r</w:t>
      </w:r>
      <w:r>
        <w:t xml:space="preserve">.</w:t>
      </w:r>
    </w:p>
  </w:footnote>
  <w:footnote w:id="490">
    <w:p>
      <w:pPr>
        <w:pStyle w:val="FootnoteText"/>
      </w:pPr>
      <w:r>
        <w:rPr>
          <w:rStyle w:val="FootnoteReference"/>
        </w:rPr>
        <w:footnoteRef/>
      </w:r>
      <w:r>
        <w:t xml:space="preserve">See Exodus 2:1–10.</w:t>
      </w:r>
    </w:p>
  </w:footnote>
  <w:footnote w:id="491">
    <w:p>
      <w:pPr>
        <w:pStyle w:val="FootnoteText"/>
      </w:pPr>
      <w:r>
        <w:rPr>
          <w:rStyle w:val="FootnoteReference"/>
        </w:rPr>
        <w:footnoteRef/>
      </w:r>
      <w:r>
        <w:rPr>
          <w:i/>
          <w:iCs/>
        </w:rPr>
        <w:t xml:space="preserve">2.15v</w:t>
      </w:r>
      <w:r>
        <w:t xml:space="preserve">.</w:t>
      </w:r>
    </w:p>
  </w:footnote>
  <w:footnote w:id="492">
    <w:p>
      <w:pPr>
        <w:pStyle w:val="FootnoteText"/>
      </w:pPr>
      <w:r>
        <w:rPr>
          <w:rStyle w:val="FootnoteReference"/>
        </w:rPr>
        <w:footnoteRef/>
      </w:r>
      <w:r>
        <w:rPr>
          <w:i/>
          <w:iCs/>
        </w:rPr>
        <w:t xml:space="preserve">4</w:t>
      </w:r>
      <w:r>
        <w:t xml:space="preserve">.</w:t>
      </w:r>
    </w:p>
  </w:footnote>
  <w:footnote w:id="493">
    <w:p>
      <w:pPr>
        <w:pStyle w:val="FootnoteText"/>
      </w:pPr>
      <w:r>
        <w:rPr>
          <w:rStyle w:val="FootnoteReference"/>
        </w:rPr>
        <w:footnoteRef/>
      </w:r>
      <w:r>
        <w:rPr>
          <w:i/>
          <w:iCs/>
        </w:rPr>
        <w:t xml:space="preserve">a</w:t>
      </w:r>
      <w:r>
        <w:t xml:space="preserve">.</w:t>
      </w:r>
    </w:p>
  </w:footnote>
  <w:footnote w:id="494">
    <w:p>
      <w:pPr>
        <w:pStyle w:val="FootnoteText"/>
      </w:pPr>
      <w:r>
        <w:rPr>
          <w:rStyle w:val="FootnoteReference"/>
        </w:rPr>
        <w:footnoteRef/>
      </w:r>
      <w:r>
        <w:t xml:space="preserve">JE may be referring here to Isaiah 11:1, which he reads as a prophecy of Christ's coming.</w:t>
      </w:r>
    </w:p>
  </w:footnote>
  <w:footnote w:id="495">
    <w:p>
      <w:pPr>
        <w:pStyle w:val="FootnoteText"/>
      </w:pPr>
      <w:r>
        <w:rPr>
          <w:rStyle w:val="FootnoteReference"/>
        </w:rPr>
        <w:footnoteRef/>
      </w:r>
      <w:r>
        <w:rPr>
          <w:i/>
          <w:iCs/>
        </w:rPr>
        <w:t xml:space="preserve">2.16r</w:t>
      </w:r>
      <w:r>
        <w:t xml:space="preserve">. An allusion to Isaiah 53:2, again a text JE reads as a messianic prophecy.</w:t>
      </w:r>
    </w:p>
  </w:footnote>
  <w:footnote w:id="496">
    <w:p>
      <w:pPr>
        <w:pStyle w:val="FootnoteText"/>
      </w:pPr>
      <w:r>
        <w:rPr>
          <w:rStyle w:val="FootnoteReference"/>
        </w:rPr>
        <w:footnoteRef/>
      </w:r>
      <w:r>
        <w:t xml:space="preserve">JE's paraphrase of Exodus 3:3.</w:t>
      </w:r>
    </w:p>
  </w:footnote>
  <w:footnote w:id="497">
    <w:p>
      <w:pPr>
        <w:pStyle w:val="FootnoteText"/>
      </w:pPr>
      <w:r>
        <w:rPr>
          <w:rStyle w:val="FootnoteReference"/>
        </w:rPr>
        <w:footnoteRef/>
      </w:r>
      <w:r>
        <w:t xml:space="preserve">For the story of Israel's bondage and release, see Exodus 1–14.</w:t>
      </w:r>
    </w:p>
  </w:footnote>
  <w:footnote w:id="498">
    <w:p>
      <w:pPr>
        <w:pStyle w:val="FootnoteText"/>
      </w:pPr>
      <w:r>
        <w:rPr>
          <w:rStyle w:val="FootnoteReference"/>
        </w:rPr>
        <w:footnoteRef/>
      </w:r>
      <w:r>
        <w:t xml:space="preserve">Deuteronomy 4:20.</w:t>
      </w:r>
    </w:p>
  </w:footnote>
  <w:footnote w:id="499">
    <w:p>
      <w:pPr>
        <w:pStyle w:val="FootnoteText"/>
      </w:pPr>
      <w:r>
        <w:rPr>
          <w:rStyle w:val="FootnoteReference"/>
        </w:rPr>
        <w:footnoteRef/>
      </w:r>
      <w:r>
        <w:rPr>
          <w:i/>
          <w:iCs/>
        </w:rPr>
        <w:t xml:space="preserve">2.16v</w:t>
      </w:r>
      <w:r>
        <w:t xml:space="preserve">.</w:t>
      </w:r>
    </w:p>
  </w:footnote>
  <w:footnote w:id="500">
    <w:p>
      <w:pPr>
        <w:pStyle w:val="FootnoteText"/>
      </w:pPr>
      <w:r>
        <w:rPr>
          <w:rStyle w:val="FootnoteReference"/>
        </w:rPr>
        <w:footnoteRef/>
      </w:r>
      <w:r>
        <w:t xml:space="preserve">JE indicates intent to complete the phrase, an apparent allusion to Colossians 2:15.</w:t>
      </w:r>
    </w:p>
  </w:footnote>
  <w:footnote w:id="501">
    <w:p>
      <w:pPr>
        <w:pStyle w:val="FootnoteText"/>
      </w:pPr>
      <w:r>
        <w:rPr>
          <w:rStyle w:val="FootnoteReference"/>
        </w:rPr>
        <w:footnoteRef/>
      </w:r>
      <w:r>
        <w:t xml:space="preserve">Probable reading. Alternatively, "terrible."</w:t>
      </w:r>
    </w:p>
  </w:footnote>
  <w:footnote w:id="502">
    <w:p>
      <w:pPr>
        <w:pStyle w:val="FootnoteText"/>
      </w:pPr>
      <w:r>
        <w:rPr>
          <w:rStyle w:val="FootnoteReference"/>
        </w:rPr>
        <w:footnoteRef/>
      </w:r>
      <w:r>
        <w:t xml:space="preserve">An allusion to Genesis 3:15.</w:t>
      </w:r>
    </w:p>
  </w:footnote>
  <w:footnote w:id="503">
    <w:p>
      <w:pPr>
        <w:pStyle w:val="FootnoteText"/>
      </w:pPr>
      <w:r>
        <w:rPr>
          <w:rStyle w:val="FootnoteReference"/>
        </w:rPr>
        <w:footnoteRef/>
      </w:r>
      <w:r>
        <w:t xml:space="preserve">A reference to the Passover event (see Exodus 12:21–29). Cf. Hebrews 11:28; Hebrews 12:24; Hebrews 13:12; 1 Peter 1:19; and Revelation 1:5 for some of the New Testament use of this language.</w:t>
      </w:r>
    </w:p>
  </w:footnote>
  <w:footnote w:id="504">
    <w:p>
      <w:pPr>
        <w:pStyle w:val="FootnoteText"/>
      </w:pPr>
      <w:r>
        <w:rPr>
          <w:rStyle w:val="FootnoteReference"/>
        </w:rPr>
        <w:footnoteRef/>
      </w:r>
      <w:r>
        <w:t xml:space="preserve">See Exodus 8–12.</w:t>
      </w:r>
    </w:p>
  </w:footnote>
  <w:footnote w:id="505">
    <w:p>
      <w:pPr>
        <w:pStyle w:val="FootnoteText"/>
      </w:pPr>
      <w:r>
        <w:rPr>
          <w:rStyle w:val="FootnoteReference"/>
        </w:rPr>
        <w:footnoteRef/>
      </w:r>
      <w:r>
        <w:rPr>
          <w:i/>
          <w:iCs/>
        </w:rPr>
        <w:t xml:space="preserve">2.17r</w:t>
      </w:r>
      <w:r>
        <w:t xml:space="preserve">.</w:t>
      </w:r>
    </w:p>
  </w:footnote>
  <w:footnote w:id="506">
    <w:p>
      <w:pPr>
        <w:pStyle w:val="FootnoteText"/>
      </w:pPr>
      <w:r>
        <w:rPr>
          <w:rStyle w:val="FootnoteReference"/>
        </w:rPr>
        <w:footnoteRef/>
      </w:r>
      <w:r>
        <w:t xml:space="preserve">Although JE has paraphrased this passage, he apparently intended to quote it in full as well.</w:t>
      </w:r>
    </w:p>
  </w:footnote>
  <w:footnote w:id="507">
    <w:p>
      <w:pPr>
        <w:pStyle w:val="FootnoteText"/>
      </w:pPr>
      <w:r>
        <w:rPr>
          <w:rStyle w:val="FootnoteReference"/>
        </w:rPr>
        <w:footnoteRef/>
      </w:r>
      <w:r>
        <w:t xml:space="preserve">JE has paraphrased the passage, which he apparently intended to quote at least in part.</w:t>
      </w:r>
    </w:p>
  </w:footnote>
  <w:footnote w:id="508">
    <w:p>
      <w:pPr>
        <w:pStyle w:val="FootnoteText"/>
      </w:pPr>
      <w:r>
        <w:rPr>
          <w:rStyle w:val="FootnoteReference"/>
        </w:rPr>
        <w:footnoteRef/>
      </w:r>
      <w:r>
        <w:rPr>
          <w:i/>
          <w:iCs/>
        </w:rPr>
        <w:t xml:space="preserve">2.17v</w:t>
      </w:r>
      <w:r>
        <w:t xml:space="preserve">.</w:t>
      </w:r>
    </w:p>
  </w:footnote>
  <w:footnote w:id="509">
    <w:p>
      <w:pPr>
        <w:pStyle w:val="FootnoteText"/>
      </w:pPr>
      <w:r>
        <w:rPr>
          <w:rStyle w:val="FootnoteReference"/>
        </w:rPr>
        <w:footnoteRef/>
      </w:r>
      <w:r>
        <w:t xml:space="preserve">JE closely paraphrases Moses and Miriam in Exodus 15:1, Exodus 15:21.</w:t>
      </w:r>
    </w:p>
  </w:footnote>
  <w:footnote w:id="510">
    <w:p>
      <w:pPr>
        <w:pStyle w:val="FootnoteText"/>
      </w:pPr>
      <w:r>
        <w:rPr>
          <w:rStyle w:val="FootnoteReference"/>
        </w:rPr>
        <w:footnoteRef/>
      </w:r>
      <w:r>
        <w:t xml:space="preserve">JE makes this assertion on the basis of many Scripture passages, e.g. Romans 6:3; 1 John 5:6.</w:t>
      </w:r>
    </w:p>
  </w:footnote>
  <w:footnote w:id="511">
    <w:p>
      <w:pPr>
        <w:pStyle w:val="FootnoteText"/>
      </w:pPr>
      <w:r>
        <w:rPr>
          <w:rStyle w:val="FootnoteReference"/>
        </w:rPr>
        <w:footnoteRef/>
      </w:r>
      <w:r>
        <w:t xml:space="preserve">JE takes this language from Isaiah 40:31.</w:t>
      </w:r>
    </w:p>
  </w:footnote>
  <w:footnote w:id="512">
    <w:p>
      <w:pPr>
        <w:pStyle w:val="FootnoteText"/>
      </w:pPr>
      <w:r>
        <w:rPr>
          <w:rStyle w:val="FootnoteReference"/>
        </w:rPr>
        <w:footnoteRef/>
      </w:r>
      <w:r>
        <w:rPr>
          <w:i/>
          <w:iCs/>
        </w:rPr>
        <w:t xml:space="preserve">2.18r</w:t>
      </w:r>
      <w:r>
        <w:t xml:space="preserve">. JE indicates intent to quote in full; in view of his paraphrase in preceding sentence, only a partial quotation is given.</w:t>
      </w:r>
    </w:p>
  </w:footnote>
  <w:footnote w:id="513">
    <w:p>
      <w:pPr>
        <w:pStyle w:val="FootnoteText"/>
      </w:pPr>
      <w:r>
        <w:rPr>
          <w:rStyle w:val="FootnoteReference"/>
        </w:rPr>
        <w:footnoteRef/>
      </w:r>
      <w:r>
        <w:rPr>
          <w:i/>
          <w:iCs/>
        </w:rPr>
        <w:t xml:space="preserve">2.18v</w:t>
      </w:r>
      <w:r>
        <w:t xml:space="preserve">.</w:t>
      </w:r>
    </w:p>
  </w:footnote>
  <w:footnote w:id="514">
    <w:p>
      <w:pPr>
        <w:pStyle w:val="FootnoteText"/>
      </w:pPr>
      <w:r>
        <w:rPr>
          <w:rStyle w:val="FootnoteReference"/>
        </w:rPr>
        <w:footnoteRef/>
      </w:r>
      <w:r>
        <w:rPr>
          <w:i/>
          <w:iCs/>
        </w:rPr>
        <w:t xml:space="preserve">b</w:t>
      </w:r>
      <w:r>
        <w:t xml:space="preserve">.</w:t>
      </w:r>
    </w:p>
  </w:footnote>
  <w:footnote w:id="515">
    <w:p>
      <w:pPr>
        <w:pStyle w:val="FootnoteText"/>
      </w:pPr>
      <w:r>
        <w:rPr>
          <w:rStyle w:val="FootnoteReference"/>
        </w:rPr>
        <w:footnoteRef/>
      </w:r>
      <w:r>
        <w:rPr>
          <w:i/>
          <w:iCs/>
        </w:rPr>
        <w:t xml:space="preserve">2.19r</w:t>
      </w:r>
      <w:r>
        <w:t xml:space="preserve">.</w:t>
      </w:r>
    </w:p>
  </w:footnote>
  <w:footnote w:id="516">
    <w:p>
      <w:pPr>
        <w:pStyle w:val="FootnoteText"/>
      </w:pPr>
      <w:r>
        <w:rPr>
          <w:rStyle w:val="FootnoteReference"/>
        </w:rPr>
        <w:footnoteRef/>
      </w:r>
      <w:r>
        <w:t xml:space="preserve">JE paraphrases slightly.</w:t>
      </w:r>
    </w:p>
  </w:footnote>
  <w:footnote w:id="517">
    <w:p>
      <w:pPr>
        <w:pStyle w:val="FootnoteText"/>
      </w:pPr>
      <w:r>
        <w:rPr>
          <w:rStyle w:val="FootnoteReference"/>
        </w:rPr>
        <w:footnoteRef/>
      </w:r>
      <w:r>
        <w:rPr>
          <w:i/>
          <w:iCs/>
        </w:rPr>
        <w:t xml:space="preserve">2.19v</w:t>
      </w:r>
      <w:r>
        <w:t xml:space="preserve">.</w:t>
      </w:r>
    </w:p>
  </w:footnote>
  <w:footnote w:id="518">
    <w:p>
      <w:pPr>
        <w:pStyle w:val="FootnoteText"/>
      </w:pPr>
      <w:r>
        <w:rPr>
          <w:rStyle w:val="FootnoteReference"/>
        </w:rPr>
        <w:footnoteRef/>
      </w:r>
      <w:r>
        <w:rPr>
          <w:i/>
          <w:iCs/>
        </w:rPr>
        <w:t xml:space="preserve">2.20r</w:t>
      </w:r>
      <w:r>
        <w:t xml:space="preserve">.</w:t>
      </w:r>
    </w:p>
  </w:footnote>
  <w:footnote w:id="519">
    <w:p>
      <w:pPr>
        <w:pStyle w:val="FootnoteText"/>
      </w:pPr>
      <w:r>
        <w:rPr>
          <w:rStyle w:val="FootnoteReference"/>
        </w:rPr>
        <w:footnoteRef/>
      </w:r>
      <w:r>
        <w:rPr>
          <w:i/>
          <w:iCs/>
        </w:rPr>
        <w:t xml:space="preserve">2.20v</w:t>
      </w:r>
      <w:r>
        <w:t xml:space="preserve">.</w:t>
      </w:r>
    </w:p>
  </w:footnote>
  <w:footnote w:id="520">
    <w:p>
      <w:pPr>
        <w:pStyle w:val="FootnoteText"/>
      </w:pPr>
      <w:r>
        <w:rPr>
          <w:rStyle w:val="FootnoteReference"/>
        </w:rPr>
        <w:footnoteRef/>
      </w:r>
      <w:r>
        <w:rPr>
          <w:i/>
          <w:iCs/>
        </w:rPr>
        <w:t xml:space="preserve">2.21r</w:t>
      </w:r>
      <w:r>
        <w:t xml:space="preserve">.</w:t>
      </w:r>
    </w:p>
  </w:footnote>
  <w:footnote w:id="521">
    <w:p>
      <w:pPr>
        <w:pStyle w:val="FootnoteText"/>
      </w:pPr>
      <w:r>
        <w:rPr>
          <w:rStyle w:val="FootnoteReference"/>
        </w:rPr>
        <w:footnoteRef/>
      </w:r>
      <w:r>
        <w:t xml:space="preserve">At this point JE's text includes what appears to be a notation that his next point would develop the theme of God's delivery of Israel at the Red Sea. "3. God's delivering them so remarkably at the Red Sea when ready to be swallowed up." Obviously, when JE returned to his manuscript, he skipped over that episode.</w:t>
      </w:r>
    </w:p>
  </w:footnote>
  <w:footnote w:id="522">
    <w:p>
      <w:pPr>
        <w:pStyle w:val="FootnoteText"/>
      </w:pPr>
      <w:r>
        <w:rPr>
          <w:rStyle w:val="FootnoteReference"/>
        </w:rPr>
        <w:footnoteRef/>
      </w:r>
      <w:r>
        <w:rPr>
          <w:i/>
          <w:iCs/>
        </w:rPr>
        <w:t xml:space="preserve">c</w:t>
      </w:r>
      <w:r>
        <w:t xml:space="preserve">.</w:t>
      </w:r>
    </w:p>
  </w:footnote>
  <w:footnote w:id="523">
    <w:p>
      <w:pPr>
        <w:pStyle w:val="FootnoteText"/>
      </w:pPr>
      <w:r>
        <w:rPr>
          <w:rStyle w:val="FootnoteReference"/>
        </w:rPr>
        <w:footnoteRef/>
      </w:r>
      <w:r>
        <w:t xml:space="preserve">Exodus 19–20 and following.</w:t>
      </w:r>
    </w:p>
  </w:footnote>
  <w:footnote w:id="524">
    <w:p>
      <w:pPr>
        <w:pStyle w:val="FootnoteText"/>
      </w:pPr>
      <w:r>
        <w:rPr>
          <w:rStyle w:val="FootnoteReference"/>
        </w:rPr>
        <w:footnoteRef/>
      </w:r>
      <w:r>
        <w:rPr>
          <w:i/>
          <w:iCs/>
        </w:rPr>
        <w:t xml:space="preserve">2.21v</w:t>
      </w:r>
      <w:r>
        <w:t xml:space="preserve">.</w:t>
      </w:r>
    </w:p>
  </w:footnote>
  <w:footnote w:id="525">
    <w:p>
      <w:pPr>
        <w:pStyle w:val="FootnoteText"/>
      </w:pPr>
      <w:r>
        <w:rPr>
          <w:rStyle w:val="FootnoteReference"/>
        </w:rPr>
        <w:footnoteRef/>
      </w:r>
      <w:r>
        <w:rPr>
          <w:i/>
          <w:iCs/>
        </w:rPr>
        <w:t xml:space="preserve">2.22r</w:t>
      </w:r>
      <w:r>
        <w:t xml:space="preserve">.</w:t>
      </w:r>
    </w:p>
  </w:footnote>
  <w:footnote w:id="526">
    <w:p>
      <w:pPr>
        <w:pStyle w:val="FootnoteText"/>
      </w:pPr>
      <w:r>
        <w:rPr>
          <w:rStyle w:val="FootnoteReference"/>
        </w:rPr>
        <w:footnoteRef/>
      </w:r>
      <w:r>
        <w:rPr>
          <w:i/>
          <w:iCs/>
        </w:rPr>
        <w:t xml:space="preserve">d</w:t>
      </w:r>
      <w:r>
        <w:t xml:space="preserve">.</w:t>
      </w:r>
    </w:p>
  </w:footnote>
  <w:footnote w:id="527">
    <w:p>
      <w:pPr>
        <w:pStyle w:val="FootnoteText"/>
      </w:pPr>
      <w:r>
        <w:rPr>
          <w:rStyle w:val="FootnoteReference"/>
        </w:rPr>
        <w:footnoteRef/>
      </w:r>
      <w:r>
        <w:rPr>
          <w:i/>
          <w:iCs/>
        </w:rPr>
        <w:t xml:space="preserve">2.22v</w:t>
      </w:r>
      <w:r>
        <w:t xml:space="preserve">. Leaf breaks at "typi."</w:t>
      </w:r>
    </w:p>
  </w:footnote>
  <w:footnote w:id="528">
    <w:p>
      <w:pPr>
        <w:pStyle w:val="FootnoteText"/>
      </w:pPr>
      <w:r>
        <w:rPr>
          <w:rStyle w:val="FootnoteReference"/>
        </w:rPr>
        <w:footnoteRef/>
      </w:r>
      <w:r>
        <w:t xml:space="preserve">See Exodus 34:29–33.</w:t>
      </w:r>
    </w:p>
  </w:footnote>
  <w:footnote w:id="529">
    <w:p>
      <w:pPr>
        <w:pStyle w:val="FootnoteText"/>
      </w:pPr>
      <w:r>
        <w:rPr>
          <w:rStyle w:val="FootnoteReference"/>
        </w:rPr>
        <w:footnoteRef/>
      </w:r>
      <w:r>
        <w:t xml:space="preserve">See Exodus 35–40.</w:t>
      </w:r>
    </w:p>
  </w:footnote>
  <w:footnote w:id="530">
    <w:p>
      <w:pPr>
        <w:pStyle w:val="FootnoteText"/>
      </w:pPr>
      <w:r>
        <w:rPr>
          <w:rStyle w:val="FootnoteReference"/>
        </w:rPr>
        <w:footnoteRef/>
      </w:r>
      <w:r>
        <w:rPr>
          <w:i/>
          <w:iCs/>
        </w:rPr>
        <w:t xml:space="preserve">2.23r</w:t>
      </w:r>
      <w:r>
        <w:t xml:space="preserve">.</w:t>
      </w:r>
    </w:p>
  </w:footnote>
  <w:footnote w:id="531">
    <w:p>
      <w:pPr>
        <w:pStyle w:val="FootnoteText"/>
      </w:pPr>
      <w:r>
        <w:rPr>
          <w:rStyle w:val="FootnoteReference"/>
        </w:rPr>
        <w:footnoteRef/>
      </w:r>
      <w:r>
        <w:rPr>
          <w:i/>
          <w:iCs/>
        </w:rPr>
        <w:t xml:space="preserve">e</w:t>
      </w:r>
      <w:r>
        <w:t xml:space="preserve">.</w:t>
      </w:r>
    </w:p>
  </w:footnote>
  <w:footnote w:id="532">
    <w:p>
      <w:pPr>
        <w:pStyle w:val="FootnoteText"/>
      </w:pPr>
      <w:r>
        <w:rPr>
          <w:rStyle w:val="FootnoteReference"/>
        </w:rPr>
        <w:footnoteRef/>
      </w:r>
      <w:r>
        <w:rPr>
          <w:i/>
          <w:iCs/>
        </w:rPr>
        <w:t xml:space="preserve">2.23v</w:t>
      </w:r>
      <w:r>
        <w:t xml:space="preserve">.</w:t>
      </w:r>
    </w:p>
  </w:footnote>
  <w:footnote w:id="533">
    <w:p>
      <w:pPr>
        <w:pStyle w:val="FootnoteText"/>
      </w:pPr>
      <w:r>
        <w:rPr>
          <w:rStyle w:val="FootnoteReference"/>
        </w:rPr>
        <w:footnoteRef/>
      </w:r>
      <w:r>
        <w:rPr>
          <w:i/>
          <w:iCs/>
        </w:rPr>
        <w:t xml:space="preserve">2.24r</w:t>
      </w:r>
      <w:r>
        <w:t xml:space="preserve">.</w:t>
      </w:r>
    </w:p>
  </w:footnote>
  <w:footnote w:id="534">
    <w:p>
      <w:pPr>
        <w:pStyle w:val="FootnoteText"/>
      </w:pPr>
      <w:r>
        <w:rPr>
          <w:rStyle w:val="FootnoteReference"/>
        </w:rPr>
        <w:footnoteRef/>
      </w:r>
      <w:r>
        <w:t xml:space="preserve">The ark of the covenant was kept in the tabernacle, at its center.</w:t>
      </w:r>
    </w:p>
  </w:footnote>
  <w:footnote w:id="535">
    <w:p>
      <w:pPr>
        <w:pStyle w:val="FootnoteText"/>
      </w:pPr>
      <w:r>
        <w:rPr>
          <w:rStyle w:val="FootnoteReference"/>
        </w:rPr>
        <w:footnoteRef/>
      </w:r>
      <w:r>
        <w:rPr>
          <w:i/>
          <w:iCs/>
        </w:rPr>
        <w:t xml:space="preserve">f</w:t>
      </w:r>
      <w:r>
        <w:t xml:space="preserve">.</w:t>
      </w:r>
    </w:p>
  </w:footnote>
  <w:footnote w:id="536">
    <w:p>
      <w:pPr>
        <w:pStyle w:val="FootnoteText"/>
      </w:pPr>
      <w:r>
        <w:rPr>
          <w:rStyle w:val="FootnoteReference"/>
        </w:rPr>
        <w:footnoteRef/>
      </w:r>
      <w:r>
        <w:rPr>
          <w:i/>
          <w:iCs/>
        </w:rPr>
        <w:t xml:space="preserve">2.24v</w:t>
      </w:r>
    </w:p>
  </w:footnote>
  <w:footnote w:id="537">
    <w:p>
      <w:pPr>
        <w:pStyle w:val="FootnoteText"/>
      </w:pPr>
      <w:r>
        <w:rPr>
          <w:rStyle w:val="FootnoteReference"/>
        </w:rPr>
        <w:footnoteRef/>
      </w:r>
      <w:r>
        <w:t xml:space="preserve">In this section JE outlines his argument in phrases. Brackets identify the many editorial insertions needed to complete his text.</w:t>
      </w:r>
    </w:p>
  </w:footnote>
  <w:footnote w:id="538">
    <w:p>
      <w:pPr>
        <w:pStyle w:val="FootnoteText"/>
      </w:pPr>
      <w:r>
        <w:rPr>
          <w:rStyle w:val="FootnoteReference"/>
        </w:rPr>
        <w:footnoteRef/>
      </w:r>
      <w:r>
        <w:t xml:space="preserve">See Exodus 12.</w:t>
      </w:r>
    </w:p>
  </w:footnote>
  <w:footnote w:id="539">
    <w:p>
      <w:pPr>
        <w:pStyle w:val="FootnoteText"/>
      </w:pPr>
      <w:r>
        <w:rPr>
          <w:rStyle w:val="FootnoteReference"/>
        </w:rPr>
        <w:footnoteRef/>
      </w:r>
      <w:r>
        <w:t xml:space="preserve">For the main events in the wilderness, and those to which JE refers below, see Exodus 16–28. See also Numbers 9–11; Numbers 20.</w:t>
      </w:r>
    </w:p>
  </w:footnote>
  <w:footnote w:id="540">
    <w:p>
      <w:pPr>
        <w:pStyle w:val="FootnoteText"/>
      </w:pPr>
      <w:r>
        <w:rPr>
          <w:rStyle w:val="FootnoteReference"/>
        </w:rPr>
        <w:footnoteRef/>
      </w:r>
      <w:r>
        <w:rPr>
          <w:i/>
          <w:iCs/>
        </w:rPr>
        <w:t xml:space="preserve">2.25r</w:t>
      </w:r>
      <w:r>
        <w:t xml:space="preserve">.</w:t>
      </w:r>
    </w:p>
  </w:footnote>
  <w:footnote w:id="541">
    <w:p>
      <w:pPr>
        <w:pStyle w:val="FootnoteText"/>
      </w:pPr>
      <w:r>
        <w:rPr>
          <w:rStyle w:val="FootnoteReference"/>
        </w:rPr>
        <w:footnoteRef/>
      </w:r>
      <w:r>
        <w:t xml:space="preserve">See Numbers 21:5–6.</w:t>
      </w:r>
    </w:p>
  </w:footnote>
  <w:footnote w:id="542">
    <w:p>
      <w:pPr>
        <w:pStyle w:val="FootnoteText"/>
      </w:pPr>
      <w:r>
        <w:rPr>
          <w:rStyle w:val="FootnoteReference"/>
        </w:rPr>
        <w:footnoteRef/>
      </w:r>
      <w:r>
        <w:t xml:space="preserve">See Numbers 14:25–45.</w:t>
      </w:r>
    </w:p>
  </w:footnote>
  <w:footnote w:id="543">
    <w:p>
      <w:pPr>
        <w:pStyle w:val="FootnoteText"/>
      </w:pPr>
      <w:r>
        <w:rPr>
          <w:rStyle w:val="FootnoteReference"/>
        </w:rPr>
        <w:footnoteRef/>
      </w:r>
      <w:r>
        <w:rPr>
          <w:i/>
          <w:iCs/>
        </w:rPr>
        <w:t xml:space="preserve">g</w:t>
      </w:r>
      <w:r>
        <w:t xml:space="preserve">.</w:t>
      </w:r>
    </w:p>
  </w:footnote>
  <w:footnote w:id="544">
    <w:p>
      <w:pPr>
        <w:pStyle w:val="FootnoteText"/>
      </w:pPr>
      <w:r>
        <w:rPr>
          <w:rStyle w:val="FootnoteReference"/>
        </w:rPr>
        <w:footnoteRef/>
      </w:r>
      <w:r>
        <w:rPr>
          <w:i/>
          <w:iCs/>
        </w:rPr>
        <w:t xml:space="preserve">2.25v</w:t>
      </w:r>
      <w:r>
        <w:t xml:space="preserve">.</w:t>
      </w:r>
    </w:p>
  </w:footnote>
  <w:footnote w:id="545">
    <w:p>
      <w:pPr>
        <w:pStyle w:val="FootnoteText"/>
      </w:pPr>
      <w:r>
        <w:rPr>
          <w:rStyle w:val="FootnoteReference"/>
        </w:rPr>
        <w:footnoteRef/>
      </w:r>
      <w:r>
        <w:t xml:space="preserve">Compare Genesis 5:10–27 (the ages of the antediluvians) with the threatened death of the Israelites in Numbers 14:26–33.</w:t>
      </w:r>
    </w:p>
  </w:footnote>
  <w:footnote w:id="546">
    <w:p>
      <w:pPr>
        <w:pStyle w:val="FootnoteText"/>
      </w:pPr>
      <w:r>
        <w:rPr>
          <w:rStyle w:val="FootnoteReference"/>
        </w:rPr>
        <w:footnoteRef/>
      </w:r>
      <w:r>
        <w:rPr>
          <w:i/>
          <w:iCs/>
        </w:rPr>
        <w:t xml:space="preserve">2.26r</w:t>
      </w:r>
      <w:r>
        <w:t xml:space="preserve">.</w:t>
      </w:r>
    </w:p>
  </w:footnote>
  <w:footnote w:id="547">
    <w:p>
      <w:pPr>
        <w:pStyle w:val="FootnoteText"/>
      </w:pPr>
      <w:r>
        <w:rPr>
          <w:rStyle w:val="FootnoteReference"/>
        </w:rPr>
        <w:footnoteRef/>
      </w:r>
      <w:r>
        <w:t xml:space="preserve">This sentence is interlineated, apparently by JE.</w:t>
      </w:r>
    </w:p>
  </w:footnote>
  <w:footnote w:id="548">
    <w:p>
      <w:pPr>
        <w:pStyle w:val="FootnoteText"/>
      </w:pPr>
      <w:r>
        <w:rPr>
          <w:rStyle w:val="FootnoteReference"/>
        </w:rPr>
        <w:footnoteRef/>
      </w:r>
      <w:r>
        <w:rPr>
          <w:i/>
          <w:iCs/>
        </w:rPr>
        <w:t xml:space="preserve">2.26r</w:t>
      </w:r>
      <w:r>
        <w:t xml:space="preserve">.</w:t>
      </w:r>
    </w:p>
  </w:footnote>
  <w:footnote w:id="549">
    <w:p>
      <w:pPr>
        <w:pStyle w:val="FootnoteText"/>
      </w:pPr>
      <w:r>
        <w:rPr>
          <w:rStyle w:val="FootnoteReference"/>
        </w:rPr>
        <w:footnoteRef/>
      </w:r>
      <w:r>
        <w:rPr>
          <w:i/>
          <w:iCs/>
        </w:rPr>
        <w:t xml:space="preserve">2.26v</w:t>
      </w:r>
      <w:r>
        <w:t xml:space="preserve">.</w:t>
      </w:r>
    </w:p>
  </w:footnote>
  <w:footnote w:id="550">
    <w:p>
      <w:pPr>
        <w:pStyle w:val="FootnoteText"/>
      </w:pPr>
      <w:r>
        <w:rPr>
          <w:rStyle w:val="FootnoteReference"/>
        </w:rPr>
        <w:footnoteRef/>
      </w:r>
      <w:r>
        <w:rPr>
          <w:i/>
          <w:iCs/>
        </w:rPr>
        <w:t xml:space="preserve">h</w:t>
      </w:r>
      <w:r>
        <w:t xml:space="preserve">.</w:t>
      </w:r>
    </w:p>
  </w:footnote>
  <w:footnote w:id="551">
    <w:p>
      <w:pPr>
        <w:pStyle w:val="FootnoteText"/>
      </w:pPr>
      <w:r>
        <w:rPr>
          <w:rStyle w:val="FootnoteReference"/>
        </w:rPr>
        <w:footnoteRef/>
      </w:r>
      <w:r>
        <w:t xml:space="preserve">In this section, several editorial insertions are required to sustain JE's argument.</w:t>
      </w:r>
    </w:p>
  </w:footnote>
  <w:footnote w:id="552">
    <w:p>
      <w:pPr>
        <w:pStyle w:val="FootnoteText"/>
      </w:pPr>
      <w:r>
        <w:rPr>
          <w:rStyle w:val="FootnoteReference"/>
        </w:rPr>
        <w:footnoteRef/>
      </w:r>
      <w:r>
        <w:rPr>
          <w:i/>
          <w:iCs/>
        </w:rPr>
        <w:t xml:space="preserve">2.27r</w:t>
      </w:r>
      <w:r>
        <w:t xml:space="preserve">.</w:t>
      </w:r>
    </w:p>
  </w:footnote>
  <w:footnote w:id="553">
    <w:p>
      <w:pPr>
        <w:pStyle w:val="FootnoteText"/>
      </w:pPr>
      <w:r>
        <w:rPr>
          <w:rStyle w:val="FootnoteReference"/>
        </w:rPr>
        <w:footnoteRef/>
      </w:r>
      <w:r>
        <w:rPr>
          <w:i/>
          <w:iCs/>
        </w:rPr>
        <w:t xml:space="preserve">i</w:t>
      </w:r>
      <w:r>
        <w:t xml:space="preserve">.</w:t>
      </w:r>
    </w:p>
  </w:footnote>
  <w:footnote w:id="554">
    <w:p>
      <w:pPr>
        <w:pStyle w:val="FootnoteText"/>
      </w:pPr>
      <w:r>
        <w:rPr>
          <w:rStyle w:val="FootnoteReference"/>
        </w:rPr>
        <w:footnoteRef/>
      </w:r>
      <w:r>
        <w:rPr>
          <w:i/>
          <w:iCs/>
        </w:rPr>
        <w:t xml:space="preserve">2.27v</w:t>
      </w:r>
      <w:r>
        <w:t xml:space="preserve">. Leaf breaks at "re."</w:t>
      </w:r>
    </w:p>
  </w:footnote>
  <w:footnote w:id="555">
    <w:p>
      <w:pPr>
        <w:pStyle w:val="FootnoteText"/>
      </w:pPr>
      <w:r>
        <w:rPr>
          <w:rStyle w:val="FootnoteReference"/>
        </w:rPr>
        <w:footnoteRef/>
      </w:r>
      <w:r>
        <w:t xml:space="preserve">The quotation is from v. 8.</w:t>
      </w:r>
    </w:p>
  </w:footnote>
  <w:footnote w:id="556">
    <w:p>
      <w:pPr>
        <w:pStyle w:val="FootnoteText"/>
      </w:pPr>
      <w:r>
        <w:rPr>
          <w:rStyle w:val="FootnoteReference"/>
        </w:rPr>
        <w:footnoteRef/>
      </w:r>
      <w:r>
        <w:t xml:space="preserve">In this section JE supplies phrases only, which require editorial connectives.</w:t>
      </w:r>
    </w:p>
  </w:footnote>
  <w:footnote w:id="557">
    <w:p>
      <w:pPr>
        <w:pStyle w:val="FootnoteText"/>
      </w:pPr>
      <w:r>
        <w:rPr>
          <w:rStyle w:val="FootnoteReference"/>
        </w:rPr>
        <w:footnoteRef/>
      </w:r>
      <w:r>
        <w:t xml:space="preserve">See Genesis 49:8.</w:t>
      </w:r>
    </w:p>
  </w:footnote>
  <w:footnote w:id="558">
    <w:p>
      <w:pPr>
        <w:pStyle w:val="FootnoteText"/>
      </w:pPr>
      <w:r>
        <w:rPr>
          <w:rStyle w:val="FootnoteReference"/>
        </w:rPr>
        <w:footnoteRef/>
      </w:r>
      <w:r>
        <w:rPr>
          <w:i/>
          <w:iCs/>
        </w:rPr>
        <w:t xml:space="preserve">2.28r</w:t>
      </w:r>
      <w:r>
        <w:t xml:space="preserve">.</w:t>
      </w:r>
    </w:p>
  </w:footnote>
  <w:footnote w:id="559">
    <w:p>
      <w:pPr>
        <w:pStyle w:val="FootnoteText"/>
      </w:pPr>
      <w:r>
        <w:rPr>
          <w:rStyle w:val="FootnoteReference"/>
        </w:rPr>
        <w:footnoteRef/>
      </w:r>
      <w:r>
        <w:rPr>
          <w:i/>
          <w:iCs/>
        </w:rPr>
        <w:t xml:space="preserve">2.28v</w:t>
      </w:r>
      <w:r>
        <w:t xml:space="preserve">. Leaf breaks at "wilder."</w:t>
      </w:r>
    </w:p>
  </w:footnote>
  <w:footnote w:id="560">
    <w:p>
      <w:pPr>
        <w:pStyle w:val="FootnoteText"/>
      </w:pPr>
      <w:r>
        <w:rPr>
          <w:rStyle w:val="FootnoteReference"/>
        </w:rPr>
        <w:footnoteRef/>
      </w:r>
      <w:r>
        <w:t xml:space="preserve">JE abridges the passage.</w:t>
      </w:r>
    </w:p>
  </w:footnote>
  <w:footnote w:id="561">
    <w:p>
      <w:pPr>
        <w:pStyle w:val="FootnoteText"/>
      </w:pPr>
      <w:r>
        <w:rPr>
          <w:rStyle w:val="FootnoteReference"/>
        </w:rPr>
        <w:footnoteRef/>
      </w:r>
      <w:r>
        <w:rPr>
          <w:i/>
          <w:iCs/>
        </w:rPr>
        <w:t xml:space="preserve">j</w:t>
      </w:r>
      <w:r>
        <w:t xml:space="preserve">.</w:t>
      </w:r>
    </w:p>
  </w:footnote>
  <w:footnote w:id="562">
    <w:p>
      <w:pPr>
        <w:pStyle w:val="FootnoteText"/>
      </w:pPr>
      <w:r>
        <w:rPr>
          <w:rStyle w:val="FootnoteReference"/>
        </w:rPr>
        <w:footnoteRef/>
      </w:r>
      <w:r>
        <w:rPr>
          <w:i/>
          <w:iCs/>
        </w:rPr>
        <w:t xml:space="preserve">2.29r</w:t>
      </w:r>
      <w:r>
        <w:t xml:space="preserve">.</w:t>
      </w:r>
    </w:p>
  </w:footnote>
  <w:footnote w:id="563">
    <w:p>
      <w:pPr>
        <w:pStyle w:val="FootnoteText"/>
      </w:pPr>
      <w:r>
        <w:rPr>
          <w:rStyle w:val="FootnoteReference"/>
        </w:rPr>
        <w:footnoteRef/>
      </w:r>
      <w:r>
        <w:t xml:space="preserve">E.g. Deuteronomy 30:6–10; Deuteronomy 31:3–6.</w:t>
      </w:r>
    </w:p>
  </w:footnote>
  <w:footnote w:id="564">
    <w:p>
      <w:pPr>
        <w:pStyle w:val="FootnoteText"/>
      </w:pPr>
      <w:r>
        <w:rPr>
          <w:rStyle w:val="FootnoteReference"/>
        </w:rPr>
        <w:footnoteRef/>
      </w:r>
      <w:r>
        <w:rPr>
          <w:i/>
          <w:iCs/>
        </w:rPr>
        <w:t xml:space="preserve">1.29v</w:t>
      </w:r>
      <w:r>
        <w:t xml:space="preserve">. Leaf breaks at "first."</w:t>
      </w:r>
    </w:p>
  </w:footnote>
  <w:footnote w:id="565">
    <w:p>
      <w:pPr>
        <w:pStyle w:val="FootnoteText"/>
      </w:pPr>
      <w:r>
        <w:rPr>
          <w:rStyle w:val="FootnoteReference"/>
        </w:rPr>
        <w:footnoteRef/>
      </w:r>
      <w:r>
        <w:rPr>
          <w:i/>
          <w:iCs/>
        </w:rPr>
        <w:t xml:space="preserve">2.30r</w:t>
      </w:r>
      <w:r>
        <w:t xml:space="preserve">.</w:t>
      </w:r>
    </w:p>
  </w:footnote>
  <w:footnote w:id="566">
    <w:p>
      <w:pPr>
        <w:pStyle w:val="FootnoteText"/>
      </w:pPr>
      <w:r>
        <w:rPr>
          <w:rStyle w:val="FootnoteReference"/>
        </w:rPr>
        <w:footnoteRef/>
      </w:r>
      <w:r>
        <w:t xml:space="preserve">JE's quotation is from Deuteronomy 8:15–16. Note that he substitutes "in" for "at" and drops "end."</w:t>
      </w:r>
    </w:p>
  </w:footnote>
  <w:footnote w:id="567">
    <w:p>
      <w:pPr>
        <w:pStyle w:val="FootnoteText"/>
      </w:pPr>
      <w:r>
        <w:rPr>
          <w:rStyle w:val="FootnoteReference"/>
        </w:rPr>
        <w:footnoteRef/>
      </w:r>
      <w:r>
        <w:rPr>
          <w:i/>
          <w:iCs/>
        </w:rPr>
        <w:t xml:space="preserve">2.30v</w:t>
      </w:r>
      <w:r>
        <w:t xml:space="preserve">.</w:t>
      </w:r>
    </w:p>
  </w:footnote>
  <w:footnote w:id="568">
    <w:p>
      <w:pPr>
        <w:pStyle w:val="FootnoteText"/>
      </w:pPr>
      <w:r>
        <w:rPr>
          <w:rStyle w:val="FootnoteReference"/>
        </w:rPr>
        <w:footnoteRef/>
      </w:r>
      <w:r>
        <w:t xml:space="preserve">Numbers 16:23.</w:t>
      </w:r>
    </w:p>
  </w:footnote>
  <w:footnote w:id="569">
    <w:p>
      <w:pPr>
        <w:pStyle w:val="FootnoteText"/>
      </w:pPr>
      <w:r>
        <w:rPr>
          <w:rStyle w:val="FootnoteReference"/>
        </w:rPr>
        <w:footnoteRef/>
      </w:r>
      <w:r>
        <w:t xml:space="preserve">JE paraphrases this verse slightly.</w:t>
      </w:r>
    </w:p>
  </w:footnote>
  <w:footnote w:id="570">
    <w:p>
      <w:pPr>
        <w:pStyle w:val="FootnoteText"/>
      </w:pPr>
      <w:r>
        <w:rPr>
          <w:rStyle w:val="FootnoteReference"/>
        </w:rPr>
        <w:footnoteRef/>
      </w:r>
      <w:r>
        <w:t xml:space="preserve">This verse, "And Israel served the Lord all the days of Joshua, and all the days of the elders … which had known all the works of the Lord," seems to imply to JE that the generation after Joshua did not know the Lord as well as Joshua's own generation had.</w:t>
      </w:r>
    </w:p>
  </w:footnote>
  <w:footnote w:id="571">
    <w:p>
      <w:pPr>
        <w:pStyle w:val="FootnoteText"/>
      </w:pPr>
      <w:r>
        <w:rPr>
          <w:rStyle w:val="FootnoteReference"/>
        </w:rPr>
        <w:footnoteRef/>
      </w:r>
      <w:r>
        <w:t xml:space="preserve">See Joshua 7, Joshua 22:10–33. At this point a single leaf, designated </w:t>
      </w:r>
      <w:r>
        <w:rPr>
          <w:i/>
          <w:iCs/>
        </w:rPr>
        <w:t xml:space="preserve">2.31</w:t>
      </w:r>
      <w:r>
        <w:t xml:space="preserve">, was inserted into what was otherwise a booklet of double leaves, probably by JE since it was stitched in. The recto reads as follows: "This is the generation that so much good and so little hurt is mentioned of. There was a second circumcision whereby their reproach was fully rolled away and they became pure. And when afterwards they were polluted by Achan they purged themselves again. See note on Psalms 68:14. See Joshua 24:31." The reference to "note on Psalms 68:14" is to JE's entry on that verse in the "Blank Bible." In it he likens the cleansing that will purify the church after Anticharist is defeated to the purging of Israel in and after her deliverance from Egyptian bondage. This may well have been an elaboration of the point he made in the original composition of his sermon series, or it may be evidence of later editorial revisions. Cf. n. 1, below.</w:t>
      </w:r>
    </w:p>
  </w:footnote>
  <w:footnote w:id="572">
    <w:p>
      <w:pPr>
        <w:pStyle w:val="FootnoteText"/>
      </w:pPr>
      <w:r>
        <w:rPr>
          <w:rStyle w:val="FootnoteReference"/>
        </w:rPr>
        <w:footnoteRef/>
      </w:r>
      <w:r>
        <w:rPr>
          <w:i/>
          <w:iCs/>
        </w:rPr>
        <w:t xml:space="preserve">2.32r</w:t>
      </w:r>
      <w:r>
        <w:t xml:space="preserve">.</w:t>
      </w:r>
    </w:p>
  </w:footnote>
  <w:footnote w:id="573">
    <w:p>
      <w:pPr>
        <w:pStyle w:val="FootnoteText"/>
      </w:pPr>
      <w:r>
        <w:rPr>
          <w:rStyle w:val="FootnoteReference"/>
        </w:rPr>
        <w:footnoteRef/>
      </w:r>
      <w:r>
        <w:t xml:space="preserve">JE may have intended a recitation of the relevant verses, especially Deuteronomy 29:12–13.</w:t>
      </w:r>
    </w:p>
  </w:footnote>
  <w:footnote w:id="574">
    <w:p>
      <w:pPr>
        <w:pStyle w:val="FootnoteText"/>
      </w:pPr>
      <w:r>
        <w:rPr>
          <w:rStyle w:val="FootnoteReference"/>
        </w:rPr>
        <w:footnoteRef/>
      </w:r>
      <w:r>
        <w:t xml:space="preserve">E.g. 2 Kings 18:4–8; 2 Kings 23:1–14.</w:t>
      </w:r>
    </w:p>
  </w:footnote>
  <w:footnote w:id="575">
    <w:p>
      <w:pPr>
        <w:pStyle w:val="FootnoteText"/>
      </w:pPr>
      <w:r>
        <w:rPr>
          <w:rStyle w:val="FootnoteReference"/>
        </w:rPr>
        <w:footnoteRef/>
      </w:r>
      <w:r>
        <w:t xml:space="preserve">The verso of the odd leaf described in n. 6 above is a passage in some respects parallel to the preceding sentences. It does not fill the leaf in question, nor is there indication of the specific location, if any, JE intended for it. It reads: "By this pouring out of the Spirit of God, the Work of Redemption was promoted not only as it was itself a glorious instance of the carrying on that redemption in the application of it, but as this was what God made use of as a means of the good and orderly establishment of the church of Israel at its beginnings when the church of Israel was first settled in the regular observance of God's ordinances in Canaan; even as the first pouring out of the Spirit in the beginning of the Christian church was a great means God made use [of] for the well establishing the Christian church in the world for the comfort of the church in all succeeding ages."</w:t>
      </w:r>
    </w:p>
  </w:footnote>
  <w:footnote w:id="576">
    <w:p>
      <w:pPr>
        <w:pStyle w:val="FootnoteText"/>
      </w:pPr>
      <w:r>
        <w:rPr>
          <w:rStyle w:val="FootnoteReference"/>
        </w:rPr>
        <w:footnoteRef/>
      </w:r>
      <w:r>
        <w:rPr>
          <w:i/>
          <w:iCs/>
        </w:rPr>
        <w:t xml:space="preserve">k</w:t>
      </w:r>
      <w:r>
        <w:t xml:space="preserve">.</w:t>
      </w:r>
    </w:p>
  </w:footnote>
  <w:footnote w:id="577">
    <w:p>
      <w:pPr>
        <w:pStyle w:val="FootnoteText"/>
      </w:pPr>
      <w:r>
        <w:rPr>
          <w:rStyle w:val="FootnoteReference"/>
        </w:rPr>
        <w:footnoteRef/>
      </w:r>
      <w:r>
        <w:rPr>
          <w:i/>
          <w:iCs/>
        </w:rPr>
        <w:t xml:space="preserve">2.32v</w:t>
      </w:r>
      <w:r>
        <w:t xml:space="preserve">.</w:t>
      </w:r>
    </w:p>
  </w:footnote>
  <w:footnote w:id="578">
    <w:p>
      <w:pPr>
        <w:pStyle w:val="FootnoteText"/>
      </w:pPr>
      <w:r>
        <w:rPr>
          <w:rStyle w:val="FootnoteReference"/>
        </w:rPr>
        <w:footnoteRef/>
      </w:r>
      <w:r>
        <w:t xml:space="preserve">JE cites Hebrews 4:9, but inaccurately paraphrases Hebrews 4:8. The citation is changed accordingly.</w:t>
      </w:r>
    </w:p>
  </w:footnote>
  <w:footnote w:id="579">
    <w:p>
      <w:pPr>
        <w:pStyle w:val="FootnoteText"/>
      </w:pPr>
      <w:r>
        <w:rPr>
          <w:rStyle w:val="FootnoteReference"/>
        </w:rPr>
        <w:footnoteRef/>
      </w:r>
      <w:r>
        <w:rPr>
          <w:i/>
          <w:iCs/>
        </w:rPr>
        <w:t xml:space="preserve">2. 33r</w:t>
      </w:r>
      <w:r>
        <w:t xml:space="preserve">.</w:t>
      </w:r>
    </w:p>
  </w:footnote>
  <w:footnote w:id="580">
    <w:p>
      <w:pPr>
        <w:pStyle w:val="FootnoteText"/>
      </w:pPr>
      <w:r>
        <w:rPr>
          <w:rStyle w:val="FootnoteReference"/>
        </w:rPr>
        <w:footnoteRef/>
      </w:r>
      <w:r>
        <w:t xml:space="preserve">For these incidents in Israel's conquest of Canaan, see Numbers 21; Joshua 3:14–17; Joshua 6:1–21; Joshua 10:5–14.</w:t>
      </w:r>
    </w:p>
  </w:footnote>
  <w:footnote w:id="581">
    <w:p>
      <w:pPr>
        <w:pStyle w:val="FootnoteText"/>
      </w:pPr>
      <w:r>
        <w:rPr>
          <w:rStyle w:val="FootnoteReference"/>
        </w:rPr>
        <w:footnoteRef/>
      </w:r>
      <w:r>
        <w:t xml:space="preserve">This language is taken from Colossians 1:16.</w:t>
      </w:r>
    </w:p>
  </w:footnote>
  <w:footnote w:id="582">
    <w:p>
      <w:pPr>
        <w:pStyle w:val="FootnoteText"/>
      </w:pPr>
      <w:r>
        <w:rPr>
          <w:rStyle w:val="FootnoteReference"/>
        </w:rPr>
        <w:footnoteRef/>
      </w:r>
      <w:r>
        <w:t xml:space="preserve">JE is referring to the incident in Joshua 10:11. There is some indication that he intended to quote or paraphrase part of this passage.</w:t>
      </w:r>
    </w:p>
  </w:footnote>
  <w:footnote w:id="583">
    <w:p>
      <w:pPr>
        <w:pStyle w:val="FootnoteText"/>
      </w:pPr>
      <w:r>
        <w:rPr>
          <w:rStyle w:val="FootnoteReference"/>
        </w:rPr>
        <w:footnoteRef/>
      </w:r>
      <w:r>
        <w:rPr>
          <w:i/>
          <w:iCs/>
        </w:rPr>
        <w:t xml:space="preserve">2. 33v</w:t>
      </w:r>
      <w:r>
        <w:t xml:space="preserve">.</w:t>
      </w:r>
    </w:p>
  </w:footnote>
  <w:footnote w:id="584">
    <w:p>
      <w:pPr>
        <w:pStyle w:val="FootnoteText"/>
      </w:pPr>
      <w:r>
        <w:rPr>
          <w:rStyle w:val="FootnoteReference"/>
        </w:rPr>
        <w:footnoteRef/>
      </w:r>
      <w:r>
        <w:rPr>
          <w:i/>
          <w:iCs/>
        </w:rPr>
        <w:t xml:space="preserve">l</w:t>
      </w:r>
      <w:r>
        <w:t xml:space="preserve">.</w:t>
      </w:r>
    </w:p>
  </w:footnote>
  <w:footnote w:id="585">
    <w:p>
      <w:pPr>
        <w:pStyle w:val="FootnoteText"/>
      </w:pPr>
      <w:r>
        <w:rPr>
          <w:rStyle w:val="FootnoteReference"/>
        </w:rPr>
        <w:footnoteRef/>
      </w:r>
      <w:r>
        <w:t xml:space="preserve">See Exodus 19–31 for the ceremonial laws given at Sinai.</w:t>
      </w:r>
    </w:p>
  </w:footnote>
  <w:footnote w:id="586">
    <w:p>
      <w:pPr>
        <w:pStyle w:val="FootnoteText"/>
      </w:pPr>
      <w:r>
        <w:rPr>
          <w:rStyle w:val="FootnoteReference"/>
        </w:rPr>
        <w:footnoteRef/>
      </w:r>
      <w:r>
        <w:rPr>
          <w:i/>
          <w:iCs/>
        </w:rPr>
        <w:t xml:space="preserve">2. 34r</w:t>
      </w:r>
      <w:r>
        <w:t xml:space="preserve">.</w:t>
      </w:r>
    </w:p>
  </w:footnote>
  <w:footnote w:id="587">
    <w:p>
      <w:pPr>
        <w:pStyle w:val="FootnoteText"/>
      </w:pPr>
      <w:r>
        <w:rPr>
          <w:rStyle w:val="FootnoteReference"/>
        </w:rPr>
        <w:footnoteRef/>
      </w:r>
      <w:r>
        <w:t xml:space="preserve">See e.g. Joshua 18:7, Joshua 18:20. For the institution of the fruits and tithes JE mentions, see Exodus 23:16 and Deuteronomy 12:5–6.</w:t>
      </w:r>
    </w:p>
  </w:footnote>
  <w:footnote w:id="588">
    <w:p>
      <w:pPr>
        <w:pStyle w:val="FootnoteText"/>
      </w:pPr>
      <w:r>
        <w:rPr>
          <w:rStyle w:val="FootnoteReference"/>
        </w:rPr>
        <w:footnoteRef/>
      </w:r>
      <w:r>
        <w:rPr>
          <w:i/>
          <w:iCs/>
        </w:rPr>
        <w:t xml:space="preserve">2.34v</w:t>
      </w:r>
      <w:r>
        <w:t xml:space="preserve">.</w:t>
      </w:r>
    </w:p>
  </w:footnote>
  <w:footnote w:id="589">
    <w:p>
      <w:pPr>
        <w:pStyle w:val="FootnoteText"/>
      </w:pPr>
      <w:r>
        <w:rPr>
          <w:rStyle w:val="FootnoteReference"/>
        </w:rPr>
        <w:footnoteRef/>
      </w:r>
      <w:r>
        <w:rPr>
          <w:i/>
          <w:iCs/>
        </w:rPr>
        <w:t xml:space="preserve">m</w:t>
      </w:r>
      <w:r>
        <w:t xml:space="preserve">.</w:t>
      </w:r>
    </w:p>
  </w:footnote>
  <w:footnote w:id="590">
    <w:p>
      <w:pPr>
        <w:pStyle w:val="FootnoteText"/>
      </w:pPr>
      <w:r>
        <w:rPr>
          <w:rStyle w:val="FootnoteReference"/>
        </w:rPr>
        <w:footnoteRef/>
      </w:r>
      <w:r>
        <w:t xml:space="preserve">Exodus 23:17.</w:t>
      </w:r>
    </w:p>
  </w:footnote>
  <w:footnote w:id="591">
    <w:p>
      <w:pPr>
        <w:pStyle w:val="FootnoteText"/>
      </w:pPr>
      <w:r>
        <w:rPr>
          <w:rStyle w:val="FootnoteReference"/>
        </w:rPr>
        <w:footnoteRef/>
      </w:r>
      <w:r>
        <w:t xml:space="preserve">JE may have intended to quote both verses in full. This promise quoted is from Exodus 34:24.</w:t>
      </w:r>
    </w:p>
  </w:footnote>
  <w:footnote w:id="592">
    <w:p>
      <w:pPr>
        <w:pStyle w:val="FootnoteText"/>
      </w:pPr>
      <w:r>
        <w:rPr>
          <w:rStyle w:val="FootnoteReference"/>
        </w:rPr>
        <w:footnoteRef/>
      </w:r>
      <w:r>
        <w:rPr>
          <w:i/>
          <w:iCs/>
        </w:rPr>
        <w:t xml:space="preserve">2.35r</w:t>
      </w:r>
      <w:r>
        <w:t xml:space="preserve">.</w:t>
      </w:r>
    </w:p>
  </w:footnote>
  <w:footnote w:id="593">
    <w:p>
      <w:pPr>
        <w:pStyle w:val="FootnoteText"/>
      </w:pPr>
      <w:r>
        <w:rPr>
          <w:rStyle w:val="FootnoteReference"/>
        </w:rPr>
        <w:footnoteRef/>
      </w:r>
      <w:r>
        <w:rPr>
          <w:i/>
          <w:iCs/>
        </w:rPr>
        <w:t xml:space="preserve">n</w:t>
      </w:r>
      <w:r>
        <w:t xml:space="preserve">.</w:t>
      </w:r>
    </w:p>
  </w:footnote>
  <w:footnote w:id="594">
    <w:p>
      <w:pPr>
        <w:pStyle w:val="FootnoteText"/>
      </w:pPr>
      <w:r>
        <w:rPr>
          <w:rStyle w:val="FootnoteReference"/>
        </w:rPr>
        <w:footnoteRef/>
      </w:r>
      <w:r>
        <w:rPr>
          <w:i/>
          <w:iCs/>
        </w:rPr>
        <w:t xml:space="preserve">2.35v</w:t>
      </w:r>
      <w:r>
        <w:t xml:space="preserve">.</w:t>
      </w:r>
    </w:p>
  </w:footnote>
  <w:footnote w:id="595">
    <w:p>
      <w:pPr>
        <w:pStyle w:val="FootnoteText"/>
      </w:pPr>
      <w:r>
        <w:rPr>
          <w:rStyle w:val="FootnoteReference"/>
        </w:rPr>
        <w:footnoteRef/>
      </w:r>
      <w:r>
        <w:rPr>
          <w:i/>
          <w:iCs/>
        </w:rPr>
        <w:t xml:space="preserve">0</w:t>
      </w:r>
      <w:r>
        <w:t xml:space="preserve">.</w:t>
      </w:r>
    </w:p>
  </w:footnote>
  <w:footnote w:id="596">
    <w:p>
      <w:pPr>
        <w:pStyle w:val="FootnoteText"/>
      </w:pPr>
      <w:r>
        <w:rPr>
          <w:rStyle w:val="FootnoteReference"/>
        </w:rPr>
        <w:footnoteRef/>
      </w:r>
      <w:r>
        <w:rPr>
          <w:i/>
          <w:iCs/>
        </w:rPr>
        <w:t xml:space="preserve">2.36r</w:t>
      </w:r>
      <w:r>
        <w:t xml:space="preserve">.</w:t>
      </w:r>
    </w:p>
  </w:footnote>
  <w:footnote w:id="597">
    <w:p>
      <w:pPr>
        <w:pStyle w:val="FootnoteText"/>
      </w:pPr>
      <w:r>
        <w:rPr>
          <w:rStyle w:val="FootnoteReference"/>
        </w:rPr>
        <w:footnoteRef/>
      </w:r>
      <w:r>
        <w:t xml:space="preserve">Judges 3:8–10.</w:t>
      </w:r>
    </w:p>
  </w:footnote>
  <w:footnote w:id="598">
    <w:p>
      <w:pPr>
        <w:pStyle w:val="FootnoteText"/>
      </w:pPr>
      <w:r>
        <w:rPr>
          <w:rStyle w:val="FootnoteReference"/>
        </w:rPr>
        <w:footnoteRef/>
      </w:r>
      <w:r>
        <w:t xml:space="preserve">JE only sketches this passage, so that it requires several editorial insertions.</w:t>
      </w:r>
    </w:p>
  </w:footnote>
  <w:footnote w:id="599">
    <w:p>
      <w:pPr>
        <w:pStyle w:val="FootnoteText"/>
      </w:pPr>
      <w:r>
        <w:rPr>
          <w:rStyle w:val="FootnoteReference"/>
        </w:rPr>
        <w:footnoteRef/>
      </w:r>
      <w:r>
        <w:t xml:space="preserve">Judges 3:12–30.</w:t>
      </w:r>
    </w:p>
  </w:footnote>
  <w:footnote w:id="600">
    <w:p>
      <w:pPr>
        <w:pStyle w:val="FootnoteText"/>
      </w:pPr>
      <w:r>
        <w:rPr>
          <w:rStyle w:val="FootnoteReference"/>
        </w:rPr>
        <w:footnoteRef/>
      </w:r>
      <w:r>
        <w:t xml:space="preserve">Judges 4.</w:t>
      </w:r>
    </w:p>
  </w:footnote>
  <w:footnote w:id="601">
    <w:p>
      <w:pPr>
        <w:pStyle w:val="FootnoteText"/>
      </w:pPr>
      <w:r>
        <w:rPr>
          <w:rStyle w:val="FootnoteReference"/>
        </w:rPr>
        <w:footnoteRef/>
      </w:r>
      <w:r>
        <w:t xml:space="preserve">Judges 6–7.</w:t>
      </w:r>
    </w:p>
  </w:footnote>
  <w:footnote w:id="602">
    <w:p>
      <w:pPr>
        <w:pStyle w:val="FootnoteText"/>
      </w:pPr>
      <w:r>
        <w:rPr>
          <w:rStyle w:val="FootnoteReference"/>
        </w:rPr>
        <w:footnoteRef/>
      </w:r>
      <w:r>
        <w:t xml:space="preserve">Judges 10:6–11:33.</w:t>
      </w:r>
    </w:p>
  </w:footnote>
  <w:footnote w:id="603">
    <w:p>
      <w:pPr>
        <w:pStyle w:val="FootnoteText"/>
      </w:pPr>
      <w:r>
        <w:rPr>
          <w:rStyle w:val="FootnoteReference"/>
        </w:rPr>
        <w:footnoteRef/>
      </w:r>
      <w:r>
        <w:t xml:space="preserve">Many instances. E.g. Judges 13:1; 1 Samuel 7:3–14.</w:t>
      </w:r>
    </w:p>
  </w:footnote>
  <w:footnote w:id="604">
    <w:p>
      <w:pPr>
        <w:pStyle w:val="FootnoteText"/>
      </w:pPr>
      <w:r>
        <w:rPr>
          <w:rStyle w:val="FootnoteReference"/>
        </w:rPr>
        <w:footnoteRef/>
      </w:r>
      <w:r>
        <w:t xml:space="preserve">JE indicates intent to quote substantial parts of Psalms 106:34–46.</w:t>
      </w:r>
    </w:p>
  </w:footnote>
  <w:footnote w:id="605">
    <w:p>
      <w:pPr>
        <w:pStyle w:val="FootnoteText"/>
      </w:pPr>
      <w:r>
        <w:rPr>
          <w:rStyle w:val="FootnoteReference"/>
        </w:rPr>
        <w:footnoteRef/>
      </w:r>
      <w:r>
        <w:rPr>
          <w:i/>
          <w:iCs/>
        </w:rPr>
        <w:t xml:space="preserve">2.36v</w:t>
      </w:r>
      <w:r>
        <w:t xml:space="preserve">.</w:t>
      </w:r>
    </w:p>
  </w:footnote>
  <w:footnote w:id="606">
    <w:p>
      <w:pPr>
        <w:pStyle w:val="FootnoteText"/>
      </w:pPr>
      <w:r>
        <w:rPr>
          <w:rStyle w:val="FootnoteReference"/>
        </w:rPr>
        <w:footnoteRef/>
      </w:r>
      <w:r>
        <w:t xml:space="preserve">See Judges 4:10–16; Judges 7:1–22; Judges 11:1–33; Judges 13:1–7, Judges 13:24–25; Judges 15–16.</w:t>
      </w:r>
    </w:p>
  </w:footnote>
  <w:footnote w:id="607">
    <w:p>
      <w:pPr>
        <w:pStyle w:val="FootnoteText"/>
      </w:pPr>
      <w:r>
        <w:rPr>
          <w:rStyle w:val="FootnoteReference"/>
        </w:rPr>
        <w:footnoteRef/>
      </w:r>
      <w:r>
        <w:rPr>
          <w:i/>
          <w:iCs/>
        </w:rPr>
        <w:t xml:space="preserve">p</w:t>
      </w:r>
      <w:r>
        <w:t xml:space="preserve">.</w:t>
      </w:r>
    </w:p>
  </w:footnote>
  <w:footnote w:id="608">
    <w:p>
      <w:pPr>
        <w:pStyle w:val="FootnoteText"/>
      </w:pPr>
      <w:r>
        <w:rPr>
          <w:rStyle w:val="FootnoteReference"/>
        </w:rPr>
        <w:footnoteRef/>
      </w:r>
      <w:r>
        <w:t xml:space="preserve">Exodus 33:18–23; Exodus 34:5–7.</w:t>
      </w:r>
    </w:p>
  </w:footnote>
  <w:footnote w:id="609">
    <w:p>
      <w:pPr>
        <w:pStyle w:val="FootnoteText"/>
      </w:pPr>
      <w:r>
        <w:rPr>
          <w:rStyle w:val="FootnoteReference"/>
        </w:rPr>
        <w:footnoteRef/>
      </w:r>
      <w:r>
        <w:t xml:space="preserve">Exodus 34:6.</w:t>
      </w:r>
    </w:p>
  </w:footnote>
  <w:footnote w:id="610">
    <w:p>
      <w:pPr>
        <w:pStyle w:val="FootnoteText"/>
      </w:pPr>
      <w:r>
        <w:rPr>
          <w:rStyle w:val="FootnoteReference"/>
        </w:rPr>
        <w:footnoteRef/>
      </w:r>
      <w:r>
        <w:rPr>
          <w:i/>
          <w:iCs/>
        </w:rPr>
        <w:t xml:space="preserve">2.37r</w:t>
      </w:r>
      <w:r>
        <w:t xml:space="preserve">.</w:t>
      </w:r>
    </w:p>
  </w:footnote>
  <w:footnote w:id="611">
    <w:p>
      <w:pPr>
        <w:pStyle w:val="FootnoteText"/>
      </w:pPr>
      <w:r>
        <w:rPr>
          <w:rStyle w:val="FootnoteReference"/>
        </w:rPr>
        <w:footnoteRef/>
      </w:r>
      <w:r>
        <w:t xml:space="preserve">Besides the many New Testament references to Christ's post-ascension appearances, JE may have had in mind here the transfiguration (Mark 9:2–8; Matthew 17:1–8; Luke 9:28–36).</w:t>
      </w:r>
    </w:p>
  </w:footnote>
  <w:footnote w:id="612">
    <w:p>
      <w:pPr>
        <w:pStyle w:val="FootnoteText"/>
      </w:pPr>
      <w:r>
        <w:rPr>
          <w:rStyle w:val="FootnoteReference"/>
        </w:rPr>
        <w:footnoteRef/>
      </w:r>
      <w:r>
        <w:t xml:space="preserve">JE apparently intended to quote the whole passage. This is Judges 13:20.</w:t>
      </w:r>
    </w:p>
  </w:footnote>
  <w:footnote w:id="613">
    <w:p>
      <w:pPr>
        <w:pStyle w:val="FootnoteText"/>
      </w:pPr>
      <w:r>
        <w:rPr>
          <w:rStyle w:val="FootnoteReference"/>
        </w:rPr>
        <w:footnoteRef/>
      </w:r>
      <w:r>
        <w:rPr>
          <w:i/>
          <w:iCs/>
        </w:rPr>
        <w:t xml:space="preserve">2.37v</w:t>
      </w:r>
      <w:r>
        <w:t xml:space="preserve">.</w:t>
      </w:r>
    </w:p>
  </w:footnote>
  <w:footnote w:id="614">
    <w:p>
      <w:pPr>
        <w:pStyle w:val="FootnoteText"/>
      </w:pPr>
      <w:r>
        <w:rPr>
          <w:rStyle w:val="FootnoteReference"/>
        </w:rPr>
        <w:footnoteRef/>
      </w:r>
      <w:r>
        <w:rPr>
          <w:i/>
          <w:iCs/>
        </w:rPr>
        <w:t xml:space="preserve">2.37v</w:t>
      </w:r>
      <w:r>
        <w:t xml:space="preserve">.</w:t>
      </w:r>
    </w:p>
  </w:footnote>
  <w:footnote w:id="615">
    <w:p>
      <w:pPr>
        <w:pStyle w:val="FootnoteText"/>
      </w:pPr>
      <w:r>
        <w:rPr>
          <w:rStyle w:val="FootnoteReference"/>
        </w:rPr>
        <w:footnoteRef/>
      </w:r>
      <w:r>
        <w:t xml:space="preserve">This sermon was a continuation of Sermon 6, and presumably both were preached on the same day. JE's manuscript includes no introduction or recapitulation.</w:t>
      </w:r>
    </w:p>
  </w:footnote>
  <w:footnote w:id="616">
    <w:p>
      <w:pPr>
        <w:pStyle w:val="FootnoteText"/>
      </w:pPr>
      <w:r>
        <w:rPr>
          <w:rStyle w:val="FootnoteReference"/>
        </w:rPr>
        <w:footnoteRef/>
      </w:r>
      <w:r>
        <w:rPr>
          <w:i/>
          <w:iCs/>
        </w:rPr>
        <w:t xml:space="preserve">q</w:t>
      </w:r>
      <w:r>
        <w:t xml:space="preserve">.</w:t>
      </w:r>
    </w:p>
  </w:footnote>
  <w:footnote w:id="617">
    <w:p>
      <w:pPr>
        <w:pStyle w:val="FootnoteText"/>
      </w:pPr>
      <w:r>
        <w:rPr>
          <w:rStyle w:val="FootnoteReference"/>
        </w:rPr>
        <w:footnoteRef/>
      </w:r>
      <w:r>
        <w:t xml:space="preserve">JE here considers prophecy as sporadically exhibited in the period of the judges, before prophets had a permanent role in Israel's religion.</w:t>
      </w:r>
    </w:p>
  </w:footnote>
  <w:footnote w:id="618">
    <w:p>
      <w:pPr>
        <w:pStyle w:val="FootnoteText"/>
      </w:pPr>
      <w:r>
        <w:rPr>
          <w:rStyle w:val="FootnoteReference"/>
        </w:rPr>
        <w:footnoteRef/>
      </w:r>
      <w:r>
        <w:t xml:space="preserve">JE (apparently) interlineated "Deborah was a prophetess" at this point.</w:t>
      </w:r>
    </w:p>
  </w:footnote>
  <w:footnote w:id="619">
    <w:p>
      <w:pPr>
        <w:pStyle w:val="FootnoteText"/>
      </w:pPr>
      <w:r>
        <w:rPr>
          <w:rStyle w:val="FootnoteReference"/>
        </w:rPr>
        <w:footnoteRef/>
      </w:r>
      <w:r>
        <w:rPr>
          <w:i/>
          <w:iCs/>
        </w:rPr>
        <w:t xml:space="preserve">2.38r</w:t>
      </w:r>
      <w:r>
        <w:t xml:space="preserve">.</w:t>
      </w:r>
    </w:p>
  </w:footnote>
  <w:footnote w:id="620">
    <w:p>
      <w:pPr>
        <w:pStyle w:val="FootnoteText"/>
      </w:pPr>
      <w:r>
        <w:rPr>
          <w:rStyle w:val="FootnoteReference"/>
        </w:rPr>
        <w:footnoteRef/>
      </w:r>
      <w:r>
        <w:t xml:space="preserve">JE includes the span of Israel's history from Samuel to Jeremiah. Some of the many passages mentioning the prophets he lists are 1 Samuel 1–7; 2 Samuel 7; 1 Kings 1; 1 Kings 11–14; 1 Chronicles 15–16; 2 Chronicles 9–13; and Psalms 73–83.</w:t>
      </w:r>
    </w:p>
  </w:footnote>
  <w:footnote w:id="621">
    <w:p>
      <w:pPr>
        <w:pStyle w:val="FootnoteText"/>
      </w:pPr>
      <w:r>
        <w:rPr>
          <w:rStyle w:val="FootnoteReference"/>
        </w:rPr>
        <w:footnoteRef/>
      </w:r>
      <w:r>
        <w:rPr>
          <w:i/>
          <w:iCs/>
        </w:rPr>
        <w:t xml:space="preserve">2.38v</w:t>
      </w:r>
      <w:r>
        <w:t xml:space="preserve">.</w:t>
      </w:r>
    </w:p>
  </w:footnote>
  <w:footnote w:id="622">
    <w:p>
      <w:pPr>
        <w:pStyle w:val="FootnoteText"/>
      </w:pPr>
      <w:r>
        <w:rPr>
          <w:rStyle w:val="FootnoteReference"/>
        </w:rPr>
        <w:footnoteRef/>
      </w:r>
      <w:r>
        <w:t xml:space="preserve">Phrase appears in e.g. 2 Kings 2:15.</w:t>
      </w:r>
    </w:p>
  </w:footnote>
  <w:footnote w:id="623">
    <w:p>
      <w:pPr>
        <w:pStyle w:val="FootnoteText"/>
      </w:pPr>
      <w:r>
        <w:rPr>
          <w:rStyle w:val="FootnoteReference"/>
        </w:rPr>
        <w:footnoteRef/>
      </w:r>
      <w:r>
        <w:rPr>
          <w:i/>
          <w:iCs/>
        </w:rPr>
        <w:t xml:space="preserve">2.39r</w:t>
      </w:r>
      <w:r>
        <w:t xml:space="preserve">.</w:t>
      </w:r>
    </w:p>
  </w:footnote>
  <w:footnote w:id="624">
    <w:p>
      <w:pPr>
        <w:pStyle w:val="FootnoteText"/>
      </w:pPr>
      <w:r>
        <w:rPr>
          <w:rStyle w:val="FootnoteReference"/>
        </w:rPr>
        <w:footnoteRef/>
      </w:r>
      <w:r>
        <w:rPr>
          <w:i/>
          <w:iCs/>
        </w:rPr>
        <w:t xml:space="preserve">2.39v</w:t>
      </w:r>
      <w:r>
        <w:t xml:space="preserve">. JE directs himself to verso of the same leaf, where his discussion continues.</w:t>
      </w:r>
    </w:p>
  </w:footnote>
  <w:footnote w:id="625">
    <w:p>
      <w:pPr>
        <w:pStyle w:val="FootnoteText"/>
      </w:pPr>
      <w:r>
        <w:rPr>
          <w:rStyle w:val="FootnoteReference"/>
        </w:rPr>
        <w:footnoteRef/>
      </w:r>
      <w:r>
        <w:rPr>
          <w:i/>
          <w:iCs/>
        </w:rPr>
        <w:t xml:space="preserve">2.39r</w:t>
      </w:r>
      <w:r>
        <w:t xml:space="preserve">. JE returns to recto.</w:t>
      </w:r>
    </w:p>
  </w:footnote>
  <w:footnote w:id="626">
    <w:p>
      <w:pPr>
        <w:pStyle w:val="FootnoteText"/>
      </w:pPr>
      <w:r>
        <w:rPr>
          <w:rStyle w:val="FootnoteReference"/>
        </w:rPr>
        <w:footnoteRef/>
      </w:r>
      <w:r>
        <w:rPr>
          <w:i/>
          <w:iCs/>
        </w:rPr>
        <w:t xml:space="preserve">2.39v</w:t>
      </w:r>
      <w:r>
        <w:t xml:space="preserve">.</w:t>
      </w:r>
    </w:p>
  </w:footnote>
  <w:footnote w:id="627">
    <w:p>
      <w:pPr>
        <w:pStyle w:val="FootnoteText"/>
      </w:pPr>
      <w:r>
        <w:rPr>
          <w:rStyle w:val="FootnoteReference"/>
        </w:rPr>
        <w:footnoteRef/>
      </w:r>
      <w:r>
        <w:rPr>
          <w:i/>
          <w:iCs/>
        </w:rPr>
        <w:t xml:space="preserve">2.40r</w:t>
      </w:r>
      <w:r>
        <w:t xml:space="preserve">.</w:t>
      </w:r>
    </w:p>
  </w:footnote>
  <w:footnote w:id="628">
    <w:p>
      <w:pPr>
        <w:pStyle w:val="FootnoteText"/>
      </w:pPr>
      <w:r>
        <w:rPr>
          <w:rStyle w:val="FootnoteReference"/>
        </w:rPr>
        <w:footnoteRef/>
      </w:r>
      <w:r>
        <w:t xml:space="preserve">JE's text reads "Acts 4:24." I have emended it.</w:t>
      </w:r>
    </w:p>
  </w:footnote>
  <w:footnote w:id="629">
    <w:p>
      <w:pPr>
        <w:pStyle w:val="FootnoteText"/>
      </w:pPr>
      <w:r>
        <w:rPr>
          <w:rStyle w:val="FootnoteReference"/>
        </w:rPr>
        <w:footnoteRef/>
      </w:r>
      <w:r>
        <w:rPr>
          <w:i/>
          <w:iCs/>
        </w:rPr>
        <w:t xml:space="preserve">2.40v</w:t>
      </w:r>
      <w:r>
        <w:t xml:space="preserve">.</w:t>
      </w:r>
    </w:p>
  </w:footnote>
  <w:footnote w:id="630">
    <w:p>
      <w:pPr>
        <w:pStyle w:val="FootnoteText"/>
      </w:pPr>
      <w:r>
        <w:rPr>
          <w:rStyle w:val="FootnoteReference"/>
        </w:rPr>
        <w:footnoteRef/>
      </w:r>
      <w:r>
        <w:t xml:space="preserve">Acts 3:24.</w:t>
      </w:r>
    </w:p>
  </w:footnote>
  <w:footnote w:id="631">
    <w:p>
      <w:pPr>
        <w:pStyle w:val="FootnoteText"/>
      </w:pPr>
      <w:r>
        <w:rPr>
          <w:rStyle w:val="FootnoteReference"/>
        </w:rPr>
        <w:footnoteRef/>
      </w:r>
      <w:r>
        <w:rPr>
          <w:i/>
          <w:iCs/>
        </w:rPr>
        <w:t xml:space="preserve">2.41r</w:t>
      </w:r>
      <w:r>
        <w:t xml:space="preserve">. Leaf breaks at "con."</w:t>
      </w:r>
    </w:p>
  </w:footnote>
  <w:footnote w:id="632">
    <w:p>
      <w:pPr>
        <w:pStyle w:val="FootnoteText"/>
      </w:pPr>
      <w:r>
        <w:rPr>
          <w:rStyle w:val="FootnoteReference"/>
        </w:rPr>
        <w:footnoteRef/>
      </w:r>
      <w:r>
        <w:t xml:space="preserve">JE's version is a loose paraphrase, but the reference is clearly to Revelation 19:10.</w:t>
      </w:r>
    </w:p>
  </w:footnote>
  <w:footnote w:id="633">
    <w:p>
      <w:pPr>
        <w:pStyle w:val="FootnoteText"/>
      </w:pPr>
      <w:r>
        <w:rPr>
          <w:rStyle w:val="FootnoteReference"/>
        </w:rPr>
        <w:footnoteRef/>
      </w:r>
      <w:r>
        <w:rPr>
          <w:i/>
          <w:iCs/>
        </w:rPr>
        <w:t xml:space="preserve">5</w:t>
      </w:r>
      <w:r>
        <w:t xml:space="preserve">.</w:t>
      </w:r>
    </w:p>
  </w:footnote>
  <w:footnote w:id="634">
    <w:p>
      <w:pPr>
        <w:pStyle w:val="FootnoteText"/>
      </w:pPr>
      <w:r>
        <w:rPr>
          <w:rStyle w:val="FootnoteReference"/>
        </w:rPr>
        <w:footnoteRef/>
      </w:r>
      <w:r>
        <w:rPr>
          <w:i/>
          <w:iCs/>
        </w:rPr>
        <w:t xml:space="preserve">a</w:t>
      </w:r>
      <w:r>
        <w:t xml:space="preserve">.</w:t>
      </w:r>
    </w:p>
  </w:footnote>
  <w:footnote w:id="635">
    <w:p>
      <w:pPr>
        <w:pStyle w:val="FootnoteText"/>
      </w:pPr>
      <w:r>
        <w:rPr>
          <w:rStyle w:val="FootnoteReference"/>
        </w:rPr>
        <w:footnoteRef/>
      </w:r>
      <w:r>
        <w:rPr>
          <w:i/>
          <w:iCs/>
        </w:rPr>
        <w:t xml:space="preserve">2.41v</w:t>
      </w:r>
      <w:r>
        <w:t xml:space="preserve">.</w:t>
      </w:r>
    </w:p>
  </w:footnote>
  <w:footnote w:id="636">
    <w:p>
      <w:pPr>
        <w:pStyle w:val="FootnoteText"/>
      </w:pPr>
      <w:r>
        <w:rPr>
          <w:rStyle w:val="FootnoteReference"/>
        </w:rPr>
        <w:footnoteRef/>
      </w:r>
      <w:r>
        <w:t xml:space="preserve">Psalms 68:27; 1 Samuel 16:6–13.</w:t>
      </w:r>
    </w:p>
  </w:footnote>
  <w:footnote w:id="637">
    <w:p>
      <w:pPr>
        <w:pStyle w:val="FootnoteText"/>
      </w:pPr>
      <w:r>
        <w:rPr>
          <w:rStyle w:val="FootnoteReference"/>
        </w:rPr>
        <w:footnoteRef/>
      </w:r>
      <w:r>
        <w:t xml:space="preserve">Genesis 49:8–12; Numbers 2:3. JE's text revised; reading uncertain.</w:t>
      </w:r>
    </w:p>
  </w:footnote>
  <w:footnote w:id="638">
    <w:p>
      <w:pPr>
        <w:pStyle w:val="FootnoteText"/>
      </w:pPr>
      <w:r>
        <w:rPr>
          <w:rStyle w:val="FootnoteReference"/>
        </w:rPr>
        <w:footnoteRef/>
      </w:r>
      <w:r>
        <w:t xml:space="preserve">1 Samuel 16:13; 2 Samuel 2:4; 2 Samuel 5:1–3. Throughout the sermon series, passages in Chronicles parallel to those in Samuel and Kings are not cited unless JE refers specifically to Chronicles.</w:t>
      </w:r>
    </w:p>
  </w:footnote>
  <w:footnote w:id="639">
    <w:p>
      <w:pPr>
        <w:pStyle w:val="FootnoteText"/>
      </w:pPr>
      <w:r>
        <w:rPr>
          <w:rStyle w:val="FootnoteReference"/>
        </w:rPr>
        <w:footnoteRef/>
      </w:r>
      <w:r>
        <w:t xml:space="preserve">2 Samuel 7:12–17.</w:t>
      </w:r>
    </w:p>
  </w:footnote>
  <w:footnote w:id="640">
    <w:p>
      <w:pPr>
        <w:pStyle w:val="FootnoteText"/>
      </w:pPr>
      <w:r>
        <w:rPr>
          <w:rStyle w:val="FootnoteReference"/>
        </w:rPr>
        <w:footnoteRef/>
      </w:r>
      <w:r>
        <w:rPr>
          <w:i/>
          <w:iCs/>
        </w:rPr>
        <w:t xml:space="preserve">2.42r</w:t>
      </w:r>
      <w:r>
        <w:t xml:space="preserve">.</w:t>
      </w:r>
    </w:p>
  </w:footnote>
  <w:footnote w:id="641">
    <w:p>
      <w:pPr>
        <w:pStyle w:val="FootnoteText"/>
      </w:pPr>
      <w:r>
        <w:rPr>
          <w:rStyle w:val="FootnoteReference"/>
        </w:rPr>
        <w:footnoteRef/>
      </w:r>
      <w:r>
        <w:t xml:space="preserve">JE skips to the bottom of the leaf to continue his discussion of David as a type of Christ.</w:t>
      </w:r>
    </w:p>
  </w:footnote>
  <w:footnote w:id="642">
    <w:p>
      <w:pPr>
        <w:pStyle w:val="FootnoteText"/>
      </w:pPr>
      <w:r>
        <w:rPr>
          <w:rStyle w:val="FootnoteReference"/>
        </w:rPr>
        <w:footnoteRef/>
      </w:r>
      <w:r>
        <w:t xml:space="preserve">E.g. Romans 1:3 and Luke 18:38–39 for some New Testament references. At this point JE turns to the earlier section of the leaf.</w:t>
      </w:r>
    </w:p>
  </w:footnote>
  <w:footnote w:id="643">
    <w:p>
      <w:pPr>
        <w:pStyle w:val="FootnoteText"/>
      </w:pPr>
      <w:r>
        <w:rPr>
          <w:rStyle w:val="FootnoteReference"/>
        </w:rPr>
        <w:footnoteRef/>
      </w:r>
      <w:r>
        <w:rPr>
          <w:i/>
          <w:iCs/>
        </w:rPr>
        <w:t xml:space="preserve">2.42v</w:t>
      </w:r>
      <w:r>
        <w:t xml:space="preserve">.</w:t>
      </w:r>
    </w:p>
  </w:footnote>
  <w:footnote w:id="644">
    <w:p>
      <w:pPr>
        <w:pStyle w:val="FootnoteText"/>
      </w:pPr>
      <w:r>
        <w:rPr>
          <w:rStyle w:val="FootnoteReference"/>
        </w:rPr>
        <w:footnoteRef/>
      </w:r>
      <w:r>
        <w:t xml:space="preserve">JE's quotations in this paragraph are generally accurate although at times abridged.</w:t>
      </w:r>
    </w:p>
  </w:footnote>
  <w:footnote w:id="645">
    <w:p>
      <w:pPr>
        <w:pStyle w:val="FootnoteText"/>
      </w:pPr>
      <w:r>
        <w:rPr>
          <w:rStyle w:val="FootnoteReference"/>
        </w:rPr>
        <w:footnoteRef/>
      </w:r>
      <w:r>
        <w:rPr>
          <w:i/>
          <w:iCs/>
        </w:rPr>
        <w:t xml:space="preserve">2.43r</w:t>
      </w:r>
      <w:r>
        <w:t xml:space="preserve">.</w:t>
      </w:r>
    </w:p>
  </w:footnote>
  <w:footnote w:id="646">
    <w:p>
      <w:pPr>
        <w:pStyle w:val="FootnoteText"/>
      </w:pPr>
      <w:r>
        <w:rPr>
          <w:rStyle w:val="FootnoteReference"/>
        </w:rPr>
        <w:footnoteRef/>
      </w:r>
      <w:r>
        <w:t xml:space="preserve">This section makes clear that JE held the common assumption that these Old Testaments passages were predictions about Jesus. He strikes the following passage from his manuscript with a large X: "2. The next thing I would observe was God's so preserving David's life by a series of wonderful providences till Saul's death."</w:t>
      </w:r>
    </w:p>
  </w:footnote>
  <w:footnote w:id="647">
    <w:p>
      <w:pPr>
        <w:pStyle w:val="FootnoteText"/>
      </w:pPr>
      <w:r>
        <w:rPr>
          <w:rStyle w:val="FootnoteReference"/>
        </w:rPr>
        <w:footnoteRef/>
      </w:r>
      <w:r>
        <w:t xml:space="preserve">JE here paraphrases and conflates Isaiah 53:2–3; he indicates intention to supply bracketed phrases.</w:t>
      </w:r>
    </w:p>
  </w:footnote>
  <w:footnote w:id="648">
    <w:p>
      <w:pPr>
        <w:pStyle w:val="FootnoteText"/>
      </w:pPr>
      <w:r>
        <w:rPr>
          <w:rStyle w:val="FootnoteReference"/>
        </w:rPr>
        <w:footnoteRef/>
      </w:r>
      <w:r>
        <w:t xml:space="preserve">The Old Testament incidents above are found in Genesis 27:6–29; Genesis 38:27–29; and Genesis 21:1–21. The New Testament quotation is from Matthew 19:30.</w:t>
      </w:r>
    </w:p>
  </w:footnote>
  <w:footnote w:id="649">
    <w:p>
      <w:pPr>
        <w:pStyle w:val="FootnoteText"/>
      </w:pPr>
      <w:r>
        <w:rPr>
          <w:rStyle w:val="FootnoteReference"/>
        </w:rPr>
        <w:footnoteRef/>
      </w:r>
      <w:r>
        <w:rPr>
          <w:i/>
          <w:iCs/>
        </w:rPr>
        <w:t xml:space="preserve">2.43v</w:t>
      </w:r>
      <w:r>
        <w:t xml:space="preserve">.</w:t>
      </w:r>
    </w:p>
  </w:footnote>
  <w:footnote w:id="650">
    <w:p>
      <w:pPr>
        <w:pStyle w:val="FootnoteText"/>
      </w:pPr>
      <w:r>
        <w:rPr>
          <w:rStyle w:val="FootnoteReference"/>
        </w:rPr>
        <w:footnoteRef/>
      </w:r>
      <w:r>
        <w:rPr>
          <w:i/>
          <w:iCs/>
        </w:rPr>
        <w:t xml:space="preserve">b</w:t>
      </w:r>
      <w:r>
        <w:t xml:space="preserve">.</w:t>
      </w:r>
    </w:p>
  </w:footnote>
  <w:footnote w:id="651">
    <w:p>
      <w:pPr>
        <w:pStyle w:val="FootnoteText"/>
      </w:pPr>
      <w:r>
        <w:rPr>
          <w:rStyle w:val="FootnoteReference"/>
        </w:rPr>
        <w:footnoteRef/>
      </w:r>
      <w:r>
        <w:t xml:space="preserve">1 Samuel 17:34–37.</w:t>
      </w:r>
    </w:p>
  </w:footnote>
  <w:footnote w:id="652">
    <w:p>
      <w:pPr>
        <w:pStyle w:val="FootnoteText"/>
      </w:pPr>
      <w:r>
        <w:rPr>
          <w:rStyle w:val="FootnoteReference"/>
        </w:rPr>
        <w:footnoteRef/>
      </w:r>
      <w:r>
        <w:rPr>
          <w:i/>
          <w:iCs/>
        </w:rPr>
        <w:t xml:space="preserve">2.44r</w:t>
      </w:r>
      <w:r>
        <w:t xml:space="preserve">.</w:t>
      </w:r>
    </w:p>
  </w:footnote>
  <w:footnote w:id="653">
    <w:p>
      <w:pPr>
        <w:pStyle w:val="FootnoteText"/>
      </w:pPr>
      <w:r>
        <w:rPr>
          <w:rStyle w:val="FootnoteReference"/>
        </w:rPr>
        <w:footnoteRef/>
      </w:r>
      <w:r>
        <w:t xml:space="preserve">This language referring to Satan as a lion is taken from 1 Peter 5:8.</w:t>
      </w:r>
    </w:p>
  </w:footnote>
  <w:footnote w:id="654">
    <w:p>
      <w:pPr>
        <w:pStyle w:val="FootnoteText"/>
      </w:pPr>
      <w:r>
        <w:rPr>
          <w:rStyle w:val="FootnoteReference"/>
        </w:rPr>
        <w:footnoteRef/>
      </w:r>
      <w:r>
        <w:t xml:space="preserve">1 Samuel 17:38–52. See also Ephesians 2:16, which JE may have had in mind as a parallel.</w:t>
      </w:r>
    </w:p>
  </w:footnote>
  <w:footnote w:id="655">
    <w:p>
      <w:pPr>
        <w:pStyle w:val="FootnoteText"/>
      </w:pPr>
      <w:r>
        <w:rPr>
          <w:rStyle w:val="FootnoteReference"/>
        </w:rPr>
        <w:footnoteRef/>
      </w:r>
      <w:r>
        <w:t xml:space="preserve">1 Samuel 18:25–27.</w:t>
      </w:r>
    </w:p>
  </w:footnote>
  <w:footnote w:id="656">
    <w:p>
      <w:pPr>
        <w:pStyle w:val="FootnoteText"/>
      </w:pPr>
      <w:r>
        <w:rPr>
          <w:rStyle w:val="FootnoteReference"/>
        </w:rPr>
        <w:footnoteRef/>
      </w:r>
      <w:r>
        <w:rPr>
          <w:i/>
          <w:iCs/>
        </w:rPr>
        <w:t xml:space="preserve">2.44v</w:t>
      </w:r>
      <w:r>
        <w:t xml:space="preserve">.</w:t>
      </w:r>
    </w:p>
  </w:footnote>
  <w:footnote w:id="657">
    <w:p>
      <w:pPr>
        <w:pStyle w:val="FootnoteText"/>
      </w:pPr>
      <w:r>
        <w:rPr>
          <w:rStyle w:val="FootnoteReference"/>
        </w:rPr>
        <w:footnoteRef/>
      </w:r>
      <w:r>
        <w:t xml:space="preserve">E.g. 1 Samuel 19:1–7; 1 Samuel 20:9–42.</w:t>
      </w:r>
    </w:p>
  </w:footnote>
  <w:footnote w:id="658">
    <w:p>
      <w:pPr>
        <w:pStyle w:val="FootnoteText"/>
      </w:pPr>
      <w:r>
        <w:rPr>
          <w:rStyle w:val="FootnoteReference"/>
        </w:rPr>
        <w:footnoteRef/>
      </w:r>
      <w:r>
        <w:t xml:space="preserve">1 Samuel 18:10–11; 1 Samuel 19:10.</w:t>
      </w:r>
    </w:p>
  </w:footnote>
  <w:footnote w:id="659">
    <w:p>
      <w:pPr>
        <w:pStyle w:val="FootnoteText"/>
      </w:pPr>
      <w:r>
        <w:rPr>
          <w:rStyle w:val="FootnoteReference"/>
        </w:rPr>
        <w:footnoteRef/>
      </w:r>
      <w:r>
        <w:t xml:space="preserve">1 Samuel 19:11–17.</w:t>
      </w:r>
    </w:p>
  </w:footnote>
  <w:footnote w:id="660">
    <w:p>
      <w:pPr>
        <w:pStyle w:val="FootnoteText"/>
      </w:pPr>
      <w:r>
        <w:rPr>
          <w:rStyle w:val="FootnoteReference"/>
        </w:rPr>
        <w:footnoteRef/>
      </w:r>
      <w:r>
        <w:t xml:space="preserve">1 Samuel 19:18–21.</w:t>
      </w:r>
    </w:p>
  </w:footnote>
  <w:footnote w:id="661">
    <w:p>
      <w:pPr>
        <w:pStyle w:val="FootnoteText"/>
      </w:pPr>
      <w:r>
        <w:rPr>
          <w:rStyle w:val="FootnoteReference"/>
        </w:rPr>
        <w:footnoteRef/>
      </w:r>
      <w:r>
        <w:t xml:space="preserve">1 Samuel 19:22–24.</w:t>
      </w:r>
    </w:p>
  </w:footnote>
  <w:footnote w:id="662">
    <w:p>
      <w:pPr>
        <w:pStyle w:val="FootnoteText"/>
      </w:pPr>
      <w:r>
        <w:rPr>
          <w:rStyle w:val="FootnoteReference"/>
        </w:rPr>
        <w:footnoteRef/>
      </w:r>
      <w:r>
        <w:t xml:space="preserve">1 Samuel 21:10–15.</w:t>
      </w:r>
    </w:p>
  </w:footnote>
  <w:footnote w:id="663">
    <w:p>
      <w:pPr>
        <w:pStyle w:val="FootnoteText"/>
      </w:pPr>
      <w:r>
        <w:rPr>
          <w:rStyle w:val="FootnoteReference"/>
        </w:rPr>
        <w:footnoteRef/>
      </w:r>
      <w:r>
        <w:t xml:space="preserve">1 Samuel 23:7–13.</w:t>
      </w:r>
    </w:p>
  </w:footnote>
  <w:footnote w:id="664">
    <w:p>
      <w:pPr>
        <w:pStyle w:val="FootnoteText"/>
      </w:pPr>
      <w:r>
        <w:rPr>
          <w:rStyle w:val="FootnoteReference"/>
        </w:rPr>
        <w:footnoteRef/>
      </w:r>
      <w:r>
        <w:rPr>
          <w:i/>
          <w:iCs/>
        </w:rPr>
        <w:t xml:space="preserve">2. 45r</w:t>
      </w:r>
      <w:r>
        <w:t xml:space="preserve">.</w:t>
      </w:r>
    </w:p>
  </w:footnote>
  <w:footnote w:id="665">
    <w:p>
      <w:pPr>
        <w:pStyle w:val="FootnoteText"/>
      </w:pPr>
      <w:r>
        <w:rPr>
          <w:rStyle w:val="FootnoteReference"/>
        </w:rPr>
        <w:footnoteRef/>
      </w:r>
      <w:r>
        <w:t xml:space="preserve">1 Samuel 24:1–7; 1 Samuel 26:2–25.</w:t>
      </w:r>
    </w:p>
  </w:footnote>
  <w:footnote w:id="666">
    <w:p>
      <w:pPr>
        <w:pStyle w:val="FootnoteText"/>
      </w:pPr>
      <w:r>
        <w:rPr>
          <w:rStyle w:val="FootnoteReference"/>
        </w:rPr>
        <w:footnoteRef/>
      </w:r>
      <w:r>
        <w:t xml:space="preserve">1 Samuel 27.</w:t>
      </w:r>
    </w:p>
  </w:footnote>
  <w:footnote w:id="667">
    <w:p>
      <w:pPr>
        <w:pStyle w:val="FootnoteText"/>
      </w:pPr>
      <w:r>
        <w:rPr>
          <w:rStyle w:val="FootnoteReference"/>
        </w:rPr>
        <w:footnoteRef/>
      </w:r>
      <w:r>
        <w:t xml:space="preserve">JE clearly assumes Davidic authorship for the psalms, and his language echoes numerous passages from them (e.g. Psalms 36–37). There are also special resonances with New Testament passages (e.g. Matthew 16:18) in light of the typological framework that governs his exposition.</w:t>
      </w:r>
    </w:p>
  </w:footnote>
  <w:footnote w:id="668">
    <w:p>
      <w:pPr>
        <w:pStyle w:val="FootnoteText"/>
      </w:pPr>
      <w:r>
        <w:rPr>
          <w:rStyle w:val="FootnoteReference"/>
        </w:rPr>
        <w:footnoteRef/>
      </w:r>
      <w:r>
        <w:rPr>
          <w:i/>
          <w:iCs/>
        </w:rPr>
        <w:t xml:space="preserve">c</w:t>
      </w:r>
      <w:r>
        <w:t xml:space="preserve">.</w:t>
      </w:r>
    </w:p>
  </w:footnote>
  <w:footnote w:id="669">
    <w:p>
      <w:pPr>
        <w:pStyle w:val="FootnoteText"/>
      </w:pPr>
      <w:r>
        <w:rPr>
          <w:rStyle w:val="FootnoteReference"/>
        </w:rPr>
        <w:footnoteRef/>
      </w:r>
      <w:r>
        <w:rPr>
          <w:i/>
          <w:iCs/>
        </w:rPr>
        <w:t xml:space="preserve">2.45v</w:t>
      </w:r>
      <w:r>
        <w:t xml:space="preserve">.</w:t>
      </w:r>
    </w:p>
  </w:footnote>
  <w:footnote w:id="670">
    <w:p>
      <w:pPr>
        <w:pStyle w:val="FootnoteText"/>
      </w:pPr>
      <w:r>
        <w:rPr>
          <w:rStyle w:val="FootnoteReference"/>
        </w:rPr>
        <w:footnoteRef/>
      </w:r>
      <w:r>
        <w:rPr>
          <w:i/>
          <w:iCs/>
        </w:rPr>
        <w:t xml:space="preserve">2.46r</w:t>
      </w:r>
      <w:r>
        <w:t xml:space="preserve">.</w:t>
      </w:r>
    </w:p>
  </w:footnote>
  <w:footnote w:id="671">
    <w:p>
      <w:pPr>
        <w:pStyle w:val="FootnoteText"/>
      </w:pPr>
      <w:r>
        <w:rPr>
          <w:rStyle w:val="FootnoteReference"/>
        </w:rPr>
        <w:footnoteRef/>
      </w:r>
      <w:r>
        <w:t xml:space="preserve">Ruth and Boaz.</w:t>
      </w:r>
    </w:p>
  </w:footnote>
  <w:footnote w:id="672">
    <w:p>
      <w:pPr>
        <w:pStyle w:val="FootnoteText"/>
      </w:pPr>
      <w:r>
        <w:rPr>
          <w:rStyle w:val="FootnoteReference"/>
        </w:rPr>
        <w:footnoteRef/>
      </w:r>
      <w:r>
        <w:rPr>
          <w:i/>
          <w:iCs/>
        </w:rPr>
        <w:t xml:space="preserve">2.46v</w:t>
      </w:r>
      <w:r>
        <w:t xml:space="preserve">.</w:t>
      </w:r>
    </w:p>
  </w:footnote>
  <w:footnote w:id="673">
    <w:p>
      <w:pPr>
        <w:pStyle w:val="FootnoteText"/>
      </w:pPr>
      <w:r>
        <w:rPr>
          <w:rStyle w:val="FootnoteReference"/>
        </w:rPr>
        <w:footnoteRef/>
      </w:r>
      <w:r>
        <w:rPr>
          <w:i/>
          <w:iCs/>
        </w:rPr>
        <w:t xml:space="preserve">d</w:t>
      </w:r>
      <w:r>
        <w:t xml:space="preserve">.</w:t>
      </w:r>
    </w:p>
  </w:footnote>
  <w:footnote w:id="674">
    <w:p>
      <w:pPr>
        <w:pStyle w:val="FootnoteText"/>
      </w:pPr>
      <w:r>
        <w:rPr>
          <w:rStyle w:val="FootnoteReference"/>
        </w:rPr>
        <w:footnoteRef/>
      </w:r>
      <w:r>
        <w:t xml:space="preserve">An obvious reference to the role of David as psalmist.</w:t>
      </w:r>
    </w:p>
  </w:footnote>
  <w:footnote w:id="675">
    <w:p>
      <w:pPr>
        <w:pStyle w:val="FootnoteText"/>
      </w:pPr>
      <w:r>
        <w:rPr>
          <w:rStyle w:val="FootnoteReference"/>
        </w:rPr>
        <w:footnoteRef/>
      </w:r>
      <w:r>
        <w:t xml:space="preserve">JE closely paraphrased the verses and, originally having written out the remainder Acts 2:30, deleted the part following "oath."</w:t>
      </w:r>
    </w:p>
  </w:footnote>
  <w:footnote w:id="676">
    <w:p>
      <w:pPr>
        <w:pStyle w:val="FootnoteText"/>
      </w:pPr>
      <w:r>
        <w:rPr>
          <w:rStyle w:val="FootnoteReference"/>
        </w:rPr>
        <w:footnoteRef/>
      </w:r>
      <w:r>
        <w:rPr>
          <w:i/>
          <w:iCs/>
        </w:rPr>
        <w:t xml:space="preserve">2.47r</w:t>
      </w:r>
      <w:r>
        <w:t xml:space="preserve">. Text of sentence confused; JE wrote "when when."</w:t>
      </w:r>
    </w:p>
  </w:footnote>
  <w:footnote w:id="677">
    <w:p>
      <w:pPr>
        <w:pStyle w:val="FootnoteText"/>
      </w:pPr>
      <w:r>
        <w:rPr>
          <w:rStyle w:val="FootnoteReference"/>
        </w:rPr>
        <w:footnoteRef/>
      </w:r>
      <w:r>
        <w:t xml:space="preserve">See 1 Samuel 17.</w:t>
      </w:r>
    </w:p>
  </w:footnote>
  <w:footnote w:id="678">
    <w:p>
      <w:pPr>
        <w:pStyle w:val="FootnoteText"/>
      </w:pPr>
      <w:r>
        <w:rPr>
          <w:rStyle w:val="FootnoteReference"/>
        </w:rPr>
        <w:footnoteRef/>
      </w:r>
      <w:r>
        <w:t xml:space="preserve">In this case JE finds oil associated with the Spirit in one Old Testament verse, and so can argue for the coincidence of type and antitype.</w:t>
      </w:r>
    </w:p>
  </w:footnote>
  <w:footnote w:id="679">
    <w:p>
      <w:pPr>
        <w:pStyle w:val="FootnoteText"/>
      </w:pPr>
      <w:r>
        <w:rPr>
          <w:rStyle w:val="FootnoteReference"/>
        </w:rPr>
        <w:footnoteRef/>
      </w:r>
      <w:r>
        <w:rPr>
          <w:i/>
          <w:iCs/>
        </w:rPr>
        <w:t xml:space="preserve">2.47v</w:t>
      </w:r>
      <w:r>
        <w:t xml:space="preserve">.</w:t>
      </w:r>
    </w:p>
  </w:footnote>
  <w:footnote w:id="680">
    <w:p>
      <w:pPr>
        <w:pStyle w:val="FootnoteText"/>
      </w:pPr>
      <w:r>
        <w:rPr>
          <w:rStyle w:val="FootnoteReference"/>
        </w:rPr>
        <w:footnoteRef/>
      </w:r>
      <w:r>
        <w:t xml:space="preserve">Psalms written by other authors include Psalms 50, Psalms 80, and Psalms 89.</w:t>
      </w:r>
    </w:p>
  </w:footnote>
  <w:footnote w:id="681">
    <w:p>
      <w:pPr>
        <w:pStyle w:val="FootnoteText"/>
      </w:pPr>
      <w:r>
        <w:rPr>
          <w:rStyle w:val="FootnoteReference"/>
        </w:rPr>
        <w:footnoteRef/>
      </w:r>
      <w:r>
        <w:rPr>
          <w:i/>
          <w:iCs/>
        </w:rPr>
        <w:t xml:space="preserve">2.48r</w:t>
      </w:r>
      <w:r>
        <w:t xml:space="preserve">.</w:t>
      </w:r>
    </w:p>
  </w:footnote>
  <w:footnote w:id="682">
    <w:p>
      <w:pPr>
        <w:pStyle w:val="FootnoteText"/>
      </w:pPr>
      <w:r>
        <w:rPr>
          <w:rStyle w:val="FootnoteReference"/>
        </w:rPr>
        <w:footnoteRef/>
      </w:r>
      <w:r>
        <w:rPr>
          <w:i/>
          <w:iCs/>
        </w:rPr>
        <w:t xml:space="preserve">2.48v</w:t>
      </w:r>
      <w:r>
        <w:t xml:space="preserve">.</w:t>
      </w:r>
    </w:p>
  </w:footnote>
  <w:footnote w:id="683">
    <w:p>
      <w:pPr>
        <w:pStyle w:val="FootnoteText"/>
      </w:pPr>
      <w:r>
        <w:rPr>
          <w:rStyle w:val="FootnoteReference"/>
        </w:rPr>
        <w:footnoteRef/>
      </w:r>
      <w:r>
        <w:t xml:space="preserve">See Exodus 15:1–19; Judges 5; 1 Samuel 2:1–10.</w:t>
      </w:r>
    </w:p>
  </w:footnote>
  <w:footnote w:id="684">
    <w:p>
      <w:pPr>
        <w:pStyle w:val="FootnoteText"/>
      </w:pPr>
      <w:r>
        <w:rPr>
          <w:rStyle w:val="FootnoteReference"/>
        </w:rPr>
        <w:footnoteRef/>
      </w:r>
      <w:r>
        <w:rPr>
          <w:i/>
          <w:iCs/>
        </w:rPr>
        <w:t xml:space="preserve">e</w:t>
      </w:r>
      <w:r>
        <w:t xml:space="preserve">.</w:t>
      </w:r>
    </w:p>
  </w:footnote>
  <w:footnote w:id="685">
    <w:p>
      <w:pPr>
        <w:pStyle w:val="FootnoteText"/>
      </w:pPr>
      <w:r>
        <w:rPr>
          <w:rStyle w:val="FootnoteReference"/>
        </w:rPr>
        <w:footnoteRef/>
      </w:r>
      <w:r>
        <w:rPr>
          <w:i/>
          <w:iCs/>
        </w:rPr>
        <w:t xml:space="preserve">2.49r</w:t>
      </w:r>
      <w:r>
        <w:t xml:space="preserve">.</w:t>
      </w:r>
    </w:p>
  </w:footnote>
  <w:footnote w:id="686">
    <w:p>
      <w:pPr>
        <w:pStyle w:val="FootnoteText"/>
      </w:pPr>
      <w:r>
        <w:rPr>
          <w:rStyle w:val="FootnoteReference"/>
        </w:rPr>
        <w:footnoteRef/>
      </w:r>
      <w:r>
        <w:t xml:space="preserve">1 Samuel 16:1–3; 2 Samuel 2:4–5:3.</w:t>
      </w:r>
    </w:p>
  </w:footnote>
  <w:footnote w:id="687">
    <w:p>
      <w:pPr>
        <w:pStyle w:val="FootnoteText"/>
      </w:pPr>
      <w:r>
        <w:rPr>
          <w:rStyle w:val="FootnoteReference"/>
        </w:rPr>
        <w:footnoteRef/>
      </w:r>
      <w:r>
        <w:rPr>
          <w:i/>
          <w:iCs/>
        </w:rPr>
        <w:t xml:space="preserve">f</w:t>
      </w:r>
      <w:r>
        <w:t xml:space="preserve">.</w:t>
      </w:r>
    </w:p>
  </w:footnote>
  <w:footnote w:id="688">
    <w:p>
      <w:pPr>
        <w:pStyle w:val="FootnoteText"/>
      </w:pPr>
      <w:r>
        <w:rPr>
          <w:rStyle w:val="FootnoteReference"/>
        </w:rPr>
        <w:footnoteRef/>
      </w:r>
      <w:r>
        <w:rPr>
          <w:i/>
          <w:iCs/>
        </w:rPr>
        <w:t xml:space="preserve">2.49v</w:t>
      </w:r>
      <w:r>
        <w:t xml:space="preserve">.</w:t>
      </w:r>
    </w:p>
  </w:footnote>
  <w:footnote w:id="689">
    <w:p>
      <w:pPr>
        <w:pStyle w:val="FootnoteText"/>
      </w:pPr>
      <w:r>
        <w:rPr>
          <w:rStyle w:val="FootnoteReference"/>
        </w:rPr>
        <w:footnoteRef/>
      </w:r>
      <w:r>
        <w:t xml:space="preserve">2 Samuel 5:1–16.</w:t>
      </w:r>
    </w:p>
  </w:footnote>
  <w:footnote w:id="690">
    <w:p>
      <w:pPr>
        <w:pStyle w:val="FootnoteText"/>
      </w:pPr>
      <w:r>
        <w:rPr>
          <w:rStyle w:val="FootnoteReference"/>
        </w:rPr>
        <w:footnoteRef/>
      </w:r>
      <w:r>
        <w:t xml:space="preserve">2 Samuel 6:1–19.</w:t>
      </w:r>
    </w:p>
  </w:footnote>
  <w:footnote w:id="691">
    <w:p>
      <w:pPr>
        <w:pStyle w:val="FootnoteText"/>
      </w:pPr>
      <w:r>
        <w:rPr>
          <w:rStyle w:val="FootnoteReference"/>
        </w:rPr>
        <w:footnoteRef/>
      </w:r>
      <w:r>
        <w:t xml:space="preserve">See 2 Samuel 24:18–25.</w:t>
      </w:r>
    </w:p>
  </w:footnote>
  <w:footnote w:id="692">
    <w:p>
      <w:pPr>
        <w:pStyle w:val="FootnoteText"/>
      </w:pPr>
      <w:r>
        <w:rPr>
          <w:rStyle w:val="FootnoteReference"/>
        </w:rPr>
        <w:footnoteRef/>
      </w:r>
      <w:r>
        <w:t xml:space="preserve">E.g. Isaiah 52:1.</w:t>
      </w:r>
    </w:p>
  </w:footnote>
  <w:footnote w:id="693">
    <w:p>
      <w:pPr>
        <w:pStyle w:val="FootnoteText"/>
      </w:pPr>
      <w:r>
        <w:rPr>
          <w:rStyle w:val="FootnoteReference"/>
        </w:rPr>
        <w:footnoteRef/>
      </w:r>
      <w:r>
        <w:rPr>
          <w:i/>
          <w:iCs/>
        </w:rPr>
        <w:t xml:space="preserve">2.50r</w:t>
      </w:r>
      <w:r>
        <w:t xml:space="preserve">.</w:t>
      </w:r>
    </w:p>
  </w:footnote>
  <w:footnote w:id="694">
    <w:p>
      <w:pPr>
        <w:pStyle w:val="FootnoteText"/>
      </w:pPr>
      <w:r>
        <w:rPr>
          <w:rStyle w:val="FootnoteReference"/>
        </w:rPr>
        <w:footnoteRef/>
      </w:r>
      <w:r>
        <w:t xml:space="preserve">JE is referring to messianic prophecies, e.g. Isaiah 65:17–25; Jeremiah 30:17–20; Zechariah 9:9.</w:t>
      </w:r>
    </w:p>
  </w:footnote>
  <w:footnote w:id="695">
    <w:p>
      <w:pPr>
        <w:pStyle w:val="FootnoteText"/>
      </w:pPr>
      <w:r>
        <w:rPr>
          <w:rStyle w:val="FootnoteReference"/>
        </w:rPr>
        <w:footnoteRef/>
      </w:r>
      <w:r>
        <w:t xml:space="preserve">JE makes a note to "enlarge on this comparison more fully."</w:t>
      </w:r>
    </w:p>
  </w:footnote>
  <w:footnote w:id="696">
    <w:p>
      <w:pPr>
        <w:pStyle w:val="FootnoteText"/>
      </w:pPr>
      <w:r>
        <w:rPr>
          <w:rStyle w:val="FootnoteReference"/>
        </w:rPr>
        <w:footnoteRef/>
      </w:r>
      <w:r>
        <w:rPr>
          <w:i/>
          <w:iCs/>
        </w:rPr>
        <w:t xml:space="preserve">2.50v</w:t>
      </w:r>
      <w:r>
        <w:t xml:space="preserve">.</w:t>
      </w:r>
    </w:p>
  </w:footnote>
  <w:footnote w:id="697">
    <w:p>
      <w:pPr>
        <w:pStyle w:val="FootnoteText"/>
      </w:pPr>
      <w:r>
        <w:rPr>
          <w:rStyle w:val="FootnoteReference"/>
        </w:rPr>
        <w:footnoteRef/>
      </w:r>
      <w:r>
        <w:t xml:space="preserve">The manuscript of this sermon includes an initial summary of the elements JE has covered in his fifth period of the Old Testament dispensation. It reads as follows: V period: 1. God's anointing that was the occasion of Christ to be king over his people; 2. God's so preserving David's life by a series of wonderful providences till Saul's death; 3. Adding to the canon of Scripture by Samuel; 4. Inspiring David the use of the church of Christ in all ages; 5. Exalting David to he throne of Israel; 6. Choosing a particular city—the city whence the gospel was to sound forth into all the world.</w:t>
      </w:r>
    </w:p>
  </w:footnote>
  <w:footnote w:id="698">
    <w:p>
      <w:pPr>
        <w:pStyle w:val="FootnoteText"/>
      </w:pPr>
      <w:r>
        <w:rPr>
          <w:rStyle w:val="FootnoteReference"/>
        </w:rPr>
        <w:footnoteRef/>
      </w:r>
      <w:r>
        <w:rPr>
          <w:i/>
          <w:iCs/>
        </w:rPr>
        <w:t xml:space="preserve">g</w:t>
      </w:r>
      <w:r>
        <w:t xml:space="preserve">.</w:t>
      </w:r>
    </w:p>
  </w:footnote>
  <w:footnote w:id="699">
    <w:p>
      <w:pPr>
        <w:pStyle w:val="FootnoteText"/>
      </w:pPr>
      <w:r>
        <w:rPr>
          <w:rStyle w:val="FootnoteReference"/>
        </w:rPr>
        <w:footnoteRef/>
      </w:r>
      <w:r>
        <w:t xml:space="preserve">JE regularly uses "thy" for "thine."</w:t>
      </w:r>
    </w:p>
  </w:footnote>
  <w:footnote w:id="700">
    <w:p>
      <w:pPr>
        <w:pStyle w:val="FootnoteText"/>
      </w:pPr>
      <w:r>
        <w:rPr>
          <w:rStyle w:val="FootnoteReference"/>
        </w:rPr>
        <w:footnoteRef/>
      </w:r>
      <w:r>
        <w:rPr>
          <w:i/>
          <w:iCs/>
        </w:rPr>
        <w:t xml:space="preserve">2.51r</w:t>
      </w:r>
      <w:r>
        <w:t xml:space="preserve">.</w:t>
      </w:r>
    </w:p>
  </w:footnote>
  <w:footnote w:id="701">
    <w:p>
      <w:pPr>
        <w:pStyle w:val="FootnoteText"/>
      </w:pPr>
      <w:r>
        <w:rPr>
          <w:rStyle w:val="FootnoteReference"/>
        </w:rPr>
        <w:footnoteRef/>
      </w:r>
      <w:r>
        <w:rPr>
          <w:i/>
          <w:iCs/>
        </w:rPr>
        <w:t xml:space="preserve">2.51v</w:t>
      </w:r>
      <w:r>
        <w:t xml:space="preserve">.</w:t>
      </w:r>
    </w:p>
  </w:footnote>
  <w:footnote w:id="702">
    <w:p>
      <w:pPr>
        <w:pStyle w:val="FootnoteText"/>
      </w:pPr>
      <w:r>
        <w:rPr>
          <w:rStyle w:val="FootnoteReference"/>
        </w:rPr>
        <w:footnoteRef/>
      </w:r>
      <w:r>
        <w:rPr>
          <w:i/>
          <w:iCs/>
        </w:rPr>
        <w:t xml:space="preserve">2.52r</w:t>
      </w:r>
      <w:r>
        <w:t xml:space="preserve">.</w:t>
      </w:r>
    </w:p>
  </w:footnote>
  <w:footnote w:id="703">
    <w:p>
      <w:pPr>
        <w:pStyle w:val="FootnoteText"/>
      </w:pPr>
      <w:r>
        <w:rPr>
          <w:rStyle w:val="FootnoteReference"/>
        </w:rPr>
        <w:footnoteRef/>
      </w:r>
      <w:r>
        <w:rPr>
          <w:i/>
          <w:iCs/>
        </w:rPr>
        <w:t xml:space="preserve">h</w:t>
      </w:r>
      <w:r>
        <w:t xml:space="preserve">.</w:t>
      </w:r>
    </w:p>
  </w:footnote>
  <w:footnote w:id="704">
    <w:p>
      <w:pPr>
        <w:pStyle w:val="FootnoteText"/>
      </w:pPr>
      <w:r>
        <w:rPr>
          <w:rStyle w:val="FootnoteReference"/>
        </w:rPr>
        <w:footnoteRef/>
      </w:r>
      <w:r>
        <w:t xml:space="preserve">JE's parenthesis.</w:t>
      </w:r>
    </w:p>
  </w:footnote>
  <w:footnote w:id="705">
    <w:p>
      <w:pPr>
        <w:pStyle w:val="FootnoteText"/>
      </w:pPr>
      <w:r>
        <w:rPr>
          <w:rStyle w:val="FootnoteReference"/>
        </w:rPr>
        <w:footnoteRef/>
      </w:r>
      <w:r>
        <w:rPr>
          <w:i/>
          <w:iCs/>
        </w:rPr>
        <w:t xml:space="preserve">2.52v</w:t>
      </w:r>
      <w:r>
        <w:t xml:space="preserve">.</w:t>
      </w:r>
    </w:p>
  </w:footnote>
  <w:footnote w:id="706">
    <w:p>
      <w:pPr>
        <w:pStyle w:val="FootnoteText"/>
      </w:pPr>
      <w:r>
        <w:rPr>
          <w:rStyle w:val="FootnoteReference"/>
        </w:rPr>
        <w:footnoteRef/>
      </w:r>
      <w:r>
        <w:t xml:space="preserve">The Gibeonites were subdued earlier, and their posterity were servants. See Joshua 9:3–27.</w:t>
      </w:r>
    </w:p>
  </w:footnote>
  <w:footnote w:id="707">
    <w:p>
      <w:pPr>
        <w:pStyle w:val="FootnoteText"/>
      </w:pPr>
      <w:r>
        <w:rPr>
          <w:rStyle w:val="FootnoteReference"/>
        </w:rPr>
        <w:footnoteRef/>
      </w:r>
      <w:r>
        <w:rPr>
          <w:i/>
          <w:iCs/>
        </w:rPr>
        <w:t xml:space="preserve">2.53r</w:t>
      </w:r>
      <w:r>
        <w:t xml:space="preserve">.</w:t>
      </w:r>
    </w:p>
  </w:footnote>
  <w:footnote w:id="708">
    <w:p>
      <w:pPr>
        <w:pStyle w:val="FootnoteText"/>
      </w:pPr>
      <w:r>
        <w:rPr>
          <w:rStyle w:val="FootnoteReference"/>
        </w:rPr>
        <w:footnoteRef/>
      </w:r>
      <w:r>
        <w:rPr>
          <w:i/>
          <w:iCs/>
        </w:rPr>
        <w:t xml:space="preserve">2.53v</w:t>
      </w:r>
      <w:r>
        <w:t xml:space="preserve">.</w:t>
      </w:r>
    </w:p>
  </w:footnote>
  <w:footnote w:id="709">
    <w:p>
      <w:pPr>
        <w:pStyle w:val="FootnoteText"/>
      </w:pPr>
      <w:r>
        <w:rPr>
          <w:rStyle w:val="FootnoteReference"/>
        </w:rPr>
        <w:footnoteRef/>
      </w:r>
      <w:r>
        <w:rPr>
          <w:i/>
          <w:iCs/>
        </w:rPr>
        <w:t xml:space="preserve">2.54r</w:t>
      </w:r>
      <w:r>
        <w:t xml:space="preserve">.</w:t>
      </w:r>
    </w:p>
  </w:footnote>
  <w:footnote w:id="710">
    <w:p>
      <w:pPr>
        <w:pStyle w:val="FootnoteText"/>
      </w:pPr>
      <w:r>
        <w:rPr>
          <w:rStyle w:val="FootnoteReference"/>
        </w:rPr>
        <w:footnoteRef/>
      </w:r>
      <w:r>
        <w:t xml:space="preserve">JE first numbered this paragraph as his ninth subdivision of the fifth period. When the paragraph became a summary and theological development of what had gone before, he transferred that designation to his next paragraph.</w:t>
      </w:r>
    </w:p>
  </w:footnote>
  <w:footnote w:id="711">
    <w:p>
      <w:pPr>
        <w:pStyle w:val="FootnoteText"/>
      </w:pPr>
      <w:r>
        <w:rPr>
          <w:rStyle w:val="FootnoteReference"/>
        </w:rPr>
        <w:footnoteRef/>
      </w:r>
      <w:r>
        <w:t xml:space="preserve">This citation may have been added after the initial draft was written.</w:t>
      </w:r>
    </w:p>
  </w:footnote>
  <w:footnote w:id="712">
    <w:p>
      <w:pPr>
        <w:pStyle w:val="FootnoteText"/>
      </w:pPr>
      <w:r>
        <w:rPr>
          <w:rStyle w:val="FootnoteReference"/>
        </w:rPr>
        <w:footnoteRef/>
      </w:r>
      <w:r>
        <w:rPr>
          <w:i/>
          <w:iCs/>
        </w:rPr>
        <w:t xml:space="preserve">i</w:t>
      </w:r>
      <w:r>
        <w:t xml:space="preserve">.</w:t>
      </w:r>
    </w:p>
  </w:footnote>
  <w:footnote w:id="713">
    <w:p>
      <w:pPr>
        <w:pStyle w:val="FootnoteText"/>
      </w:pPr>
      <w:r>
        <w:rPr>
          <w:rStyle w:val="FootnoteReference"/>
        </w:rPr>
        <w:footnoteRef/>
      </w:r>
      <w:r>
        <w:rPr>
          <w:i/>
          <w:iCs/>
        </w:rPr>
        <w:t xml:space="preserve">2.54v</w:t>
      </w:r>
      <w:r>
        <w:t xml:space="preserve">. Leaf breaks at "per."</w:t>
      </w:r>
    </w:p>
  </w:footnote>
  <w:footnote w:id="714">
    <w:p>
      <w:pPr>
        <w:pStyle w:val="FootnoteText"/>
      </w:pPr>
      <w:r>
        <w:rPr>
          <w:rStyle w:val="FootnoteReference"/>
        </w:rPr>
        <w:footnoteRef/>
      </w:r>
      <w:r>
        <w:t xml:space="preserve">At this point JE skips over a sentence he has written to develop his point further. He returns to incorporate the sentence before moving to the next leaf.</w:t>
      </w:r>
    </w:p>
  </w:footnote>
  <w:footnote w:id="715">
    <w:p>
      <w:pPr>
        <w:pStyle w:val="FootnoteText"/>
      </w:pPr>
      <w:r>
        <w:rPr>
          <w:rStyle w:val="FootnoteReference"/>
        </w:rPr>
        <w:footnoteRef/>
      </w:r>
      <w:r>
        <w:rPr>
          <w:i/>
          <w:iCs/>
        </w:rPr>
        <w:t xml:space="preserve">2.55r</w:t>
      </w:r>
      <w:r>
        <w:t xml:space="preserve">.</w:t>
      </w:r>
    </w:p>
  </w:footnote>
  <w:footnote w:id="716">
    <w:p>
      <w:pPr>
        <w:pStyle w:val="FootnoteText"/>
      </w:pPr>
      <w:r>
        <w:rPr>
          <w:rStyle w:val="FootnoteReference"/>
        </w:rPr>
        <w:footnoteRef/>
      </w:r>
      <w:r>
        <w:rPr>
          <w:i/>
          <w:iCs/>
        </w:rPr>
        <w:t xml:space="preserve">2.55v</w:t>
      </w:r>
      <w:r>
        <w:t xml:space="preserve">.</w:t>
      </w:r>
    </w:p>
  </w:footnote>
  <w:footnote w:id="717">
    <w:p>
      <w:pPr>
        <w:pStyle w:val="FootnoteText"/>
      </w:pPr>
      <w:r>
        <w:rPr>
          <w:rStyle w:val="FootnoteReference"/>
        </w:rPr>
        <w:footnoteRef/>
      </w:r>
      <w:r>
        <w:rPr>
          <w:i/>
          <w:iCs/>
        </w:rPr>
        <w:t xml:space="preserve">2.56r</w:t>
      </w:r>
      <w:r>
        <w:t xml:space="preserve">.</w:t>
      </w:r>
    </w:p>
  </w:footnote>
  <w:footnote w:id="718">
    <w:p>
      <w:pPr>
        <w:pStyle w:val="FootnoteText"/>
      </w:pPr>
      <w:r>
        <w:rPr>
          <w:rStyle w:val="FootnoteReference"/>
        </w:rPr>
        <w:footnoteRef/>
      </w:r>
      <w:r>
        <w:rPr>
          <w:i/>
          <w:iCs/>
        </w:rPr>
        <w:t xml:space="preserve">j</w:t>
      </w:r>
      <w:r>
        <w:t xml:space="preserve">.</w:t>
      </w:r>
    </w:p>
  </w:footnote>
  <w:footnote w:id="719">
    <w:p>
      <w:pPr>
        <w:pStyle w:val="FootnoteText"/>
      </w:pPr>
      <w:r>
        <w:rPr>
          <w:rStyle w:val="FootnoteReference"/>
        </w:rPr>
        <w:footnoteRef/>
      </w:r>
      <w:r>
        <w:rPr>
          <w:i/>
          <w:iCs/>
        </w:rPr>
        <w:t xml:space="preserve">2.56v</w:t>
      </w:r>
      <w:r>
        <w:t xml:space="preserve">.</w:t>
      </w:r>
    </w:p>
  </w:footnote>
  <w:footnote w:id="720">
    <w:p>
      <w:pPr>
        <w:pStyle w:val="FootnoteText"/>
      </w:pPr>
      <w:r>
        <w:rPr>
          <w:rStyle w:val="FootnoteReference"/>
        </w:rPr>
        <w:footnoteRef/>
      </w:r>
      <w:r>
        <w:rPr>
          <w:i/>
          <w:iCs/>
        </w:rPr>
        <w:t xml:space="preserve">k</w:t>
      </w:r>
      <w:r>
        <w:t xml:space="preserve">.</w:t>
      </w:r>
    </w:p>
  </w:footnote>
  <w:footnote w:id="721">
    <w:p>
      <w:pPr>
        <w:pStyle w:val="FootnoteText"/>
      </w:pPr>
      <w:r>
        <w:rPr>
          <w:rStyle w:val="FootnoteReference"/>
        </w:rPr>
        <w:footnoteRef/>
      </w:r>
      <w:r>
        <w:rPr>
          <w:i/>
          <w:iCs/>
        </w:rPr>
        <w:t xml:space="preserve">2.57r</w:t>
      </w:r>
      <w:r>
        <w:t xml:space="preserve">.</w:t>
      </w:r>
    </w:p>
  </w:footnote>
  <w:footnote w:id="722">
    <w:p>
      <w:pPr>
        <w:pStyle w:val="FootnoteText"/>
      </w:pPr>
      <w:r>
        <w:rPr>
          <w:rStyle w:val="FootnoteReference"/>
        </w:rPr>
        <w:footnoteRef/>
      </w:r>
      <w:r>
        <w:t xml:space="preserve">See Matthew 1:1–17.</w:t>
      </w:r>
    </w:p>
  </w:footnote>
  <w:footnote w:id="723">
    <w:p>
      <w:pPr>
        <w:pStyle w:val="FootnoteText"/>
      </w:pPr>
      <w:r>
        <w:rPr>
          <w:rStyle w:val="FootnoteReference"/>
        </w:rPr>
        <w:footnoteRef/>
      </w:r>
      <w:r>
        <w:t xml:space="preserve">See Luke 3:23–38.</w:t>
      </w:r>
    </w:p>
  </w:footnote>
  <w:footnote w:id="724">
    <w:p>
      <w:pPr>
        <w:pStyle w:val="FootnoteText"/>
      </w:pPr>
      <w:r>
        <w:rPr>
          <w:rStyle w:val="FootnoteReference"/>
        </w:rPr>
        <w:footnoteRef/>
      </w:r>
      <w:r>
        <w:rPr>
          <w:i/>
          <w:iCs/>
        </w:rPr>
        <w:t xml:space="preserve">2.57v</w:t>
      </w:r>
      <w:r>
        <w:t xml:space="preserve">.</w:t>
      </w:r>
    </w:p>
  </w:footnote>
  <w:footnote w:id="725">
    <w:p>
      <w:pPr>
        <w:pStyle w:val="FootnoteText"/>
      </w:pPr>
      <w:r>
        <w:rPr>
          <w:rStyle w:val="FootnoteReference"/>
        </w:rPr>
        <w:footnoteRef/>
      </w:r>
      <w:r>
        <w:t xml:space="preserve">Acts 2:29–36.</w:t>
      </w:r>
    </w:p>
  </w:footnote>
  <w:footnote w:id="726">
    <w:p>
      <w:pPr>
        <w:pStyle w:val="FootnoteText"/>
      </w:pPr>
      <w:r>
        <w:rPr>
          <w:rStyle w:val="FootnoteReference"/>
        </w:rPr>
        <w:footnoteRef/>
      </w:r>
      <w:r>
        <w:t xml:space="preserve">1 Kings 1:5–2:25.</w:t>
      </w:r>
    </w:p>
  </w:footnote>
  <w:footnote w:id="727">
    <w:p>
      <w:pPr>
        <w:pStyle w:val="FootnoteText"/>
      </w:pPr>
      <w:r>
        <w:rPr>
          <w:rStyle w:val="FootnoteReference"/>
        </w:rPr>
        <w:footnoteRef/>
      </w:r>
      <w:r>
        <w:t xml:space="preserve">JE's manuscript originally read "Christ's legal father." I have excised "Christ's" and added an article.</w:t>
      </w:r>
    </w:p>
  </w:footnote>
  <w:footnote w:id="728">
    <w:p>
      <w:pPr>
        <w:pStyle w:val="FootnoteText"/>
      </w:pPr>
      <w:r>
        <w:rPr>
          <w:rStyle w:val="FootnoteReference"/>
        </w:rPr>
        <w:footnoteRef/>
      </w:r>
      <w:r>
        <w:rPr>
          <w:i/>
          <w:iCs/>
        </w:rPr>
        <w:t xml:space="preserve">2.58r</w:t>
      </w:r>
      <w:r>
        <w:t xml:space="preserve">.</w:t>
      </w:r>
    </w:p>
  </w:footnote>
  <w:footnote w:id="729">
    <w:p>
      <w:pPr>
        <w:pStyle w:val="FootnoteText"/>
      </w:pPr>
      <w:r>
        <w:rPr>
          <w:rStyle w:val="FootnoteReference"/>
        </w:rPr>
        <w:footnoteRef/>
      </w:r>
      <w:r>
        <w:t xml:space="preserve">1 Kings 12:1–24.</w:t>
      </w:r>
    </w:p>
  </w:footnote>
  <w:footnote w:id="730">
    <w:p>
      <w:pPr>
        <w:pStyle w:val="FootnoteText"/>
      </w:pPr>
      <w:r>
        <w:rPr>
          <w:rStyle w:val="FootnoteReference"/>
        </w:rPr>
        <w:footnoteRef/>
      </w:r>
      <w:r>
        <w:t xml:space="preserve">1 Kings 15:1–11.</w:t>
      </w:r>
    </w:p>
  </w:footnote>
  <w:footnote w:id="731">
    <w:p>
      <w:pPr>
        <w:pStyle w:val="FootnoteText"/>
      </w:pPr>
      <w:r>
        <w:rPr>
          <w:rStyle w:val="FootnoteReference"/>
        </w:rPr>
        <w:footnoteRef/>
      </w:r>
      <w:r>
        <w:t xml:space="preserve">1 Kings 22:50–53; 2 Kings 16; 2 Kings 21:1–25.</w:t>
      </w:r>
    </w:p>
  </w:footnote>
  <w:footnote w:id="732">
    <w:p>
      <w:pPr>
        <w:pStyle w:val="FootnoteText"/>
      </w:pPr>
      <w:r>
        <w:rPr>
          <w:rStyle w:val="FootnoteReference"/>
        </w:rPr>
        <w:footnoteRef/>
      </w:r>
      <w:r>
        <w:rPr>
          <w:i/>
          <w:iCs/>
        </w:rPr>
        <w:t xml:space="preserve">2.58v</w:t>
      </w:r>
      <w:r>
        <w:t xml:space="preserve">.</w:t>
      </w:r>
    </w:p>
  </w:footnote>
  <w:footnote w:id="733">
    <w:p>
      <w:pPr>
        <w:pStyle w:val="FootnoteText"/>
      </w:pPr>
      <w:r>
        <w:rPr>
          <w:rStyle w:val="FootnoteReference"/>
        </w:rPr>
        <w:footnoteRef/>
      </w:r>
      <w:r>
        <w:t xml:space="preserve">1 Kings 12:1–20; 1 Kings 15:1–16:6.</w:t>
      </w:r>
    </w:p>
  </w:footnote>
  <w:footnote w:id="734">
    <w:p>
      <w:pPr>
        <w:pStyle w:val="FootnoteText"/>
      </w:pPr>
      <w:r>
        <w:rPr>
          <w:rStyle w:val="FootnoteReference"/>
        </w:rPr>
        <w:footnoteRef/>
      </w:r>
      <w:r>
        <w:t xml:space="preserve">1 Kings 16:10–20.</w:t>
      </w:r>
    </w:p>
  </w:footnote>
  <w:footnote w:id="735">
    <w:p>
      <w:pPr>
        <w:pStyle w:val="FootnoteText"/>
      </w:pPr>
      <w:r>
        <w:rPr>
          <w:rStyle w:val="FootnoteReference"/>
        </w:rPr>
        <w:footnoteRef/>
      </w:r>
      <w:r>
        <w:t xml:space="preserve">1 Kings 16:21–28; 2 Kings 9:11–10:35.</w:t>
      </w:r>
    </w:p>
  </w:footnote>
  <w:footnote w:id="736">
    <w:p>
      <w:pPr>
        <w:pStyle w:val="FootnoteText"/>
      </w:pPr>
      <w:r>
        <w:rPr>
          <w:rStyle w:val="FootnoteReference"/>
        </w:rPr>
        <w:footnoteRef/>
      </w:r>
      <w:r>
        <w:t xml:space="preserve">2 Kings 15:10–15.</w:t>
      </w:r>
    </w:p>
  </w:footnote>
  <w:footnote w:id="737">
    <w:p>
      <w:pPr>
        <w:pStyle w:val="FootnoteText"/>
      </w:pPr>
      <w:r>
        <w:rPr>
          <w:rStyle w:val="FootnoteReference"/>
        </w:rPr>
        <w:footnoteRef/>
      </w:r>
      <w:r>
        <w:t xml:space="preserve">2 Kings 15:17–22.</w:t>
      </w:r>
    </w:p>
  </w:footnote>
  <w:footnote w:id="738">
    <w:p>
      <w:pPr>
        <w:pStyle w:val="FootnoteText"/>
      </w:pPr>
      <w:r>
        <w:rPr>
          <w:rStyle w:val="FootnoteReference"/>
        </w:rPr>
        <w:footnoteRef/>
      </w:r>
      <w:r>
        <w:t xml:space="preserve">2 Kings 15:25–30.</w:t>
      </w:r>
    </w:p>
  </w:footnote>
  <w:footnote w:id="739">
    <w:p>
      <w:pPr>
        <w:pStyle w:val="FootnoteText"/>
      </w:pPr>
      <w:r>
        <w:rPr>
          <w:rStyle w:val="FootnoteReference"/>
        </w:rPr>
        <w:footnoteRef/>
      </w:r>
      <w:r>
        <w:t xml:space="preserve">2 Kings 15:30–31; 2 Kings 17:1–6.</w:t>
      </w:r>
    </w:p>
  </w:footnote>
  <w:footnote w:id="740">
    <w:p>
      <w:pPr>
        <w:pStyle w:val="FootnoteText"/>
      </w:pPr>
      <w:r>
        <w:rPr>
          <w:rStyle w:val="FootnoteReference"/>
        </w:rPr>
        <w:footnoteRef/>
      </w:r>
      <w:r>
        <w:rPr>
          <w:i/>
          <w:iCs/>
        </w:rPr>
        <w:t xml:space="preserve">2.59r</w:t>
      </w:r>
      <w:r>
        <w:t xml:space="preserve">.</w:t>
      </w:r>
    </w:p>
  </w:footnote>
  <w:footnote w:id="741">
    <w:p>
      <w:pPr>
        <w:pStyle w:val="FootnoteText"/>
      </w:pPr>
      <w:r>
        <w:rPr>
          <w:rStyle w:val="FootnoteReference"/>
        </w:rPr>
        <w:footnoteRef/>
      </w:r>
      <w:r>
        <w:t xml:space="preserve">JE rearranges the order of his manuscript and continues his discussion at a lower point on this leaf, concluding the section verso.</w:t>
      </w:r>
    </w:p>
  </w:footnote>
  <w:footnote w:id="742">
    <w:p>
      <w:pPr>
        <w:pStyle w:val="FootnoteText"/>
      </w:pPr>
      <w:r>
        <w:rPr>
          <w:rStyle w:val="FootnoteReference"/>
        </w:rPr>
        <w:footnoteRef/>
      </w:r>
      <w:r>
        <w:t xml:space="preserve">JE's text originally identified Ephraim as the coconspirator, but it was corrected to read Israel. See Isaiah 7:2.</w:t>
      </w:r>
    </w:p>
  </w:footnote>
  <w:footnote w:id="743">
    <w:p>
      <w:pPr>
        <w:pStyle w:val="FootnoteText"/>
      </w:pPr>
      <w:r>
        <w:rPr>
          <w:rStyle w:val="FootnoteReference"/>
        </w:rPr>
        <w:footnoteRef/>
      </w:r>
      <w:r>
        <w:rPr>
          <w:i/>
          <w:iCs/>
        </w:rPr>
        <w:t xml:space="preserve">2.59v</w:t>
      </w:r>
      <w:r>
        <w:t xml:space="preserve">.</w:t>
      </w:r>
    </w:p>
  </w:footnote>
  <w:footnote w:id="744">
    <w:p>
      <w:pPr>
        <w:pStyle w:val="FootnoteText"/>
      </w:pPr>
      <w:r>
        <w:rPr>
          <w:rStyle w:val="FootnoteReference"/>
        </w:rPr>
        <w:footnoteRef/>
      </w:r>
      <w:r>
        <w:t xml:space="preserve">JE paraphrases for his purpose Isaiah 7:2.</w:t>
      </w:r>
    </w:p>
  </w:footnote>
  <w:footnote w:id="745">
    <w:p>
      <w:pPr>
        <w:pStyle w:val="FootnoteText"/>
      </w:pPr>
      <w:r>
        <w:rPr>
          <w:rStyle w:val="FootnoteReference"/>
        </w:rPr>
        <w:footnoteRef/>
      </w:r>
      <w:r>
        <w:rPr>
          <w:i/>
          <w:iCs/>
        </w:rPr>
        <w:t xml:space="preserve">2.59r</w:t>
      </w:r>
      <w:r>
        <w:t xml:space="preserve">. At this point JE returns to the recto of the leaf to incorporate a prior sentence.</w:t>
      </w:r>
    </w:p>
  </w:footnote>
  <w:footnote w:id="746">
    <w:p>
      <w:pPr>
        <w:pStyle w:val="FootnoteText"/>
      </w:pPr>
      <w:r>
        <w:rPr>
          <w:rStyle w:val="FootnoteReference"/>
        </w:rPr>
        <w:footnoteRef/>
      </w:r>
      <w:r>
        <w:rPr>
          <w:i/>
          <w:iCs/>
        </w:rPr>
        <w:t xml:space="preserve">2.60r</w:t>
      </w:r>
      <w:r>
        <w:t xml:space="preserve">. JE moves to the recto of the next leaf to continue his text.</w:t>
      </w:r>
    </w:p>
  </w:footnote>
  <w:footnote w:id="747">
    <w:p>
      <w:pPr>
        <w:pStyle w:val="FootnoteText"/>
      </w:pPr>
      <w:r>
        <w:rPr>
          <w:rStyle w:val="FootnoteReference"/>
        </w:rPr>
        <w:footnoteRef/>
      </w:r>
      <w:r>
        <w:rPr>
          <w:i/>
          <w:iCs/>
        </w:rPr>
        <w:t xml:space="preserve">l</w:t>
      </w:r>
      <w:r>
        <w:t xml:space="preserve">.</w:t>
      </w:r>
    </w:p>
  </w:footnote>
  <w:footnote w:id="748">
    <w:p>
      <w:pPr>
        <w:pStyle w:val="FootnoteText"/>
      </w:pPr>
      <w:r>
        <w:rPr>
          <w:rStyle w:val="FootnoteReference"/>
        </w:rPr>
        <w:footnoteRef/>
      </w:r>
      <w:r>
        <w:rPr>
          <w:i/>
          <w:iCs/>
        </w:rPr>
        <w:t xml:space="preserve">2.60v</w:t>
      </w:r>
      <w:r>
        <w:t xml:space="preserve">.</w:t>
      </w:r>
    </w:p>
  </w:footnote>
  <w:footnote w:id="749">
    <w:p>
      <w:pPr>
        <w:pStyle w:val="FootnoteText"/>
      </w:pPr>
      <w:r>
        <w:rPr>
          <w:rStyle w:val="FootnoteReference"/>
        </w:rPr>
        <w:footnoteRef/>
      </w:r>
      <w:r>
        <w:t xml:space="preserve">E.g. Matthew 21:12–16; John 8:2–20.</w:t>
      </w:r>
    </w:p>
  </w:footnote>
  <w:footnote w:id="750">
    <w:p>
      <w:pPr>
        <w:pStyle w:val="FootnoteText"/>
      </w:pPr>
      <w:r>
        <w:rPr>
          <w:rStyle w:val="FootnoteReference"/>
        </w:rPr>
        <w:footnoteRef/>
      </w:r>
      <w:r>
        <w:t xml:space="preserve">JE cites Acts 2:6, which refers to the incident of speaking in tongues at Pentecost, but quotes Acts 2:46, as indicated.</w:t>
      </w:r>
    </w:p>
  </w:footnote>
  <w:footnote w:id="751">
    <w:p>
      <w:pPr>
        <w:pStyle w:val="FootnoteText"/>
      </w:pPr>
      <w:r>
        <w:rPr>
          <w:rStyle w:val="FootnoteReference"/>
        </w:rPr>
        <w:footnoteRef/>
      </w:r>
      <w:r>
        <w:rPr>
          <w:i/>
          <w:iCs/>
        </w:rPr>
        <w:t xml:space="preserve">2.61r</w:t>
      </w:r>
      <w:r>
        <w:t xml:space="preserve">.</w:t>
      </w:r>
    </w:p>
  </w:footnote>
  <w:footnote w:id="752">
    <w:p>
      <w:pPr>
        <w:pStyle w:val="FootnoteText"/>
      </w:pPr>
      <w:r>
        <w:rPr>
          <w:rStyle w:val="FootnoteReference"/>
        </w:rPr>
        <w:footnoteRef/>
      </w:r>
      <w:r>
        <w:rPr>
          <w:i/>
          <w:iCs/>
        </w:rPr>
        <w:t xml:space="preserve">m</w:t>
      </w:r>
      <w:r>
        <w:t xml:space="preserve">.</w:t>
      </w:r>
    </w:p>
  </w:footnote>
  <w:footnote w:id="753">
    <w:p>
      <w:pPr>
        <w:pStyle w:val="FootnoteText"/>
      </w:pPr>
      <w:r>
        <w:rPr>
          <w:rStyle w:val="FootnoteReference"/>
        </w:rPr>
        <w:footnoteRef/>
      </w:r>
      <w:r>
        <w:rPr>
          <w:i/>
          <w:iCs/>
        </w:rPr>
        <w:t xml:space="preserve">2.61v</w:t>
      </w:r>
      <w:r>
        <w:t xml:space="preserve">. Leaf breaks at "esta."</w:t>
      </w:r>
    </w:p>
  </w:footnote>
  <w:footnote w:id="754">
    <w:p>
      <w:pPr>
        <w:pStyle w:val="FootnoteText"/>
      </w:pPr>
      <w:r>
        <w:rPr>
          <w:rStyle w:val="FootnoteReference"/>
        </w:rPr>
        <w:footnoteRef/>
      </w:r>
      <w:r>
        <w:rPr>
          <w:i/>
          <w:iCs/>
        </w:rPr>
        <w:t xml:space="preserve">2.62r</w:t>
      </w:r>
      <w:r>
        <w:t xml:space="preserve">.</w:t>
      </w:r>
    </w:p>
  </w:footnote>
  <w:footnote w:id="755">
    <w:p>
      <w:pPr>
        <w:pStyle w:val="FootnoteText"/>
      </w:pPr>
      <w:r>
        <w:rPr>
          <w:rStyle w:val="FootnoteReference"/>
        </w:rPr>
        <w:footnoteRef/>
      </w:r>
      <w:r>
        <w:t xml:space="preserve">1 Kings 10:11–23.</w:t>
      </w:r>
    </w:p>
  </w:footnote>
  <w:footnote w:id="756">
    <w:p>
      <w:pPr>
        <w:pStyle w:val="FootnoteText"/>
      </w:pPr>
      <w:r>
        <w:rPr>
          <w:rStyle w:val="FootnoteReference"/>
        </w:rPr>
        <w:footnoteRef/>
      </w:r>
      <w:r>
        <w:t xml:space="preserve">1 Kings 10:23–24.</w:t>
      </w:r>
    </w:p>
  </w:footnote>
  <w:footnote w:id="757">
    <w:p>
      <w:pPr>
        <w:pStyle w:val="FootnoteText"/>
      </w:pPr>
      <w:r>
        <w:rPr>
          <w:rStyle w:val="FootnoteReference"/>
        </w:rPr>
        <w:footnoteRef/>
      </w:r>
      <w:r>
        <w:rPr>
          <w:i/>
          <w:iCs/>
        </w:rPr>
        <w:t xml:space="preserve">2.62v</w:t>
      </w:r>
      <w:r>
        <w:t xml:space="preserve">.</w:t>
      </w:r>
    </w:p>
  </w:footnote>
  <w:footnote w:id="758">
    <w:p>
      <w:pPr>
        <w:pStyle w:val="FootnoteText"/>
      </w:pPr>
      <w:r>
        <w:rPr>
          <w:rStyle w:val="FootnoteReference"/>
        </w:rPr>
        <w:footnoteRef/>
      </w:r>
      <w:r>
        <w:t xml:space="preserve">Isaiah 2:4.</w:t>
      </w:r>
    </w:p>
  </w:footnote>
  <w:footnote w:id="759">
    <w:p>
      <w:pPr>
        <w:pStyle w:val="FootnoteText"/>
      </w:pPr>
      <w:r>
        <w:rPr>
          <w:rStyle w:val="FootnoteReference"/>
        </w:rPr>
        <w:footnoteRef/>
      </w:r>
      <w:r>
        <w:t xml:space="preserve">This phrase is often repeated in promises regarding the land God would grant to Israel, e.g. Exodus 3:8.</w:t>
      </w:r>
    </w:p>
  </w:footnote>
  <w:footnote w:id="760">
    <w:p>
      <w:pPr>
        <w:pStyle w:val="FootnoteText"/>
      </w:pPr>
      <w:r>
        <w:rPr>
          <w:rStyle w:val="FootnoteReference"/>
        </w:rPr>
        <w:footnoteRef/>
      </w:r>
      <w:r>
        <w:rPr>
          <w:i/>
          <w:iCs/>
        </w:rPr>
        <w:t xml:space="preserve">2.62v</w:t>
      </w:r>
      <w:r>
        <w:t xml:space="preserve">.</w:t>
      </w:r>
    </w:p>
  </w:footnote>
  <w:footnote w:id="761">
    <w:p>
      <w:pPr>
        <w:pStyle w:val="FootnoteText"/>
      </w:pPr>
      <w:r>
        <w:rPr>
          <w:rStyle w:val="FootnoteReference"/>
        </w:rPr>
        <w:footnoteRef/>
      </w:r>
      <w:r>
        <w:t xml:space="preserve">At the head of this sermon, which starts on the same leaf on which the preceding sermon ends, JE begins with notes suggesting a recapitulation of the points of that sermon. This is likely a pair of sermons preached forenoon and afternoon of the same Sunday. The notes are: "7. Covenant with David; 8. Promised land; 9. Jewish worship; 10. Canon of Scripture; 11. Legal ancestors; 12. Temple; 13. Highest glory."</w:t>
      </w:r>
    </w:p>
  </w:footnote>
  <w:footnote w:id="762">
    <w:p>
      <w:pPr>
        <w:pStyle w:val="FootnoteText"/>
      </w:pPr>
      <w:r>
        <w:rPr>
          <w:rStyle w:val="FootnoteReference"/>
        </w:rPr>
        <w:footnoteRef/>
      </w:r>
      <w:r>
        <w:rPr>
          <w:i/>
          <w:iCs/>
        </w:rPr>
        <w:t xml:space="preserve">n</w:t>
      </w:r>
      <w:r>
        <w:t xml:space="preserve">.</w:t>
      </w:r>
    </w:p>
  </w:footnote>
  <w:footnote w:id="763">
    <w:p>
      <w:pPr>
        <w:pStyle w:val="FootnoteText"/>
      </w:pPr>
      <w:r>
        <w:rPr>
          <w:rStyle w:val="FootnoteReference"/>
        </w:rPr>
        <w:footnoteRef/>
      </w:r>
      <w:r>
        <w:rPr>
          <w:i/>
          <w:iCs/>
        </w:rPr>
        <w:t xml:space="preserve">2.63r</w:t>
      </w:r>
      <w:r>
        <w:t xml:space="preserve">.</w:t>
      </w:r>
    </w:p>
  </w:footnote>
  <w:footnote w:id="764">
    <w:p>
      <w:pPr>
        <w:pStyle w:val="FootnoteText"/>
      </w:pPr>
      <w:r>
        <w:rPr>
          <w:rStyle w:val="FootnoteReference"/>
        </w:rPr>
        <w:footnoteRef/>
      </w:r>
      <w:r>
        <w:t xml:space="preserve">At this point JE made minor deletions. It is not clear whether he intended to strike out "time."</w:t>
      </w:r>
    </w:p>
  </w:footnote>
  <w:footnote w:id="765">
    <w:p>
      <w:pPr>
        <w:pStyle w:val="FootnoteText"/>
      </w:pPr>
      <w:r>
        <w:rPr>
          <w:rStyle w:val="FootnoteReference"/>
        </w:rPr>
        <w:footnoteRef/>
      </w:r>
      <w:r>
        <w:rPr>
          <w:i/>
          <w:iCs/>
        </w:rPr>
        <w:t xml:space="preserve">2.63v</w:t>
      </w:r>
      <w:r>
        <w:t xml:space="preserve">.</w:t>
      </w:r>
    </w:p>
  </w:footnote>
  <w:footnote w:id="766">
    <w:p>
      <w:pPr>
        <w:pStyle w:val="FootnoteText"/>
      </w:pPr>
      <w:r>
        <w:rPr>
          <w:rStyle w:val="FootnoteReference"/>
        </w:rPr>
        <w:footnoteRef/>
      </w:r>
      <w:r>
        <w:t xml:space="preserve">1 Kings 11:1–40.</w:t>
      </w:r>
    </w:p>
  </w:footnote>
  <w:footnote w:id="767">
    <w:p>
      <w:pPr>
        <w:pStyle w:val="FootnoteText"/>
      </w:pPr>
      <w:r>
        <w:rPr>
          <w:rStyle w:val="FootnoteReference"/>
        </w:rPr>
        <w:footnoteRef/>
      </w:r>
      <w:r>
        <w:t xml:space="preserve">1 Kings 12.</w:t>
      </w:r>
    </w:p>
  </w:footnote>
  <w:footnote w:id="768">
    <w:p>
      <w:pPr>
        <w:pStyle w:val="FootnoteText"/>
      </w:pPr>
      <w:r>
        <w:rPr>
          <w:rStyle w:val="FootnoteReference"/>
        </w:rPr>
        <w:footnoteRef/>
      </w:r>
      <w:r>
        <w:t xml:space="preserve">2 Chronicles 13:1–17.</w:t>
      </w:r>
    </w:p>
  </w:footnote>
  <w:footnote w:id="769">
    <w:p>
      <w:pPr>
        <w:pStyle w:val="FootnoteText"/>
      </w:pPr>
      <w:r>
        <w:rPr>
          <w:rStyle w:val="FootnoteReference"/>
        </w:rPr>
        <w:footnoteRef/>
      </w:r>
      <w:r>
        <w:t xml:space="preserve">E.g. 1 Kings 12:27–33; 1 Kings 14:21–24.</w:t>
      </w:r>
    </w:p>
  </w:footnote>
  <w:footnote w:id="770">
    <w:p>
      <w:pPr>
        <w:pStyle w:val="FootnoteText"/>
      </w:pPr>
      <w:r>
        <w:rPr>
          <w:rStyle w:val="FootnoteReference"/>
        </w:rPr>
        <w:footnoteRef/>
      </w:r>
      <w:r>
        <w:rPr>
          <w:i/>
          <w:iCs/>
        </w:rPr>
        <w:t xml:space="preserve">2.64r</w:t>
      </w:r>
      <w:r>
        <w:t xml:space="preserve">.</w:t>
      </w:r>
    </w:p>
  </w:footnote>
  <w:footnote w:id="771">
    <w:p>
      <w:pPr>
        <w:pStyle w:val="FootnoteText"/>
      </w:pPr>
      <w:r>
        <w:rPr>
          <w:rStyle w:val="FootnoteReference"/>
        </w:rPr>
        <w:footnoteRef/>
      </w:r>
      <w:r>
        <w:t xml:space="preserve">1 Kings 16:29–34.</w:t>
      </w:r>
    </w:p>
  </w:footnote>
  <w:footnote w:id="772">
    <w:p>
      <w:pPr>
        <w:pStyle w:val="FootnoteText"/>
      </w:pPr>
      <w:r>
        <w:rPr>
          <w:rStyle w:val="FootnoteReference"/>
        </w:rPr>
        <w:footnoteRef/>
      </w:r>
      <w:r>
        <w:t xml:space="preserve">This incident is reported in 2 Kings 10:32 and 2 Kings 10:33; JE's use of "etc." suggests that he might also have had in mind additional incidents that sustain his point.</w:t>
      </w:r>
    </w:p>
  </w:footnote>
  <w:footnote w:id="773">
    <w:p>
      <w:pPr>
        <w:pStyle w:val="FootnoteText"/>
      </w:pPr>
      <w:r>
        <w:rPr>
          <w:rStyle w:val="FootnoteReference"/>
        </w:rPr>
        <w:footnoteRef/>
      </w:r>
      <w:r>
        <w:t xml:space="preserve">2 Kings 17:3–7, where the name of the Assyrian king is spelled Shalmaneser.</w:t>
      </w:r>
    </w:p>
  </w:footnote>
  <w:footnote w:id="774">
    <w:p>
      <w:pPr>
        <w:pStyle w:val="FootnoteText"/>
      </w:pPr>
      <w:r>
        <w:rPr>
          <w:rStyle w:val="FootnoteReference"/>
        </w:rPr>
        <w:footnoteRef/>
      </w:r>
      <w:r>
        <w:rPr>
          <w:i/>
          <w:iCs/>
        </w:rPr>
        <w:t xml:space="preserve">2.64v</w:t>
      </w:r>
      <w:r>
        <w:t xml:space="preserve">.</w:t>
      </w:r>
    </w:p>
  </w:footnote>
  <w:footnote w:id="775">
    <w:p>
      <w:pPr>
        <w:pStyle w:val="FootnoteText"/>
      </w:pPr>
      <w:r>
        <w:rPr>
          <w:rStyle w:val="FootnoteReference"/>
        </w:rPr>
        <w:footnoteRef/>
      </w:r>
      <w:r>
        <w:rPr>
          <w:i/>
          <w:iCs/>
        </w:rPr>
        <w:t xml:space="preserve">(1.)</w:t>
      </w:r>
      <w:r>
        <w:t xml:space="preserve">.</w:t>
      </w:r>
    </w:p>
  </w:footnote>
  <w:footnote w:id="776">
    <w:p>
      <w:pPr>
        <w:pStyle w:val="FootnoteText"/>
      </w:pPr>
      <w:r>
        <w:rPr>
          <w:rStyle w:val="FootnoteReference"/>
        </w:rPr>
        <w:footnoteRef/>
      </w:r>
      <w:r>
        <w:t xml:space="preserve">JE returns to the theme of glory which he developed at the close of his first sermon and at the start of the second. See the catena of scriptural verses drawn together there.</w:t>
      </w:r>
    </w:p>
  </w:footnote>
  <w:footnote w:id="777">
    <w:p>
      <w:pPr>
        <w:pStyle w:val="FootnoteText"/>
      </w:pPr>
      <w:r>
        <w:rPr>
          <w:rStyle w:val="FootnoteReference"/>
        </w:rPr>
        <w:footnoteRef/>
      </w:r>
      <w:r>
        <w:t xml:space="preserve">Again JE echoes the Pauline language of Romans and Galatians.</w:t>
      </w:r>
    </w:p>
  </w:footnote>
  <w:footnote w:id="778">
    <w:p>
      <w:pPr>
        <w:pStyle w:val="FootnoteText"/>
      </w:pPr>
      <w:r>
        <w:rPr>
          <w:rStyle w:val="FootnoteReference"/>
        </w:rPr>
        <w:footnoteRef/>
      </w:r>
      <w:r>
        <w:t xml:space="preserve">Galatians 4:9.</w:t>
      </w:r>
    </w:p>
  </w:footnote>
  <w:footnote w:id="779">
    <w:p>
      <w:pPr>
        <w:pStyle w:val="FootnoteText"/>
      </w:pPr>
      <w:r>
        <w:rPr>
          <w:rStyle w:val="FootnoteReference"/>
        </w:rPr>
        <w:footnoteRef/>
      </w:r>
      <w:r>
        <w:rPr>
          <w:i/>
          <w:iCs/>
        </w:rPr>
        <w:t xml:space="preserve">2.65r</w:t>
      </w:r>
      <w:r>
        <w:t xml:space="preserve">.</w:t>
      </w:r>
    </w:p>
  </w:footnote>
  <w:footnote w:id="780">
    <w:p>
      <w:pPr>
        <w:pStyle w:val="FootnoteText"/>
      </w:pPr>
      <w:r>
        <w:rPr>
          <w:rStyle w:val="FootnoteReference"/>
        </w:rPr>
        <w:footnoteRef/>
      </w:r>
      <w:r>
        <w:t xml:space="preserve">This and the following sentences were interlineated by JE and are difficult to transcribe. The reading offered is consistent with his argument and the text. Brackets indicate a necessary addition.</w:t>
      </w:r>
    </w:p>
  </w:footnote>
  <w:footnote w:id="781">
    <w:p>
      <w:pPr>
        <w:pStyle w:val="FootnoteText"/>
      </w:pPr>
      <w:r>
        <w:rPr>
          <w:rStyle w:val="FootnoteReference"/>
        </w:rPr>
        <w:footnoteRef/>
      </w:r>
      <w:r>
        <w:rPr>
          <w:i/>
          <w:iCs/>
        </w:rPr>
        <w:t xml:space="preserve">(2.)</w:t>
      </w:r>
      <w:r>
        <w:t xml:space="preserve">.</w:t>
      </w:r>
    </w:p>
  </w:footnote>
  <w:footnote w:id="782">
    <w:p>
      <w:pPr>
        <w:pStyle w:val="FootnoteText"/>
      </w:pPr>
      <w:r>
        <w:rPr>
          <w:rStyle w:val="FootnoteReference"/>
        </w:rPr>
        <w:footnoteRef/>
      </w:r>
      <w:r>
        <w:t xml:space="preserve">Judges 7:1–7. Quotation from v. 2.</w:t>
      </w:r>
    </w:p>
  </w:footnote>
  <w:footnote w:id="783">
    <w:p>
      <w:pPr>
        <w:pStyle w:val="FootnoteText"/>
      </w:pPr>
      <w:r>
        <w:rPr>
          <w:rStyle w:val="FootnoteReference"/>
        </w:rPr>
        <w:footnoteRef/>
      </w:r>
      <w:r>
        <w:rPr>
          <w:i/>
          <w:iCs/>
        </w:rPr>
        <w:t xml:space="preserve">2.65v</w:t>
      </w:r>
      <w:r>
        <w:t xml:space="preserve">.</w:t>
      </w:r>
    </w:p>
  </w:footnote>
  <w:footnote w:id="784">
    <w:p>
      <w:pPr>
        <w:pStyle w:val="FootnoteText"/>
      </w:pPr>
      <w:r>
        <w:rPr>
          <w:rStyle w:val="FootnoteReference"/>
        </w:rPr>
        <w:footnoteRef/>
      </w:r>
      <w:r>
        <w:t xml:space="preserve">JE used this language, from Isaiah 2:11–17, in his comments on the destruction of the Tower of Babel in Sermon 3.</w:t>
      </w:r>
    </w:p>
  </w:footnote>
  <w:footnote w:id="785">
    <w:p>
      <w:pPr>
        <w:pStyle w:val="FootnoteText"/>
      </w:pPr>
      <w:r>
        <w:rPr>
          <w:rStyle w:val="FootnoteReference"/>
        </w:rPr>
        <w:footnoteRef/>
      </w:r>
      <w:r>
        <w:rPr>
          <w:i/>
          <w:iCs/>
        </w:rPr>
        <w:t xml:space="preserve">(3.)</w:t>
      </w:r>
      <w:r>
        <w:t xml:space="preserve">.</w:t>
      </w:r>
    </w:p>
  </w:footnote>
  <w:footnote w:id="786">
    <w:p>
      <w:pPr>
        <w:pStyle w:val="FootnoteText"/>
      </w:pPr>
      <w:r>
        <w:rPr>
          <w:rStyle w:val="FootnoteReference"/>
        </w:rPr>
        <w:footnoteRef/>
      </w:r>
      <w:r>
        <w:t xml:space="preserve">Here JE slightly revised his text. The reading given is secure but should not necessarily be taken as a considered philosophical statement that sensibility and visibility are equivalent. See also the conjunction of these words below.</w:t>
      </w:r>
    </w:p>
  </w:footnote>
  <w:footnote w:id="787">
    <w:p>
      <w:pPr>
        <w:pStyle w:val="FootnoteText"/>
      </w:pPr>
      <w:r>
        <w:rPr>
          <w:rStyle w:val="FootnoteReference"/>
        </w:rPr>
        <w:footnoteRef/>
      </w:r>
      <w:r>
        <w:rPr>
          <w:i/>
          <w:iCs/>
        </w:rPr>
        <w:t xml:space="preserve">2.66r</w:t>
      </w:r>
      <w:r>
        <w:t xml:space="preserve">.</w:t>
      </w:r>
    </w:p>
  </w:footnote>
  <w:footnote w:id="788">
    <w:p>
      <w:pPr>
        <w:pStyle w:val="FootnoteText"/>
      </w:pPr>
      <w:r>
        <w:rPr>
          <w:rStyle w:val="FootnoteReference"/>
        </w:rPr>
        <w:footnoteRef/>
      </w:r>
      <w:r>
        <w:rPr>
          <w:i/>
          <w:iCs/>
        </w:rPr>
        <w:t xml:space="preserve">0</w:t>
      </w:r>
      <w:r>
        <w:t xml:space="preserve">.</w:t>
      </w:r>
    </w:p>
  </w:footnote>
  <w:footnote w:id="789">
    <w:p>
      <w:pPr>
        <w:pStyle w:val="FootnoteText"/>
      </w:pPr>
      <w:r>
        <w:rPr>
          <w:rStyle w:val="FootnoteReference"/>
        </w:rPr>
        <w:footnoteRef/>
      </w:r>
      <w:r>
        <w:rPr>
          <w:i/>
          <w:iCs/>
        </w:rPr>
        <w:t xml:space="preserve">p</w:t>
      </w:r>
      <w:r>
        <w:t xml:space="preserve">.</w:t>
      </w:r>
    </w:p>
  </w:footnote>
  <w:footnote w:id="790">
    <w:p>
      <w:pPr>
        <w:pStyle w:val="FootnoteText"/>
      </w:pPr>
      <w:r>
        <w:rPr>
          <w:rStyle w:val="FootnoteReference"/>
        </w:rPr>
        <w:footnoteRef/>
      </w:r>
      <w:r>
        <w:rPr>
          <w:i/>
          <w:iCs/>
        </w:rPr>
        <w:t xml:space="preserve">2.66v</w:t>
      </w:r>
      <w:r>
        <w:t xml:space="preserve">.</w:t>
      </w:r>
    </w:p>
  </w:footnote>
  <w:footnote w:id="791">
    <w:p>
      <w:pPr>
        <w:pStyle w:val="FootnoteText"/>
      </w:pPr>
      <w:r>
        <w:rPr>
          <w:rStyle w:val="FootnoteReference"/>
        </w:rPr>
        <w:footnoteRef/>
      </w:r>
      <w:r>
        <w:t xml:space="preserve">Note the pattern of revitalization found in the Old Testament. It strikingly paralleled the experience of the Northampton community, which was a model of and for further renewals, especially in the Colonies and Scotland. See </w:t>
      </w:r>
      <w:r>
        <w:rPr>
          <w:i/>
          <w:iCs/>
        </w:rPr>
        <w:t xml:space="preserve">Works</w:t>
      </w:r>
      <w:r>
        <w:t xml:space="preserve"> (Yale ed.), </w:t>
      </w:r>
      <w:r>
        <w:rPr>
          <w:i/>
          <w:iCs/>
        </w:rPr>
        <w:t xml:space="preserve">4</w:t>
      </w:r>
      <w:r>
        <w:t xml:space="preserve">, for literature on the Great Awakening.</w:t>
      </w:r>
    </w:p>
  </w:footnote>
  <w:footnote w:id="792">
    <w:p>
      <w:pPr>
        <w:pStyle w:val="FootnoteText"/>
      </w:pPr>
      <w:r>
        <w:rPr>
          <w:rStyle w:val="FootnoteReference"/>
        </w:rPr>
        <w:footnoteRef/>
      </w:r>
      <w:r>
        <w:rPr>
          <w:i/>
          <w:iCs/>
        </w:rPr>
        <w:t xml:space="preserve">q</w:t>
      </w:r>
      <w:r>
        <w:t xml:space="preserve">.</w:t>
      </w:r>
    </w:p>
  </w:footnote>
  <w:footnote w:id="793">
    <w:p>
      <w:pPr>
        <w:pStyle w:val="FootnoteText"/>
      </w:pPr>
      <w:r>
        <w:rPr>
          <w:rStyle w:val="FootnoteReference"/>
        </w:rPr>
        <w:footnoteRef/>
      </w:r>
      <w:r>
        <w:t xml:space="preserve">2 Kings 21.</w:t>
      </w:r>
    </w:p>
  </w:footnote>
  <w:footnote w:id="794">
    <w:p>
      <w:pPr>
        <w:pStyle w:val="FootnoteText"/>
      </w:pPr>
      <w:r>
        <w:rPr>
          <w:rStyle w:val="FootnoteReference"/>
        </w:rPr>
        <w:footnoteRef/>
      </w:r>
      <w:r>
        <w:rPr>
          <w:i/>
          <w:iCs/>
        </w:rPr>
        <w:t xml:space="preserve">2.67r</w:t>
      </w:r>
      <w:r>
        <w:t xml:space="preserve">.</w:t>
      </w:r>
    </w:p>
  </w:footnote>
  <w:footnote w:id="795">
    <w:p>
      <w:pPr>
        <w:pStyle w:val="FootnoteText"/>
      </w:pPr>
      <w:r>
        <w:rPr>
          <w:rStyle w:val="FootnoteReference"/>
        </w:rPr>
        <w:footnoteRef/>
      </w:r>
      <w:r>
        <w:rPr>
          <w:i/>
          <w:iCs/>
        </w:rPr>
        <w:t xml:space="preserve">r</w:t>
      </w:r>
      <w:r>
        <w:t xml:space="preserve">.</w:t>
      </w:r>
    </w:p>
  </w:footnote>
  <w:footnote w:id="796">
    <w:p>
      <w:pPr>
        <w:pStyle w:val="FootnoteText"/>
      </w:pPr>
      <w:r>
        <w:rPr>
          <w:rStyle w:val="FootnoteReference"/>
        </w:rPr>
        <w:footnoteRef/>
      </w:r>
      <w:r>
        <w:t xml:space="preserve">A place of shelter or hiding.</w:t>
      </w:r>
    </w:p>
  </w:footnote>
  <w:footnote w:id="797">
    <w:p>
      <w:pPr>
        <w:pStyle w:val="FootnoteText"/>
      </w:pPr>
      <w:r>
        <w:rPr>
          <w:rStyle w:val="FootnoteReference"/>
        </w:rPr>
        <w:footnoteRef/>
      </w:r>
      <w:r>
        <w:rPr>
          <w:i/>
          <w:iCs/>
        </w:rPr>
        <w:t xml:space="preserve">2.67v</w:t>
      </w:r>
      <w:r>
        <w:t xml:space="preserve">.</w:t>
      </w:r>
    </w:p>
  </w:footnote>
  <w:footnote w:id="798">
    <w:p>
      <w:pPr>
        <w:pStyle w:val="FootnoteText"/>
      </w:pPr>
      <w:r>
        <w:rPr>
          <w:rStyle w:val="FootnoteReference"/>
        </w:rPr>
        <w:footnoteRef/>
      </w:r>
      <w:r>
        <w:t xml:space="preserve">At this point there is an interlineated citation of 2 Chronicles 11:13.</w:t>
      </w:r>
    </w:p>
  </w:footnote>
  <w:footnote w:id="799">
    <w:p>
      <w:pPr>
        <w:pStyle w:val="FootnoteText"/>
      </w:pPr>
      <w:r>
        <w:rPr>
          <w:rStyle w:val="FootnoteReference"/>
        </w:rPr>
        <w:footnoteRef/>
      </w:r>
      <w:r>
        <w:t xml:space="preserve">JE uses "wroth" instead of the more familiar "angry" in this verse.</w:t>
      </w:r>
    </w:p>
  </w:footnote>
  <w:footnote w:id="800">
    <w:p>
      <w:pPr>
        <w:pStyle w:val="FootnoteText"/>
      </w:pPr>
      <w:r>
        <w:rPr>
          <w:rStyle w:val="FootnoteReference"/>
        </w:rPr>
        <w:footnoteRef/>
      </w:r>
      <w:r>
        <w:rPr>
          <w:i/>
          <w:iCs/>
        </w:rPr>
        <w:t xml:space="preserve">2.68r</w:t>
      </w:r>
      <w:r>
        <w:t xml:space="preserve">.</w:t>
      </w:r>
    </w:p>
  </w:footnote>
  <w:footnote w:id="801">
    <w:p>
      <w:pPr>
        <w:pStyle w:val="FootnoteText"/>
      </w:pPr>
      <w:r>
        <w:rPr>
          <w:rStyle w:val="FootnoteReference"/>
        </w:rPr>
        <w:footnoteRef/>
      </w:r>
      <w:r>
        <w:t xml:space="preserve">The genealogies of Matthew and Luke are intended to demonstrate this royal ancestry.</w:t>
      </w:r>
    </w:p>
  </w:footnote>
  <w:footnote w:id="802">
    <w:p>
      <w:pPr>
        <w:pStyle w:val="FootnoteText"/>
      </w:pPr>
      <w:r>
        <w:rPr>
          <w:rStyle w:val="FootnoteReference"/>
        </w:rPr>
        <w:footnoteRef/>
      </w:r>
      <w:r>
        <w:rPr>
          <w:i/>
          <w:iCs/>
        </w:rPr>
        <w:t xml:space="preserve">2.68v</w:t>
      </w:r>
      <w:r>
        <w:t xml:space="preserve">.</w:t>
      </w:r>
    </w:p>
  </w:footnote>
  <w:footnote w:id="803">
    <w:p>
      <w:pPr>
        <w:pStyle w:val="FootnoteText"/>
      </w:pPr>
      <w:r>
        <w:rPr>
          <w:rStyle w:val="FootnoteReference"/>
        </w:rPr>
        <w:footnoteRef/>
      </w:r>
      <w:r>
        <w:t xml:space="preserve">2 Chronicles 20:17.</w:t>
      </w:r>
    </w:p>
  </w:footnote>
  <w:footnote w:id="804">
    <w:p>
      <w:pPr>
        <w:pStyle w:val="FootnoteText"/>
      </w:pPr>
      <w:r>
        <w:rPr>
          <w:rStyle w:val="FootnoteReference"/>
        </w:rPr>
        <w:footnoteRef/>
      </w:r>
      <w:r>
        <w:rPr>
          <w:i/>
          <w:iCs/>
        </w:rPr>
        <w:t xml:space="preserve">2.69r</w:t>
      </w:r>
      <w:r>
        <w:t xml:space="preserve">.</w:t>
      </w:r>
    </w:p>
  </w:footnote>
  <w:footnote w:id="805">
    <w:p>
      <w:pPr>
        <w:pStyle w:val="FootnoteText"/>
      </w:pPr>
      <w:r>
        <w:rPr>
          <w:rStyle w:val="FootnoteReference"/>
        </w:rPr>
        <w:footnoteRef/>
      </w:r>
      <w:r>
        <w:t xml:space="preserve">2 Kings 16:5–9. See Sermon 8.</w:t>
      </w:r>
    </w:p>
  </w:footnote>
  <w:footnote w:id="806">
    <w:p>
      <w:pPr>
        <w:pStyle w:val="FootnoteText"/>
      </w:pPr>
      <w:r>
        <w:rPr>
          <w:rStyle w:val="FootnoteReference"/>
        </w:rPr>
        <w:footnoteRef/>
      </w:r>
      <w:r>
        <w:t xml:space="preserve">2 Kings 18:13–19:7.</w:t>
      </w:r>
    </w:p>
  </w:footnote>
  <w:footnote w:id="807">
    <w:p>
      <w:pPr>
        <w:pStyle w:val="FootnoteText"/>
      </w:pPr>
      <w:r>
        <w:rPr>
          <w:rStyle w:val="FootnoteReference"/>
        </w:rPr>
        <w:footnoteRef/>
      </w:r>
      <w:r>
        <w:rPr>
          <w:i/>
          <w:iCs/>
        </w:rPr>
        <w:t xml:space="preserve">2.69v</w:t>
      </w:r>
      <w:r>
        <w:t xml:space="preserve">.</w:t>
      </w:r>
    </w:p>
  </w:footnote>
  <w:footnote w:id="808">
    <w:p>
      <w:pPr>
        <w:pStyle w:val="FootnoteText"/>
      </w:pPr>
      <w:r>
        <w:rPr>
          <w:rStyle w:val="FootnoteReference"/>
        </w:rPr>
        <w:footnoteRef/>
      </w:r>
      <w:r>
        <w:rPr>
          <w:i/>
          <w:iCs/>
        </w:rPr>
        <w:t xml:space="preserve">2.70r</w:t>
      </w:r>
      <w:r>
        <w:t xml:space="preserve">.</w:t>
      </w:r>
    </w:p>
  </w:footnote>
  <w:footnote w:id="809">
    <w:p>
      <w:pPr>
        <w:pStyle w:val="FootnoteText"/>
      </w:pPr>
      <w:r>
        <w:rPr>
          <w:rStyle w:val="FootnoteReference"/>
        </w:rPr>
        <w:footnoteRef/>
      </w:r>
      <w:r>
        <w:t xml:space="preserve">2 Kings 19:35–36.</w:t>
      </w:r>
    </w:p>
  </w:footnote>
  <w:footnote w:id="810">
    <w:p>
      <w:pPr>
        <w:pStyle w:val="FootnoteText"/>
      </w:pPr>
      <w:r>
        <w:rPr>
          <w:rStyle w:val="FootnoteReference"/>
        </w:rPr>
        <w:footnoteRef/>
      </w:r>
      <w:r>
        <w:rPr>
          <w:i/>
          <w:iCs/>
        </w:rPr>
        <w:t xml:space="preserve">s</w:t>
      </w:r>
      <w:r>
        <w:t xml:space="preserve">.</w:t>
      </w:r>
    </w:p>
  </w:footnote>
  <w:footnote w:id="811">
    <w:p>
      <w:pPr>
        <w:pStyle w:val="FootnoteText"/>
      </w:pPr>
      <w:r>
        <w:rPr>
          <w:rStyle w:val="FootnoteReference"/>
        </w:rPr>
        <w:footnoteRef/>
      </w:r>
      <w:r>
        <w:rPr>
          <w:i/>
          <w:iCs/>
        </w:rPr>
        <w:t xml:space="preserve">2.70v</w:t>
      </w:r>
      <w:r>
        <w:t xml:space="preserve">.</w:t>
      </w:r>
    </w:p>
  </w:footnote>
  <w:footnote w:id="812">
    <w:p>
      <w:pPr>
        <w:pStyle w:val="FootnoteText"/>
      </w:pPr>
      <w:r>
        <w:rPr>
          <w:rStyle w:val="FootnoteReference"/>
        </w:rPr>
        <w:footnoteRef/>
      </w:r>
      <w:r>
        <w:t xml:space="preserve">JE erroneously cited v. 27. The text is changed accordingly.</w:t>
      </w:r>
    </w:p>
  </w:footnote>
  <w:footnote w:id="813">
    <w:p>
      <w:pPr>
        <w:pStyle w:val="FootnoteText"/>
      </w:pPr>
      <w:r>
        <w:rPr>
          <w:rStyle w:val="FootnoteReference"/>
        </w:rPr>
        <w:footnoteRef/>
      </w:r>
      <w:r>
        <w:rPr>
          <w:i/>
          <w:iCs/>
        </w:rPr>
        <w:t xml:space="preserve">2.71r</w:t>
      </w:r>
      <w:r>
        <w:t xml:space="preserve">.</w:t>
      </w:r>
    </w:p>
  </w:footnote>
  <w:footnote w:id="814">
    <w:p>
      <w:pPr>
        <w:pStyle w:val="FootnoteText"/>
      </w:pPr>
      <w:r>
        <w:rPr>
          <w:rStyle w:val="FootnoteReference"/>
        </w:rPr>
        <w:footnoteRef/>
      </w:r>
      <w:r>
        <w:t xml:space="preserve">JE slightly revised this section. I have eliminated several redundancies that remain in his text.</w:t>
      </w:r>
    </w:p>
  </w:footnote>
  <w:footnote w:id="815">
    <w:p>
      <w:pPr>
        <w:pStyle w:val="FootnoteText"/>
      </w:pPr>
      <w:r>
        <w:rPr>
          <w:rStyle w:val="FootnoteReference"/>
        </w:rPr>
        <w:footnoteRef/>
      </w:r>
      <w:r>
        <w:rPr>
          <w:i/>
          <w:iCs/>
        </w:rPr>
        <w:t xml:space="preserve">2.71v</w:t>
      </w:r>
      <w:r>
        <w:t xml:space="preserve">.</w:t>
      </w:r>
    </w:p>
  </w:footnote>
  <w:footnote w:id="816">
    <w:p>
      <w:pPr>
        <w:pStyle w:val="FootnoteText"/>
      </w:pPr>
      <w:r>
        <w:rPr>
          <w:rStyle w:val="FootnoteReference"/>
        </w:rPr>
        <w:footnoteRef/>
      </w:r>
      <w:r>
        <w:rPr>
          <w:i/>
          <w:iCs/>
        </w:rPr>
        <w:t xml:space="preserve">2.72r</w:t>
      </w:r>
      <w:r>
        <w:t xml:space="preserve">.</w:t>
      </w:r>
    </w:p>
  </w:footnote>
  <w:footnote w:id="817">
    <w:p>
      <w:pPr>
        <w:pStyle w:val="FootnoteText"/>
      </w:pPr>
      <w:r>
        <w:rPr>
          <w:rStyle w:val="FootnoteReference"/>
        </w:rPr>
        <w:footnoteRef/>
      </w:r>
      <w:r>
        <w:t xml:space="preserve">The title "evangelical prophet" is not scriptural.</w:t>
      </w:r>
    </w:p>
  </w:footnote>
  <w:footnote w:id="818">
    <w:p>
      <w:pPr>
        <w:pStyle w:val="FootnoteText"/>
      </w:pPr>
      <w:r>
        <w:rPr>
          <w:rStyle w:val="FootnoteReference"/>
        </w:rPr>
        <w:footnoteRef/>
      </w:r>
      <w:r>
        <w:rPr>
          <w:i/>
          <w:iCs/>
        </w:rPr>
        <w:t xml:space="preserve">2.72v</w:t>
      </w:r>
      <w:r>
        <w:t xml:space="preserve">.</w:t>
      </w:r>
    </w:p>
  </w:footnote>
  <w:footnote w:id="819">
    <w:p>
      <w:pPr>
        <w:pStyle w:val="FootnoteText"/>
      </w:pPr>
      <w:r>
        <w:rPr>
          <w:rStyle w:val="FootnoteReference"/>
        </w:rPr>
        <w:footnoteRef/>
      </w:r>
      <w:r>
        <w:t xml:space="preserve">JE's text is obscure, apparently because of deletion; "to" is required.</w:t>
      </w:r>
    </w:p>
  </w:footnote>
  <w:footnote w:id="820">
    <w:p>
      <w:pPr>
        <w:pStyle w:val="FootnoteText"/>
      </w:pPr>
      <w:r>
        <w:rPr>
          <w:rStyle w:val="FootnoteReference"/>
        </w:rPr>
        <w:footnoteRef/>
      </w:r>
      <w:r>
        <w:rPr>
          <w:i/>
          <w:iCs/>
        </w:rPr>
        <w:t xml:space="preserve">2.73r</w:t>
      </w:r>
      <w:r>
        <w:t xml:space="preserve">. JE moves to the recto of the next leaf to amplify his point and complete this paragraph.</w:t>
      </w:r>
    </w:p>
  </w:footnote>
  <w:footnote w:id="821">
    <w:p>
      <w:pPr>
        <w:pStyle w:val="FootnoteText"/>
      </w:pPr>
      <w:r>
        <w:rPr>
          <w:rStyle w:val="FootnoteReference"/>
        </w:rPr>
        <w:footnoteRef/>
      </w:r>
      <w:r>
        <w:rPr>
          <w:i/>
          <w:iCs/>
        </w:rPr>
        <w:t xml:space="preserve">2.72v</w:t>
      </w:r>
      <w:r>
        <w:t xml:space="preserve">. JE returns to the verso of the preceding leaf to continue his development of the point.</w:t>
      </w:r>
    </w:p>
  </w:footnote>
  <w:footnote w:id="822">
    <w:p>
      <w:pPr>
        <w:pStyle w:val="FootnoteText"/>
      </w:pPr>
      <w:r>
        <w:rPr>
          <w:rStyle w:val="FootnoteReference"/>
        </w:rPr>
        <w:footnoteRef/>
      </w:r>
      <w:r>
        <w:rPr>
          <w:i/>
          <w:iCs/>
        </w:rPr>
        <w:t xml:space="preserve">2.73r</w:t>
      </w:r>
      <w:r>
        <w:t xml:space="preserve">.</w:t>
      </w:r>
    </w:p>
  </w:footnote>
  <w:footnote w:id="823">
    <w:p>
      <w:pPr>
        <w:pStyle w:val="FootnoteText"/>
      </w:pPr>
      <w:r>
        <w:rPr>
          <w:rStyle w:val="FootnoteReference"/>
        </w:rPr>
        <w:footnoteRef/>
      </w:r>
      <w:r>
        <w:rPr>
          <w:i/>
          <w:iCs/>
        </w:rPr>
        <w:t xml:space="preserve">3.1r</w:t>
      </w:r>
      <w:r>
        <w:t xml:space="preserve">.</w:t>
      </w:r>
    </w:p>
  </w:footnote>
  <w:footnote w:id="824">
    <w:p>
      <w:pPr>
        <w:pStyle w:val="FootnoteText"/>
      </w:pPr>
      <w:r>
        <w:rPr>
          <w:rStyle w:val="FootnoteReference"/>
        </w:rPr>
        <w:footnoteRef/>
      </w:r>
      <w:r>
        <w:t xml:space="preserve">Inscribed by JE, presumably at the time of composition.</w:t>
      </w:r>
    </w:p>
  </w:footnote>
  <w:footnote w:id="825">
    <w:p>
      <w:pPr>
        <w:pStyle w:val="FootnoteText"/>
      </w:pPr>
      <w:r>
        <w:rPr>
          <w:rStyle w:val="FootnoteReference"/>
        </w:rPr>
        <w:footnoteRef/>
      </w:r>
      <w:r>
        <w:rPr>
          <w:i/>
          <w:iCs/>
        </w:rPr>
        <w:t xml:space="preserve">6</w:t>
      </w:r>
      <w:r>
        <w:t xml:space="preserve">.</w:t>
      </w:r>
    </w:p>
  </w:footnote>
  <w:footnote w:id="826">
    <w:p>
      <w:pPr>
        <w:pStyle w:val="FootnoteText"/>
      </w:pPr>
      <w:r>
        <w:rPr>
          <w:rStyle w:val="FootnoteReference"/>
        </w:rPr>
        <w:footnoteRef/>
      </w:r>
      <w:r>
        <w:t xml:space="preserve">At this point, JE deleted the following statement with two angled lines: "1. The events of this period are less the subject of Scripture history and more the subject of Scripture prophecy."</w:t>
      </w:r>
    </w:p>
  </w:footnote>
  <w:footnote w:id="827">
    <w:p>
      <w:pPr>
        <w:pStyle w:val="FootnoteText"/>
      </w:pPr>
      <w:r>
        <w:rPr>
          <w:rStyle w:val="FootnoteReference"/>
        </w:rPr>
        <w:footnoteRef/>
      </w:r>
      <w:r>
        <w:t xml:space="preserve">These introductory observations break into the scheme of exposition that JE has followed in the preceding five periods of time. They are numbered as an independent series.</w:t>
      </w:r>
    </w:p>
  </w:footnote>
  <w:footnote w:id="828">
    <w:p>
      <w:pPr>
        <w:pStyle w:val="FootnoteText"/>
      </w:pPr>
      <w:r>
        <w:rPr>
          <w:rStyle w:val="FootnoteReference"/>
        </w:rPr>
        <w:footnoteRef/>
      </w:r>
      <w:r>
        <w:rPr>
          <w:i/>
          <w:iCs/>
        </w:rPr>
        <w:t xml:space="preserve">3.1v</w:t>
      </w:r>
      <w:r>
        <w:t xml:space="preserve">.</w:t>
      </w:r>
    </w:p>
  </w:footnote>
  <w:footnote w:id="829">
    <w:p>
      <w:pPr>
        <w:pStyle w:val="FootnoteText"/>
      </w:pPr>
      <w:r>
        <w:rPr>
          <w:rStyle w:val="FootnoteReference"/>
        </w:rPr>
        <w:footnoteRef/>
      </w:r>
      <w:r>
        <w:rPr>
          <w:i/>
          <w:iCs/>
        </w:rPr>
        <w:t xml:space="preserve">I</w:t>
      </w:r>
      <w:r>
        <w:t xml:space="preserve">.</w:t>
      </w:r>
    </w:p>
  </w:footnote>
  <w:footnote w:id="830">
    <w:p>
      <w:pPr>
        <w:pStyle w:val="FootnoteText"/>
      </w:pPr>
      <w:r>
        <w:rPr>
          <w:rStyle w:val="FootnoteReference"/>
        </w:rPr>
        <w:footnoteRef/>
      </w:r>
      <w:r>
        <w:rPr>
          <w:i/>
          <w:iCs/>
        </w:rPr>
        <w:t xml:space="preserve">3.2r</w:t>
      </w:r>
      <w:r>
        <w:t xml:space="preserve">.</w:t>
      </w:r>
    </w:p>
  </w:footnote>
  <w:footnote w:id="831">
    <w:p>
      <w:pPr>
        <w:pStyle w:val="FootnoteText"/>
      </w:pPr>
      <w:r>
        <w:rPr>
          <w:rStyle w:val="FootnoteReference"/>
        </w:rPr>
        <w:footnoteRef/>
      </w:r>
      <w:r>
        <w:t xml:space="preserve">An alternative spelling of Tyre.</w:t>
      </w:r>
    </w:p>
  </w:footnote>
  <w:footnote w:id="832">
    <w:p>
      <w:pPr>
        <w:pStyle w:val="FootnoteText"/>
      </w:pPr>
      <w:r>
        <w:rPr>
          <w:rStyle w:val="FootnoteReference"/>
        </w:rPr>
        <w:footnoteRef/>
      </w:r>
      <w:r>
        <w:rPr>
          <w:i/>
          <w:iCs/>
        </w:rPr>
        <w:t xml:space="preserve">3.2v</w:t>
      </w:r>
      <w:r>
        <w:t xml:space="preserve">.</w:t>
      </w:r>
    </w:p>
  </w:footnote>
  <w:footnote w:id="833">
    <w:p>
      <w:pPr>
        <w:pStyle w:val="FootnoteText"/>
      </w:pPr>
      <w:r>
        <w:rPr>
          <w:rStyle w:val="FootnoteReference"/>
        </w:rPr>
        <w:footnoteRef/>
      </w:r>
      <w:r>
        <w:rPr>
          <w:i/>
          <w:iCs/>
        </w:rPr>
        <w:t xml:space="preserve">3.3r</w:t>
      </w:r>
      <w:r>
        <w:t xml:space="preserve">.</w:t>
      </w:r>
    </w:p>
  </w:footnote>
  <w:footnote w:id="834">
    <w:p>
      <w:pPr>
        <w:pStyle w:val="FootnoteText"/>
      </w:pPr>
      <w:r>
        <w:rPr>
          <w:rStyle w:val="FootnoteReference"/>
        </w:rPr>
        <w:footnoteRef/>
      </w:r>
      <w:r>
        <w:t xml:space="preserve">Thucydides, Polybius, Plutarch, and other writers used such distinctions. See e.g. Thucydides, </w:t>
      </w:r>
      <w:r>
        <w:rPr>
          <w:i/>
          <w:iCs/>
        </w:rPr>
        <w:t xml:space="preserve">History</w:t>
      </w:r>
      <w:r>
        <w:t xml:space="preserve"> 1.20–21.</w:t>
      </w:r>
    </w:p>
  </w:footnote>
  <w:footnote w:id="835">
    <w:p>
      <w:pPr>
        <w:pStyle w:val="FootnoteText"/>
      </w:pPr>
      <w:r>
        <w:rPr>
          <w:rStyle w:val="FootnoteReference"/>
        </w:rPr>
        <w:footnoteRef/>
      </w:r>
      <w:r>
        <w:rPr>
          <w:i/>
          <w:iCs/>
        </w:rPr>
        <w:t xml:space="preserve">3. 3v</w:t>
      </w:r>
      <w:r>
        <w:t xml:space="preserve">. JE's manuscript has space for four or five lines of text at this point, which probably indicates that he composed the following section before the preceding one.</w:t>
      </w:r>
    </w:p>
  </w:footnote>
  <w:footnote w:id="836">
    <w:p>
      <w:pPr>
        <w:pStyle w:val="FootnoteText"/>
      </w:pPr>
      <w:r>
        <w:rPr>
          <w:rStyle w:val="FootnoteReference"/>
        </w:rPr>
        <w:footnoteRef/>
      </w:r>
      <w:r>
        <w:rPr>
          <w:i/>
          <w:iCs/>
        </w:rPr>
        <w:t xml:space="preserve">II</w:t>
      </w:r>
      <w:r>
        <w:t xml:space="preserve">.</w:t>
      </w:r>
    </w:p>
  </w:footnote>
  <w:footnote w:id="837">
    <w:p>
      <w:pPr>
        <w:pStyle w:val="FootnoteText"/>
      </w:pPr>
      <w:r>
        <w:rPr>
          <w:rStyle w:val="FootnoteReference"/>
        </w:rPr>
        <w:footnoteRef/>
      </w:r>
      <w:r>
        <w:rPr>
          <w:i/>
          <w:iCs/>
        </w:rPr>
        <w:t xml:space="preserve">3.4r</w:t>
      </w:r>
      <w:r>
        <w:t xml:space="preserve">.</w:t>
      </w:r>
    </w:p>
  </w:footnote>
  <w:footnote w:id="838">
    <w:p>
      <w:pPr>
        <w:pStyle w:val="FootnoteText"/>
      </w:pPr>
      <w:r>
        <w:rPr>
          <w:rStyle w:val="FootnoteReference"/>
        </w:rPr>
        <w:footnoteRef/>
      </w:r>
      <w:r>
        <w:rPr>
          <w:i/>
          <w:iCs/>
        </w:rPr>
        <w:t xml:space="preserve">3.4v</w:t>
      </w:r>
      <w:r>
        <w:t xml:space="preserve">.</w:t>
      </w:r>
    </w:p>
  </w:footnote>
  <w:footnote w:id="839">
    <w:p>
      <w:pPr>
        <w:pStyle w:val="FootnoteText"/>
      </w:pPr>
      <w:r>
        <w:rPr>
          <w:rStyle w:val="FootnoteReference"/>
        </w:rPr>
        <w:footnoteRef/>
      </w:r>
      <w:r>
        <w:rPr>
          <w:i/>
          <w:iCs/>
        </w:rPr>
        <w:t xml:space="preserve">3.5r</w:t>
      </w:r>
      <w:r>
        <w:t xml:space="preserve">.</w:t>
      </w:r>
    </w:p>
  </w:footnote>
  <w:footnote w:id="840">
    <w:p>
      <w:pPr>
        <w:pStyle w:val="FootnoteText"/>
      </w:pPr>
      <w:r>
        <w:rPr>
          <w:rStyle w:val="FootnoteReference"/>
        </w:rPr>
        <w:footnoteRef/>
      </w:r>
      <w:r>
        <w:rPr>
          <w:i/>
          <w:iCs/>
        </w:rPr>
        <w:t xml:space="preserve">9. 3.5v</w:t>
      </w:r>
      <w:r>
        <w:t xml:space="preserve">. At this point JE apparently lifted out a long passage which took up nearly both sides of a single leaf by drawing a single vertical line with heavy brackets at beginning and end. This typically means, in his literary practice, that the passage is used elsewhere for some other purpose. The ink is comparable to that used for the sermons. He added a transition to smooth the flow of the text. The passage begins on </w:t>
      </w:r>
      <w:r>
        <w:rPr>
          <w:i/>
          <w:iCs/>
        </w:rPr>
        <w:t xml:space="preserve">3.5r</w:t>
      </w:r>
      <w:r>
        <w:t xml:space="preserve"> and, at the paragraph break, continues on </w:t>
      </w:r>
      <w:r>
        <w:rPr>
          <w:i/>
          <w:iCs/>
        </w:rPr>
        <w:t xml:space="preserve">3.5v</w:t>
      </w:r>
      <w:r>
        <w:t xml:space="preserve">. The sermon text also resumes on </w:t>
      </w:r>
      <w:r>
        <w:rPr>
          <w:i/>
          <w:iCs/>
        </w:rPr>
        <w:t xml:space="preserve">3.5v</w:t>
      </w:r>
      <w:r>
        <w:t xml:space="preserve">. The passage runs as follows: [[Great were the revolutions while the Persian empire stood. The Scripture expressly takes notice of Xerxes the Great as so visiting the hearts and getting them together, as it were, in one army against the realm of Grecia, the biggest army by far that any history gives any account of. The whole number of his forces, both by sea and by land, that went on that expedition amounting to two millions, three hundred and forty-one thousand, six hundred and ten men and other persons that are included besides armed men being accounted no less than as many more. So that the whole number of persons that followed Xerxes of all sorts were reckoned at no less than five million. That expedition of Xerxes is prophesied of in the Daniel 11:2. [JE indicates intent to quote from the verse.] All these were broken, exhausted, and most of 'em destroyed in time, after Alexander had [unclear, possibly "overturned"] the world. While the Grecian empire was standing, before it was overthrown by the Romans, the world was kept, as it were, in constant tumult. Under Alexander's four captains that divided his empire between them, that the prophet Daniel speaks of, Daniel 8:21–22 [JE indicates intent to quote] and Daniel 11:3–4 [JE again indicates intent to quote]. I say the world under the dominion of these four captains and their successors were always in continual struggle one with another continually overturning the nations that apostatized to each other's dominions as we have a particular account with respect to those two of them that were next to Judea, even the king of Syria and the king of Egypt, in the Daniel 11, under the names of the king of the north and south, one of these lying on the north and the other to the south of Judea, till at length all were overthrown by the Romans.]]</w:t>
      </w:r>
    </w:p>
  </w:footnote>
  <w:footnote w:id="841">
    <w:p>
      <w:pPr>
        <w:pStyle w:val="FootnoteText"/>
      </w:pPr>
      <w:r>
        <w:rPr>
          <w:rStyle w:val="FootnoteReference"/>
        </w:rPr>
        <w:footnoteRef/>
      </w:r>
      <w:r>
        <w:rPr>
          <w:i/>
          <w:iCs/>
        </w:rPr>
        <w:t xml:space="preserve">3.6r</w:t>
      </w:r>
      <w:r>
        <w:t xml:space="preserve">. Leaf breaks at "over."</w:t>
      </w:r>
    </w:p>
  </w:footnote>
  <w:footnote w:id="842">
    <w:p>
      <w:pPr>
        <w:pStyle w:val="FootnoteText"/>
      </w:pPr>
      <w:r>
        <w:rPr>
          <w:rStyle w:val="FootnoteReference"/>
        </w:rPr>
        <w:footnoteRef/>
      </w:r>
      <w:r>
        <w:t xml:space="preserve">JE sketches in the rhetorical structure for which understood words and phrases have been supplied here and below in this paragraph.</w:t>
      </w:r>
    </w:p>
  </w:footnote>
  <w:footnote w:id="843">
    <w:p>
      <w:pPr>
        <w:pStyle w:val="FootnoteText"/>
      </w:pPr>
      <w:r>
        <w:rPr>
          <w:rStyle w:val="FootnoteReference"/>
        </w:rPr>
        <w:footnoteRef/>
      </w:r>
      <w:r>
        <w:rPr>
          <w:i/>
          <w:iCs/>
        </w:rPr>
        <w:t xml:space="preserve">3.6v</w:t>
      </w:r>
      <w:r>
        <w:t xml:space="preserve">.</w:t>
      </w:r>
    </w:p>
  </w:footnote>
  <w:footnote w:id="844">
    <w:p>
      <w:pPr>
        <w:pStyle w:val="FootnoteText"/>
      </w:pPr>
      <w:r>
        <w:rPr>
          <w:rStyle w:val="FootnoteReference"/>
        </w:rPr>
        <w:footnoteRef/>
      </w:r>
      <w:r>
        <w:rPr>
          <w:i/>
          <w:iCs/>
        </w:rPr>
        <w:t xml:space="preserve">3.7r</w:t>
      </w:r>
      <w:r>
        <w:t xml:space="preserve">.</w:t>
      </w:r>
    </w:p>
  </w:footnote>
  <w:footnote w:id="845">
    <w:p>
      <w:pPr>
        <w:pStyle w:val="FootnoteText"/>
      </w:pPr>
      <w:r>
        <w:rPr>
          <w:rStyle w:val="FootnoteReference"/>
        </w:rPr>
        <w:footnoteRef/>
      </w:r>
      <w:r>
        <w:t xml:space="preserve">At this point, JE has removed a much smaller section of text in the same fashion as described in n. 9, above. It reads as follows: "[[There was a great accomplishment of the shaking here spoken of before Christ comes in the flesh, though there was a fuller accomplishment of it before his spiritual coming, of his resurrection, and at the destruction of Jerusalem, and in Constantine's time.]]"</w:t>
      </w:r>
    </w:p>
  </w:footnote>
  <w:footnote w:id="846">
    <w:p>
      <w:pPr>
        <w:pStyle w:val="FootnoteText"/>
      </w:pPr>
      <w:r>
        <w:rPr>
          <w:rStyle w:val="FootnoteReference"/>
        </w:rPr>
        <w:footnoteRef/>
      </w:r>
      <w:r>
        <w:t xml:space="preserve">JE paraphrases and conflates Romans 8:19–22.</w:t>
      </w:r>
    </w:p>
  </w:footnote>
  <w:footnote w:id="847">
    <w:p>
      <w:pPr>
        <w:pStyle w:val="FootnoteText"/>
      </w:pPr>
      <w:r>
        <w:rPr>
          <w:rStyle w:val="FootnoteReference"/>
        </w:rPr>
        <w:footnoteRef/>
      </w:r>
      <w:r>
        <w:rPr>
          <w:i/>
          <w:iCs/>
        </w:rPr>
        <w:t xml:space="preserve">3.7v</w:t>
      </w:r>
      <w:r>
        <w:t xml:space="preserve">.</w:t>
      </w:r>
    </w:p>
  </w:footnote>
  <w:footnote w:id="848">
    <w:p>
      <w:pPr>
        <w:pStyle w:val="FootnoteText"/>
      </w:pPr>
      <w:r>
        <w:rPr>
          <w:rStyle w:val="FootnoteReference"/>
        </w:rPr>
        <w:footnoteRef/>
      </w:r>
      <w:r>
        <w:rPr>
          <w:i/>
          <w:iCs/>
        </w:rPr>
        <w:t xml:space="preserve">3.8r</w:t>
      </w:r>
      <w:r>
        <w:t xml:space="preserve">.</w:t>
      </w:r>
    </w:p>
  </w:footnote>
  <w:footnote w:id="849">
    <w:p>
      <w:pPr>
        <w:pStyle w:val="FootnoteText"/>
      </w:pPr>
      <w:r>
        <w:rPr>
          <w:rStyle w:val="FootnoteReference"/>
        </w:rPr>
        <w:footnoteRef/>
      </w:r>
      <w:r>
        <w:t xml:space="preserve">Daniel 2:31–35.</w:t>
      </w:r>
    </w:p>
  </w:footnote>
  <w:footnote w:id="850">
    <w:p>
      <w:pPr>
        <w:pStyle w:val="FootnoteText"/>
      </w:pPr>
      <w:r>
        <w:rPr>
          <w:rStyle w:val="FootnoteReference"/>
        </w:rPr>
        <w:footnoteRef/>
      </w:r>
      <w:r>
        <w:rPr>
          <w:i/>
          <w:iCs/>
        </w:rPr>
        <w:t xml:space="preserve">3.8v</w:t>
      </w:r>
      <w:r>
        <w:t xml:space="preserve">.</w:t>
      </w:r>
    </w:p>
  </w:footnote>
  <w:footnote w:id="851">
    <w:p>
      <w:pPr>
        <w:pStyle w:val="FootnoteText"/>
      </w:pPr>
      <w:r>
        <w:rPr>
          <w:rStyle w:val="FootnoteReference"/>
        </w:rPr>
        <w:footnoteRef/>
      </w:r>
      <w:r>
        <w:t xml:space="preserve">In his fourth sermon JE made use of this same passage in discussing the destruction of the Tower of Babel.</w:t>
      </w:r>
    </w:p>
  </w:footnote>
  <w:footnote w:id="852">
    <w:p>
      <w:pPr>
        <w:pStyle w:val="FootnoteText"/>
      </w:pPr>
      <w:r>
        <w:rPr>
          <w:rStyle w:val="FootnoteReference"/>
        </w:rPr>
        <w:footnoteRef/>
      </w:r>
      <w:r>
        <w:t xml:space="preserve">Approximately one-third of this verso was left unused by JE, perhaps indicating that he finished the next section before this one.</w:t>
      </w:r>
    </w:p>
  </w:footnote>
  <w:footnote w:id="853">
    <w:p>
      <w:pPr>
        <w:pStyle w:val="FootnoteText"/>
      </w:pPr>
      <w:r>
        <w:rPr>
          <w:rStyle w:val="FootnoteReference"/>
        </w:rPr>
        <w:footnoteRef/>
      </w:r>
      <w:r>
        <w:rPr>
          <w:i/>
          <w:iCs/>
        </w:rPr>
        <w:t xml:space="preserve">3.9r</w:t>
      </w:r>
      <w:r>
        <w:t xml:space="preserve">.</w:t>
      </w:r>
    </w:p>
  </w:footnote>
  <w:footnote w:id="854">
    <w:p>
      <w:pPr>
        <w:pStyle w:val="FootnoteText"/>
      </w:pPr>
      <w:r>
        <w:rPr>
          <w:rStyle w:val="FootnoteReference"/>
        </w:rPr>
        <w:footnoteRef/>
      </w:r>
      <w:r>
        <w:rPr>
          <w:i/>
          <w:iCs/>
        </w:rPr>
        <w:t xml:space="preserve">III</w:t>
      </w:r>
      <w:r>
        <w:t xml:space="preserve">.</w:t>
      </w:r>
    </w:p>
  </w:footnote>
  <w:footnote w:id="855">
    <w:p>
      <w:pPr>
        <w:pStyle w:val="FootnoteText"/>
      </w:pPr>
      <w:r>
        <w:rPr>
          <w:rStyle w:val="FootnoteReference"/>
        </w:rPr>
        <w:footnoteRef/>
      </w:r>
      <w:r>
        <w:t xml:space="preserve">Haggai 2:22.</w:t>
      </w:r>
    </w:p>
  </w:footnote>
  <w:footnote w:id="856">
    <w:p>
      <w:pPr>
        <w:pStyle w:val="FootnoteText"/>
      </w:pPr>
      <w:r>
        <w:rPr>
          <w:rStyle w:val="FootnoteReference"/>
        </w:rPr>
        <w:footnoteRef/>
      </w:r>
      <w:r>
        <w:rPr>
          <w:i/>
          <w:iCs/>
        </w:rPr>
        <w:t xml:space="preserve">3.9v</w:t>
      </w:r>
      <w:r>
        <w:t xml:space="preserve">.</w:t>
      </w:r>
    </w:p>
  </w:footnote>
  <w:footnote w:id="857">
    <w:p>
      <w:pPr>
        <w:pStyle w:val="FootnoteText"/>
      </w:pPr>
      <w:r>
        <w:rPr>
          <w:rStyle w:val="FootnoteReference"/>
        </w:rPr>
        <w:footnoteRef/>
      </w:r>
      <w:r>
        <w:t xml:space="preserve">JE apparently considered reversing the order of the next sentences, but changed his mind.</w:t>
      </w:r>
    </w:p>
  </w:footnote>
  <w:footnote w:id="858">
    <w:p>
      <w:pPr>
        <w:pStyle w:val="FootnoteText"/>
      </w:pPr>
      <w:r>
        <w:rPr>
          <w:rStyle w:val="FootnoteReference"/>
        </w:rPr>
        <w:footnoteRef/>
      </w:r>
      <w:r>
        <w:rPr>
          <w:i/>
          <w:iCs/>
        </w:rPr>
        <w:t xml:space="preserve">Psalms 46:1–3</w:t>
      </w:r>
      <w:r>
        <w:t xml:space="preserve">.</w:t>
      </w:r>
    </w:p>
  </w:footnote>
  <w:footnote w:id="859">
    <w:p>
      <w:pPr>
        <w:pStyle w:val="FootnoteText"/>
      </w:pPr>
      <w:r>
        <w:rPr>
          <w:rStyle w:val="FootnoteReference"/>
        </w:rPr>
        <w:footnoteRef/>
      </w:r>
      <w:r>
        <w:rPr>
          <w:i/>
          <w:iCs/>
        </w:rPr>
        <w:t xml:space="preserve">3.10r</w:t>
      </w:r>
      <w:r>
        <w:t xml:space="preserve">.</w:t>
      </w:r>
    </w:p>
  </w:footnote>
  <w:footnote w:id="860">
    <w:p>
      <w:pPr>
        <w:pStyle w:val="FootnoteText"/>
      </w:pPr>
      <w:r>
        <w:rPr>
          <w:rStyle w:val="FootnoteReference"/>
        </w:rPr>
        <w:footnoteRef/>
      </w:r>
      <w:r>
        <w:rPr>
          <w:i/>
          <w:iCs/>
        </w:rPr>
        <w:t xml:space="preserve">a</w:t>
      </w:r>
      <w:r>
        <w:t xml:space="preserve">. At this point JE concludes observations and returns to exposition of the sixth period of the Work of Redemption in Old Testament times.</w:t>
      </w:r>
    </w:p>
  </w:footnote>
  <w:footnote w:id="861">
    <w:p>
      <w:pPr>
        <w:pStyle w:val="FootnoteText"/>
      </w:pPr>
      <w:r>
        <w:rPr>
          <w:rStyle w:val="FootnoteReference"/>
        </w:rPr>
        <w:footnoteRef/>
      </w:r>
      <w:r>
        <w:t xml:space="preserve">1 Samuel 4:3–11.</w:t>
      </w:r>
    </w:p>
  </w:footnote>
  <w:footnote w:id="862">
    <w:p>
      <w:pPr>
        <w:pStyle w:val="FootnoteText"/>
      </w:pPr>
      <w:r>
        <w:rPr>
          <w:rStyle w:val="FootnoteReference"/>
        </w:rPr>
        <w:footnoteRef/>
      </w:r>
      <w:r>
        <w:rPr>
          <w:i/>
          <w:iCs/>
        </w:rPr>
        <w:t xml:space="preserve">3.10v</w:t>
      </w:r>
      <w:r>
        <w:t xml:space="preserve">.</w:t>
      </w:r>
    </w:p>
  </w:footnote>
  <w:footnote w:id="863">
    <w:p>
      <w:pPr>
        <w:pStyle w:val="FootnoteText"/>
      </w:pPr>
      <w:r>
        <w:rPr>
          <w:rStyle w:val="FootnoteReference"/>
        </w:rPr>
        <w:footnoteRef/>
      </w:r>
      <w:r>
        <w:rPr>
          <w:i/>
          <w:iCs/>
        </w:rPr>
        <w:t xml:space="preserve">(1.)</w:t>
      </w:r>
      <w:r>
        <w:t xml:space="preserve">.</w:t>
      </w:r>
    </w:p>
  </w:footnote>
  <w:footnote w:id="864">
    <w:p>
      <w:pPr>
        <w:pStyle w:val="FootnoteText"/>
      </w:pPr>
      <w:r>
        <w:rPr>
          <w:rStyle w:val="FootnoteReference"/>
        </w:rPr>
        <w:footnoteRef/>
      </w:r>
      <w:r>
        <w:rPr>
          <w:i/>
          <w:iCs/>
        </w:rPr>
        <w:t xml:space="preserve">3.11r</w:t>
      </w:r>
      <w:r>
        <w:t xml:space="preserve">.</w:t>
      </w:r>
    </w:p>
  </w:footnote>
  <w:footnote w:id="865">
    <w:p>
      <w:pPr>
        <w:pStyle w:val="FootnoteText"/>
      </w:pPr>
      <w:r>
        <w:rPr>
          <w:rStyle w:val="FootnoteReference"/>
        </w:rPr>
        <w:footnoteRef/>
      </w:r>
      <w:r>
        <w:rPr>
          <w:i/>
          <w:iCs/>
        </w:rPr>
        <w:t xml:space="preserve">(2.)</w:t>
      </w:r>
      <w:r>
        <w:t xml:space="preserve">.</w:t>
      </w:r>
    </w:p>
  </w:footnote>
  <w:footnote w:id="866">
    <w:p>
      <w:pPr>
        <w:pStyle w:val="FootnoteText"/>
      </w:pPr>
      <w:r>
        <w:rPr>
          <w:rStyle w:val="FootnoteReference"/>
        </w:rPr>
        <w:footnoteRef/>
      </w:r>
      <w:r>
        <w:rPr>
          <w:i/>
          <w:iCs/>
        </w:rPr>
        <w:t xml:space="preserve">(a.)</w:t>
      </w:r>
      <w:r>
        <w:t xml:space="preserve">.</w:t>
      </w:r>
    </w:p>
  </w:footnote>
  <w:footnote w:id="867">
    <w:p>
      <w:pPr>
        <w:pStyle w:val="FootnoteText"/>
      </w:pPr>
      <w:r>
        <w:rPr>
          <w:rStyle w:val="FootnoteReference"/>
        </w:rPr>
        <w:footnoteRef/>
      </w:r>
      <w:r>
        <w:rPr>
          <w:i/>
          <w:iCs/>
        </w:rPr>
        <w:t xml:space="preserve">3.11v</w:t>
      </w:r>
      <w:r>
        <w:t xml:space="preserve">.</w:t>
      </w:r>
    </w:p>
  </w:footnote>
  <w:footnote w:id="868">
    <w:p>
      <w:pPr>
        <w:pStyle w:val="FootnoteText"/>
      </w:pPr>
      <w:r>
        <w:rPr>
          <w:rStyle w:val="FootnoteReference"/>
        </w:rPr>
        <w:footnoteRef/>
      </w:r>
      <w:r>
        <w:t xml:space="preserve">JE apparently does not intend to quote, but does paraphrase the verse, which requires completion.</w:t>
      </w:r>
    </w:p>
  </w:footnote>
  <w:footnote w:id="869">
    <w:p>
      <w:pPr>
        <w:pStyle w:val="FootnoteText"/>
      </w:pPr>
      <w:r>
        <w:rPr>
          <w:rStyle w:val="FootnoteReference"/>
        </w:rPr>
        <w:footnoteRef/>
      </w:r>
      <w:r>
        <w:t xml:space="preserve">At this point JE deletes a full paragraph with a single vertical line. His language echoes Colossians 2:15, and the paragraph reads as follows: In this last period of the Old Testament times God did two things to prepare the way for Christ's coming wherein he took a contrary method from that which human wisdom would have taken. He brought his own visible people very low and made them weak, but the heathen that were his enemies he exalted exceeding high. For the more glorious triumph of the cross who [read as "he"], with a weak and small number in their greatest weakness, conquered his enemies in their greatest power and glory. Thus Christ triumphed over principalities and powers in his cross.</w:t>
      </w:r>
    </w:p>
  </w:footnote>
  <w:footnote w:id="870">
    <w:p>
      <w:pPr>
        <w:pStyle w:val="FootnoteText"/>
      </w:pPr>
      <w:r>
        <w:rPr>
          <w:rStyle w:val="FootnoteReference"/>
        </w:rPr>
        <w:footnoteRef/>
      </w:r>
      <w:r>
        <w:rPr>
          <w:i/>
          <w:iCs/>
        </w:rPr>
        <w:t xml:space="preserve">(b.)</w:t>
      </w:r>
      <w:r>
        <w:t xml:space="preserve">.</w:t>
      </w:r>
    </w:p>
  </w:footnote>
  <w:footnote w:id="871">
    <w:p>
      <w:pPr>
        <w:pStyle w:val="FootnoteText"/>
      </w:pPr>
      <w:r>
        <w:rPr>
          <w:rStyle w:val="FootnoteReference"/>
        </w:rPr>
        <w:footnoteRef/>
      </w:r>
      <w:r>
        <w:rPr>
          <w:i/>
          <w:iCs/>
        </w:rPr>
        <w:t xml:space="preserve">3.12r</w:t>
      </w:r>
      <w:r>
        <w:t xml:space="preserve">.</w:t>
      </w:r>
    </w:p>
  </w:footnote>
  <w:footnote w:id="872">
    <w:p>
      <w:pPr>
        <w:pStyle w:val="FootnoteText"/>
      </w:pPr>
      <w:r>
        <w:rPr>
          <w:rStyle w:val="FootnoteReference"/>
        </w:rPr>
        <w:footnoteRef/>
      </w:r>
      <w:r>
        <w:rPr>
          <w:i/>
          <w:iCs/>
        </w:rPr>
        <w:t xml:space="preserve">(c.)</w:t>
      </w:r>
      <w:r>
        <w:t xml:space="preserve">.</w:t>
      </w:r>
    </w:p>
  </w:footnote>
  <w:footnote w:id="873">
    <w:p>
      <w:pPr>
        <w:pStyle w:val="FootnoteText"/>
      </w:pPr>
      <w:r>
        <w:rPr>
          <w:rStyle w:val="FootnoteReference"/>
        </w:rPr>
        <w:footnoteRef/>
      </w:r>
      <w:r>
        <w:rPr>
          <w:i/>
          <w:iCs/>
        </w:rPr>
        <w:t xml:space="preserve">(d.)</w:t>
      </w:r>
      <w:r>
        <w:t xml:space="preserve">.</w:t>
      </w:r>
    </w:p>
  </w:footnote>
  <w:footnote w:id="874">
    <w:p>
      <w:pPr>
        <w:pStyle w:val="FootnoteText"/>
      </w:pPr>
      <w:r>
        <w:rPr>
          <w:rStyle w:val="FootnoteReference"/>
        </w:rPr>
        <w:footnoteRef/>
      </w:r>
      <w:r>
        <w:rPr>
          <w:i/>
          <w:iCs/>
        </w:rPr>
        <w:t xml:space="preserve">3.12v</w:t>
      </w:r>
      <w:r>
        <w:t xml:space="preserve">.</w:t>
      </w:r>
    </w:p>
  </w:footnote>
  <w:footnote w:id="875">
    <w:p>
      <w:pPr>
        <w:pStyle w:val="FootnoteText"/>
      </w:pPr>
      <w:r>
        <w:rPr>
          <w:rStyle w:val="FootnoteReference"/>
        </w:rPr>
        <w:footnoteRef/>
      </w:r>
      <w:r>
        <w:rPr>
          <w:i/>
          <w:iCs/>
        </w:rPr>
        <w:t xml:space="preserve">(e.)</w:t>
      </w:r>
      <w:r>
        <w:t xml:space="preserve">.</w:t>
      </w:r>
    </w:p>
  </w:footnote>
  <w:footnote w:id="876">
    <w:p>
      <w:pPr>
        <w:pStyle w:val="FootnoteText"/>
      </w:pPr>
      <w:r>
        <w:rPr>
          <w:rStyle w:val="FootnoteReference"/>
        </w:rPr>
        <w:footnoteRef/>
      </w:r>
      <w:r>
        <w:rPr>
          <w:i/>
          <w:iCs/>
        </w:rPr>
        <w:t xml:space="preserve">3.13r</w:t>
      </w:r>
      <w:r>
        <w:t xml:space="preserve">. JE continues to develop this point on the recto of the facing leaf.</w:t>
      </w:r>
    </w:p>
  </w:footnote>
  <w:footnote w:id="877">
    <w:p>
      <w:pPr>
        <w:pStyle w:val="FootnoteText"/>
      </w:pPr>
      <w:r>
        <w:rPr>
          <w:rStyle w:val="FootnoteReference"/>
        </w:rPr>
        <w:footnoteRef/>
      </w:r>
      <w:r>
        <w:t xml:space="preserve">See 2 Chronicles 7:2.</w:t>
      </w:r>
    </w:p>
  </w:footnote>
  <w:footnote w:id="878">
    <w:p>
      <w:pPr>
        <w:pStyle w:val="FootnoteText"/>
      </w:pPr>
      <w:r>
        <w:rPr>
          <w:rStyle w:val="FootnoteReference"/>
        </w:rPr>
        <w:footnoteRef/>
      </w:r>
      <w:r>
        <w:rPr>
          <w:i/>
          <w:iCs/>
        </w:rPr>
        <w:t xml:space="preserve">3.12v</w:t>
      </w:r>
      <w:r>
        <w:t xml:space="preserve">. JE returns to the preceding leaf, verso.</w:t>
      </w:r>
    </w:p>
  </w:footnote>
  <w:footnote w:id="879">
    <w:p>
      <w:pPr>
        <w:pStyle w:val="FootnoteText"/>
      </w:pPr>
      <w:r>
        <w:rPr>
          <w:rStyle w:val="FootnoteReference"/>
        </w:rPr>
        <w:footnoteRef/>
      </w:r>
      <w:r>
        <w:rPr>
          <w:i/>
          <w:iCs/>
        </w:rPr>
        <w:t xml:space="preserve">(f.)</w:t>
      </w:r>
      <w:r>
        <w:t xml:space="preserve">.</w:t>
      </w:r>
    </w:p>
  </w:footnote>
  <w:footnote w:id="880">
    <w:p>
      <w:pPr>
        <w:pStyle w:val="FootnoteText"/>
      </w:pPr>
      <w:r>
        <w:rPr>
          <w:rStyle w:val="FootnoteReference"/>
        </w:rPr>
        <w:footnoteRef/>
      </w:r>
      <w:r>
        <w:rPr>
          <w:i/>
          <w:iCs/>
        </w:rPr>
        <w:t xml:space="preserve">3.13r</w:t>
      </w:r>
      <w:r>
        <w:t xml:space="preserve">.</w:t>
      </w:r>
    </w:p>
  </w:footnote>
  <w:footnote w:id="881">
    <w:p>
      <w:pPr>
        <w:pStyle w:val="FootnoteText"/>
      </w:pPr>
      <w:r>
        <w:rPr>
          <w:rStyle w:val="FootnoteReference"/>
        </w:rPr>
        <w:footnoteRef/>
      </w:r>
      <w:r>
        <w:t xml:space="preserve">JE places the heading for this sermon at the bottom of booklet 3, leaf 13, recto, and his exposition of points begins verso without introductory comments. This probably means that Sermons 10 and 11 were delivered as a linked pair on the forenoon and afternoon of one day.</w:t>
      </w:r>
    </w:p>
  </w:footnote>
  <w:footnote w:id="882">
    <w:p>
      <w:pPr>
        <w:pStyle w:val="FootnoteText"/>
      </w:pPr>
      <w:r>
        <w:rPr>
          <w:rStyle w:val="FootnoteReference"/>
        </w:rPr>
        <w:footnoteRef/>
      </w:r>
      <w:r>
        <w:rPr>
          <w:i/>
          <w:iCs/>
        </w:rPr>
        <w:t xml:space="preserve">3.13v</w:t>
      </w:r>
      <w:r>
        <w:t xml:space="preserve">.</w:t>
      </w:r>
    </w:p>
  </w:footnote>
  <w:footnote w:id="883">
    <w:p>
      <w:pPr>
        <w:pStyle w:val="FootnoteText"/>
      </w:pPr>
      <w:r>
        <w:rPr>
          <w:rStyle w:val="FootnoteReference"/>
        </w:rPr>
        <w:footnoteRef/>
      </w:r>
      <w:r>
        <w:rPr>
          <w:i/>
          <w:iCs/>
        </w:rPr>
        <w:t xml:space="preserve">(3.)</w:t>
      </w:r>
      <w:r>
        <w:t xml:space="preserve">.</w:t>
      </w:r>
    </w:p>
  </w:footnote>
  <w:footnote w:id="884">
    <w:p>
      <w:pPr>
        <w:pStyle w:val="FootnoteText"/>
      </w:pPr>
      <w:r>
        <w:rPr>
          <w:rStyle w:val="FootnoteReference"/>
        </w:rPr>
        <w:footnoteRef/>
      </w:r>
      <w:r>
        <w:t xml:space="preserve">An inkblot obscures the text at this point.</w:t>
      </w:r>
    </w:p>
  </w:footnote>
  <w:footnote w:id="885">
    <w:p>
      <w:pPr>
        <w:pStyle w:val="FootnoteText"/>
      </w:pPr>
      <w:r>
        <w:rPr>
          <w:rStyle w:val="FootnoteReference"/>
        </w:rPr>
        <w:footnoteRef/>
      </w:r>
      <w:r>
        <w:rPr>
          <w:i/>
          <w:iCs/>
        </w:rPr>
        <w:t xml:space="preserve">3.14r</w:t>
      </w:r>
      <w:r>
        <w:t xml:space="preserve">.</w:t>
      </w:r>
    </w:p>
  </w:footnote>
  <w:footnote w:id="886">
    <w:p>
      <w:pPr>
        <w:pStyle w:val="FootnoteText"/>
      </w:pPr>
      <w:r>
        <w:rPr>
          <w:rStyle w:val="FootnoteReference"/>
        </w:rPr>
        <w:footnoteRef/>
      </w:r>
      <w:r>
        <w:rPr>
          <w:i/>
          <w:iCs/>
        </w:rPr>
        <w:t xml:space="preserve">3.14v</w:t>
      </w:r>
      <w:r>
        <w:t xml:space="preserve">.</w:t>
      </w:r>
    </w:p>
  </w:footnote>
  <w:footnote w:id="887">
    <w:p>
      <w:pPr>
        <w:pStyle w:val="FootnoteText"/>
      </w:pPr>
      <w:r>
        <w:rPr>
          <w:rStyle w:val="FootnoteReference"/>
        </w:rPr>
        <w:footnoteRef/>
      </w:r>
      <w:r>
        <w:t xml:space="preserve">E.g. Acts 13:5–43.</w:t>
      </w:r>
    </w:p>
  </w:footnote>
  <w:footnote w:id="888">
    <w:p>
      <w:pPr>
        <w:pStyle w:val="FootnoteText"/>
      </w:pPr>
      <w:r>
        <w:rPr>
          <w:rStyle w:val="FootnoteReference"/>
        </w:rPr>
        <w:footnoteRef/>
      </w:r>
      <w:r>
        <w:t xml:space="preserve">E.g. Acts 14:1–25; Acts 17:16–17; Acts 18:1–8; Acts 28:16–29.</w:t>
      </w:r>
    </w:p>
  </w:footnote>
  <w:footnote w:id="889">
    <w:p>
      <w:pPr>
        <w:pStyle w:val="FootnoteText"/>
      </w:pPr>
      <w:r>
        <w:rPr>
          <w:rStyle w:val="FootnoteReference"/>
        </w:rPr>
        <w:footnoteRef/>
      </w:r>
      <w:r>
        <w:rPr>
          <w:i/>
          <w:iCs/>
        </w:rPr>
        <w:t xml:space="preserve">(a.)</w:t>
      </w:r>
      <w:r>
        <w:t xml:space="preserve">.</w:t>
      </w:r>
    </w:p>
  </w:footnote>
  <w:footnote w:id="890">
    <w:p>
      <w:pPr>
        <w:pStyle w:val="FootnoteText"/>
      </w:pPr>
      <w:r>
        <w:rPr>
          <w:rStyle w:val="FootnoteReference"/>
        </w:rPr>
        <w:footnoteRef/>
      </w:r>
      <w:r>
        <w:rPr>
          <w:i/>
          <w:iCs/>
        </w:rPr>
        <w:t xml:space="preserve">3.15r</w:t>
      </w:r>
      <w:r>
        <w:t xml:space="preserve">.</w:t>
      </w:r>
    </w:p>
  </w:footnote>
  <w:footnote w:id="891">
    <w:p>
      <w:pPr>
        <w:pStyle w:val="FootnoteText"/>
      </w:pPr>
      <w:r>
        <w:rPr>
          <w:rStyle w:val="FootnoteReference"/>
        </w:rPr>
        <w:footnoteRef/>
      </w:r>
      <w:r>
        <w:t xml:space="preserve">Virgil's vision, of a golden age of pastoral tranquility initiated by the birth of a boy, was frequently applied to the messiah by Christian commentators. See Virgil's </w:t>
      </w:r>
      <w:r>
        <w:rPr>
          <w:i/>
          <w:iCs/>
        </w:rPr>
        <w:t xml:space="preserve">Eclogue</w:t>
      </w:r>
      <w:r>
        <w:t xml:space="preserve"> 4.</w:t>
      </w:r>
    </w:p>
  </w:footnote>
  <w:footnote w:id="892">
    <w:p>
      <w:pPr>
        <w:pStyle w:val="FootnoteText"/>
      </w:pPr>
      <w:r>
        <w:rPr>
          <w:rStyle w:val="FootnoteReference"/>
        </w:rPr>
        <w:footnoteRef/>
      </w:r>
      <w:r>
        <w:rPr>
          <w:i/>
          <w:iCs/>
        </w:rPr>
        <w:t xml:space="preserve">(b.)</w:t>
      </w:r>
      <w:r>
        <w:t xml:space="preserve">.</w:t>
      </w:r>
    </w:p>
  </w:footnote>
  <w:footnote w:id="893">
    <w:p>
      <w:pPr>
        <w:pStyle w:val="FootnoteText"/>
      </w:pPr>
      <w:r>
        <w:rPr>
          <w:rStyle w:val="FootnoteReference"/>
        </w:rPr>
        <w:footnoteRef/>
      </w:r>
      <w:r>
        <w:rPr>
          <w:i/>
          <w:iCs/>
        </w:rPr>
        <w:t xml:space="preserve">3.15v</w:t>
      </w:r>
      <w:r>
        <w:t xml:space="preserve">.</w:t>
      </w:r>
    </w:p>
  </w:footnote>
  <w:footnote w:id="894">
    <w:p>
      <w:pPr>
        <w:pStyle w:val="FootnoteText"/>
      </w:pPr>
      <w:r>
        <w:rPr>
          <w:rStyle w:val="FootnoteReference"/>
        </w:rPr>
        <w:footnoteRef/>
      </w:r>
      <w:r>
        <w:rPr>
          <w:i/>
          <w:iCs/>
        </w:rPr>
        <w:t xml:space="preserve">(c.)</w:t>
      </w:r>
      <w:r>
        <w:t xml:space="preserve">.</w:t>
      </w:r>
    </w:p>
  </w:footnote>
  <w:footnote w:id="895">
    <w:p>
      <w:pPr>
        <w:pStyle w:val="FootnoteText"/>
      </w:pPr>
      <w:r>
        <w:rPr>
          <w:rStyle w:val="FootnoteReference"/>
        </w:rPr>
        <w:footnoteRef/>
      </w:r>
      <w:r>
        <w:rPr>
          <w:i/>
          <w:iCs/>
        </w:rPr>
        <w:t xml:space="preserve">3.16r</w:t>
      </w:r>
      <w:r>
        <w:t xml:space="preserve">.</w:t>
      </w:r>
    </w:p>
  </w:footnote>
  <w:footnote w:id="896">
    <w:p>
      <w:pPr>
        <w:pStyle w:val="FootnoteText"/>
      </w:pPr>
      <w:r>
        <w:rPr>
          <w:rStyle w:val="FootnoteReference"/>
        </w:rPr>
        <w:footnoteRef/>
      </w:r>
      <w:r>
        <w:rPr>
          <w:i/>
          <w:iCs/>
        </w:rPr>
        <w:t xml:space="preserve">3.16v</w:t>
      </w:r>
      <w:r>
        <w:t xml:space="preserve">.</w:t>
      </w:r>
    </w:p>
  </w:footnote>
  <w:footnote w:id="897">
    <w:p>
      <w:pPr>
        <w:pStyle w:val="FootnoteText"/>
      </w:pPr>
      <w:r>
        <w:rPr>
          <w:rStyle w:val="FootnoteReference"/>
        </w:rPr>
        <w:footnoteRef/>
      </w:r>
      <w:r>
        <w:t xml:space="preserve">See Acts 2:9–11.</w:t>
      </w:r>
    </w:p>
  </w:footnote>
  <w:footnote w:id="898">
    <w:p>
      <w:pPr>
        <w:pStyle w:val="FootnoteText"/>
      </w:pPr>
      <w:r>
        <w:rPr>
          <w:rStyle w:val="FootnoteReference"/>
        </w:rPr>
        <w:footnoteRef/>
      </w:r>
      <w:r>
        <w:rPr>
          <w:i/>
          <w:iCs/>
        </w:rPr>
        <w:t xml:space="preserve">(d.)</w:t>
      </w:r>
      <w:r>
        <w:t xml:space="preserve">.</w:t>
      </w:r>
    </w:p>
  </w:footnote>
  <w:footnote w:id="899">
    <w:p>
      <w:pPr>
        <w:pStyle w:val="FootnoteText"/>
      </w:pPr>
      <w:r>
        <w:rPr>
          <w:rStyle w:val="FootnoteReference"/>
        </w:rPr>
        <w:footnoteRef/>
      </w:r>
      <w:r>
        <w:rPr>
          <w:i/>
          <w:iCs/>
        </w:rPr>
        <w:t xml:space="preserve">3.17r</w:t>
      </w:r>
      <w:r>
        <w:t xml:space="preserve">.</w:t>
      </w:r>
    </w:p>
  </w:footnote>
  <w:footnote w:id="900">
    <w:p>
      <w:pPr>
        <w:pStyle w:val="FootnoteText"/>
      </w:pPr>
      <w:r>
        <w:rPr>
          <w:rStyle w:val="FootnoteReference"/>
        </w:rPr>
        <w:footnoteRef/>
      </w:r>
      <w:r>
        <w:t xml:space="preserve">E.g. Acts 13:42–50.</w:t>
      </w:r>
    </w:p>
  </w:footnote>
  <w:footnote w:id="901">
    <w:p>
      <w:pPr>
        <w:pStyle w:val="FootnoteText"/>
      </w:pPr>
      <w:r>
        <w:rPr>
          <w:rStyle w:val="FootnoteReference"/>
        </w:rPr>
        <w:footnoteRef/>
      </w:r>
      <w:r>
        <w:rPr>
          <w:i/>
          <w:iCs/>
        </w:rPr>
        <w:t xml:space="preserve">3.17v</w:t>
      </w:r>
      <w:r>
        <w:t xml:space="preserve">.</w:t>
      </w:r>
    </w:p>
  </w:footnote>
  <w:footnote w:id="902">
    <w:p>
      <w:pPr>
        <w:pStyle w:val="FootnoteText"/>
      </w:pPr>
      <w:r>
        <w:rPr>
          <w:rStyle w:val="FootnoteReference"/>
        </w:rPr>
        <w:footnoteRef/>
      </w:r>
      <w:r>
        <w:rPr>
          <w:i/>
          <w:iCs/>
        </w:rPr>
        <w:t xml:space="preserve">b</w:t>
      </w:r>
      <w:r>
        <w:t xml:space="preserve">.</w:t>
      </w:r>
    </w:p>
  </w:footnote>
  <w:footnote w:id="903">
    <w:p>
      <w:pPr>
        <w:pStyle w:val="FootnoteText"/>
      </w:pPr>
      <w:r>
        <w:rPr>
          <w:rStyle w:val="FootnoteReference"/>
        </w:rPr>
        <w:footnoteRef/>
      </w:r>
      <w:r>
        <w:rPr>
          <w:i/>
          <w:iCs/>
        </w:rPr>
        <w:t xml:space="preserve">3.18r</w:t>
      </w:r>
      <w:r>
        <w:t xml:space="preserve">.</w:t>
      </w:r>
    </w:p>
  </w:footnote>
  <w:footnote w:id="904">
    <w:p>
      <w:pPr>
        <w:pStyle w:val="FootnoteText"/>
      </w:pPr>
      <w:r>
        <w:rPr>
          <w:rStyle w:val="FootnoteReference"/>
        </w:rPr>
        <w:footnoteRef/>
      </w:r>
      <w:r>
        <w:t xml:space="preserve">At this point JE reorders sections of his text on this leaf.</w:t>
      </w:r>
    </w:p>
  </w:footnote>
  <w:footnote w:id="905">
    <w:p>
      <w:pPr>
        <w:pStyle w:val="FootnoteText"/>
      </w:pPr>
      <w:r>
        <w:rPr>
          <w:rStyle w:val="FootnoteReference"/>
        </w:rPr>
        <w:footnoteRef/>
      </w:r>
      <w:r>
        <w:t xml:space="preserve">Several words interlineated by JE suggest that he intended to quote parts of this passage from Daniel.</w:t>
      </w:r>
    </w:p>
  </w:footnote>
  <w:footnote w:id="906">
    <w:p>
      <w:pPr>
        <w:pStyle w:val="FootnoteText"/>
      </w:pPr>
      <w:r>
        <w:rPr>
          <w:rStyle w:val="FootnoteReference"/>
        </w:rPr>
        <w:footnoteRef/>
      </w:r>
      <w:r>
        <w:rPr>
          <w:i/>
          <w:iCs/>
        </w:rPr>
        <w:t xml:space="preserve">3.18v</w:t>
      </w:r>
      <w:r>
        <w:t xml:space="preserve">.</w:t>
      </w:r>
    </w:p>
  </w:footnote>
  <w:footnote w:id="907">
    <w:p>
      <w:pPr>
        <w:pStyle w:val="FootnoteText"/>
      </w:pPr>
      <w:r>
        <w:rPr>
          <w:rStyle w:val="FootnoteReference"/>
        </w:rPr>
        <w:footnoteRef/>
      </w:r>
      <w:r>
        <w:rPr>
          <w:i/>
          <w:iCs/>
        </w:rPr>
        <w:t xml:space="preserve">3.18r</w:t>
      </w:r>
      <w:r>
        <w:t xml:space="preserve">. JE returns from verso to recto of the leaf to pick up his text where he broke off above.</w:t>
      </w:r>
    </w:p>
  </w:footnote>
  <w:footnote w:id="908">
    <w:p>
      <w:pPr>
        <w:pStyle w:val="FootnoteText"/>
      </w:pPr>
      <w:r>
        <w:rPr>
          <w:rStyle w:val="FootnoteReference"/>
        </w:rPr>
        <w:footnoteRef/>
      </w:r>
      <w:r>
        <w:rPr>
          <w:i/>
          <w:iCs/>
        </w:rPr>
        <w:t xml:space="preserve">3.18v</w:t>
      </w:r>
      <w:r>
        <w:t xml:space="preserve">. JE here moves to the verso of the leaf, skipping over previously developed material.</w:t>
      </w:r>
    </w:p>
  </w:footnote>
  <w:footnote w:id="909">
    <w:p>
      <w:pPr>
        <w:pStyle w:val="FootnoteText"/>
      </w:pPr>
      <w:r>
        <w:rPr>
          <w:rStyle w:val="FootnoteReference"/>
        </w:rPr>
        <w:footnoteRef/>
      </w:r>
      <w:r>
        <w:t xml:space="preserve">Daniel 9:24–25.</w:t>
      </w:r>
    </w:p>
  </w:footnote>
  <w:footnote w:id="910">
    <w:p>
      <w:pPr>
        <w:pStyle w:val="FootnoteText"/>
      </w:pPr>
      <w:r>
        <w:rPr>
          <w:rStyle w:val="FootnoteReference"/>
        </w:rPr>
        <w:footnoteRef/>
      </w:r>
      <w:r>
        <w:t xml:space="preserve">Ezra 7:8–26.</w:t>
      </w:r>
    </w:p>
  </w:footnote>
  <w:footnote w:id="911">
    <w:p>
      <w:pPr>
        <w:pStyle w:val="FootnoteText"/>
      </w:pPr>
      <w:r>
        <w:rPr>
          <w:rStyle w:val="FootnoteReference"/>
        </w:rPr>
        <w:footnoteRef/>
      </w:r>
      <w:r>
        <w:rPr>
          <w:i/>
          <w:iCs/>
        </w:rPr>
        <w:t xml:space="preserve">5. 3.21r</w:t>
      </w:r>
      <w:r>
        <w:t xml:space="preserve">. The booklet includes a folded sheet at this point. The outside of the sheet, which forms recto, first leaf (</w:t>
      </w:r>
      <w:r>
        <w:rPr>
          <w:i/>
          <w:iCs/>
        </w:rPr>
        <w:t xml:space="preserve">3.19r</w:t>
      </w:r>
      <w:r>
        <w:t xml:space="preserve">) and verso, second leaf (</w:t>
      </w:r>
      <w:r>
        <w:rPr>
          <w:i/>
          <w:iCs/>
        </w:rPr>
        <w:t xml:space="preserve">3.20v</w:t>
      </w:r>
      <w:r>
        <w:t xml:space="preserve">), appears to have been a paper on which aphorisms or pious mottos were inscribed and contains the name Sarah Edwards. Verso, first leaf (</w:t>
      </w:r>
      <w:r>
        <w:rPr>
          <w:i/>
          <w:iCs/>
        </w:rPr>
        <w:t xml:space="preserve">3.19v</w:t>
      </w:r>
      <w:r>
        <w:t xml:space="preserve">) and recto, second leaf (</w:t>
      </w:r>
      <w:r>
        <w:rPr>
          <w:i/>
          <w:iCs/>
        </w:rPr>
        <w:t xml:space="preserve">3.20r</w:t>
      </w:r>
      <w:r>
        <w:t xml:space="preserve">), which have no direct bearing on our text at this point, are by JE and read as follows: 3. There was a remarkable pouring out of the Spirit on the younger generation in Babylon. See Jeremiah 24:7.… See Lamentations 3:27 etc. The old generation were like the stiffnecked generation in this world also, as proved by many passages in Ezekiel. Many prophecies speak of that apostasy and means for this judgment. Prophecies of their return are often accompanied with prophecies of their repentance and having a new heart etc. Promises of return out of captivity in the books of Moses are made to repentance, See Deuteronomy 30 at the beginning, Leviticus 26:9, etc.… So in Solomon's reign at the dedication of that temple, shows this to be the condition [</w:t>
      </w:r>
      <w:r>
        <w:rPr>
          <w:i/>
          <w:iCs/>
        </w:rPr>
        <w:t xml:space="preserve">3.20r</w:t>
      </w:r>
      <w:r>
        <w:t xml:space="preserve">] and the history of that generation, as Ezra and Nehemiah shows 'em to be a penitent and pious generation. Their repentance especially of their idolatry, the main sin of which they been carried apostate, was so thorough that they then reformed, confirmed all their posterity as a great abhorrence and end of this sin.</w:t>
      </w:r>
    </w:p>
  </w:footnote>
  <w:footnote w:id="912">
    <w:p>
      <w:pPr>
        <w:pStyle w:val="FootnoteText"/>
      </w:pPr>
      <w:r>
        <w:rPr>
          <w:rStyle w:val="FootnoteReference"/>
        </w:rPr>
        <w:footnoteRef/>
      </w:r>
      <w:r>
        <w:t xml:space="preserve">See Daniel 7:9–12. For a discussion of JE's apocalyptic interests and interpretations, which include these chapters in Daniel, see </w:t>
      </w:r>
      <w:r>
        <w:rPr>
          <w:i/>
          <w:iCs/>
        </w:rPr>
        <w:t xml:space="preserve">Works</w:t>
      </w:r>
      <w:r>
        <w:t xml:space="preserve"> (Yale ed.), </w:t>
      </w:r>
      <w:r>
        <w:rPr>
          <w:i/>
          <w:iCs/>
        </w:rPr>
        <w:t xml:space="preserve">5</w:t>
      </w:r>
      <w:r>
        <w:t xml:space="preserve"> (1977), </w:t>
      </w:r>
      <w:r>
        <w:rPr>
          <w:i/>
          <w:iCs/>
        </w:rPr>
        <w:t xml:space="preserve">Apocalyptic Writings</w:t>
      </w:r>
      <w:r>
        <w:t xml:space="preserve">, ed. Stephen J. Stein, texts and editor's introduction.</w:t>
      </w:r>
    </w:p>
  </w:footnote>
  <w:footnote w:id="913">
    <w:p>
      <w:pPr>
        <w:pStyle w:val="FootnoteText"/>
      </w:pPr>
      <w:r>
        <w:rPr>
          <w:rStyle w:val="FootnoteReference"/>
        </w:rPr>
        <w:footnoteRef/>
      </w:r>
      <w:r>
        <w:rPr>
          <w:i/>
          <w:iCs/>
        </w:rPr>
        <w:t xml:space="preserve">c</w:t>
      </w:r>
      <w:r>
        <w:t xml:space="preserve">.</w:t>
      </w:r>
    </w:p>
  </w:footnote>
  <w:footnote w:id="914">
    <w:p>
      <w:pPr>
        <w:pStyle w:val="FootnoteText"/>
      </w:pPr>
      <w:r>
        <w:rPr>
          <w:rStyle w:val="FootnoteReference"/>
        </w:rPr>
        <w:footnoteRef/>
      </w:r>
      <w:r>
        <w:rPr>
          <w:i/>
          <w:iCs/>
        </w:rPr>
        <w:t xml:space="preserve">3.21v</w:t>
      </w:r>
      <w:r>
        <w:t xml:space="preserve">.</w:t>
      </w:r>
    </w:p>
  </w:footnote>
  <w:footnote w:id="915">
    <w:p>
      <w:pPr>
        <w:pStyle w:val="FootnoteText"/>
      </w:pPr>
      <w:r>
        <w:rPr>
          <w:rStyle w:val="FootnoteReference"/>
        </w:rPr>
        <w:footnoteRef/>
      </w:r>
      <w:r>
        <w:t xml:space="preserve">The specific citation is Isaiah 44:28.</w:t>
      </w:r>
    </w:p>
  </w:footnote>
  <w:footnote w:id="916">
    <w:p>
      <w:pPr>
        <w:pStyle w:val="FootnoteText"/>
      </w:pPr>
      <w:r>
        <w:rPr>
          <w:rStyle w:val="FootnoteReference"/>
        </w:rPr>
        <w:footnoteRef/>
      </w:r>
      <w:r>
        <w:t xml:space="preserve">JE here leaves blank space for three or four lines, which may indicate that he began to draft the following section before completing this one.</w:t>
      </w:r>
    </w:p>
  </w:footnote>
  <w:footnote w:id="917">
    <w:p>
      <w:pPr>
        <w:pStyle w:val="FootnoteText"/>
      </w:pPr>
      <w:r>
        <w:rPr>
          <w:rStyle w:val="FootnoteReference"/>
        </w:rPr>
        <w:footnoteRef/>
      </w:r>
      <w:r>
        <w:rPr>
          <w:i/>
          <w:iCs/>
        </w:rPr>
        <w:t xml:space="preserve">3.22r</w:t>
      </w:r>
      <w:r>
        <w:t xml:space="preserve">.</w:t>
      </w:r>
    </w:p>
  </w:footnote>
  <w:footnote w:id="918">
    <w:p>
      <w:pPr>
        <w:pStyle w:val="FootnoteText"/>
      </w:pPr>
      <w:r>
        <w:rPr>
          <w:rStyle w:val="FootnoteReference"/>
        </w:rPr>
        <w:footnoteRef/>
      </w:r>
      <w:r>
        <w:rPr>
          <w:i/>
          <w:iCs/>
        </w:rPr>
        <w:t xml:space="preserve">d</w:t>
      </w:r>
      <w:r>
        <w:t xml:space="preserve">.</w:t>
      </w:r>
    </w:p>
  </w:footnote>
  <w:footnote w:id="919">
    <w:p>
      <w:pPr>
        <w:pStyle w:val="FootnoteText"/>
      </w:pPr>
      <w:r>
        <w:rPr>
          <w:rStyle w:val="FootnoteReference"/>
        </w:rPr>
        <w:footnoteRef/>
      </w:r>
      <w:r>
        <w:t xml:space="preserve">Ezra 1; 3.</w:t>
      </w:r>
    </w:p>
  </w:footnote>
  <w:footnote w:id="920">
    <w:p>
      <w:pPr>
        <w:pStyle w:val="FootnoteText"/>
      </w:pPr>
      <w:r>
        <w:rPr>
          <w:rStyle w:val="FootnoteReference"/>
        </w:rPr>
        <w:footnoteRef/>
      </w:r>
      <w:r>
        <w:rPr>
          <w:i/>
          <w:iCs/>
        </w:rPr>
        <w:t xml:space="preserve">3.22v</w:t>
      </w:r>
      <w:r>
        <w:t xml:space="preserve">.</w:t>
      </w:r>
    </w:p>
  </w:footnote>
  <w:footnote w:id="921">
    <w:p>
      <w:pPr>
        <w:pStyle w:val="FootnoteText"/>
      </w:pPr>
      <w:r>
        <w:rPr>
          <w:rStyle w:val="FootnoteReference"/>
        </w:rPr>
        <w:footnoteRef/>
      </w:r>
      <w:r>
        <w:t xml:space="preserve">See Ezra 6:1–12.</w:t>
      </w:r>
    </w:p>
  </w:footnote>
  <w:footnote w:id="922">
    <w:p>
      <w:pPr>
        <w:pStyle w:val="FootnoteText"/>
      </w:pPr>
      <w:r>
        <w:rPr>
          <w:rStyle w:val="FootnoteReference"/>
        </w:rPr>
        <w:footnoteRef/>
      </w:r>
      <w:r>
        <w:rPr>
          <w:i/>
          <w:iCs/>
        </w:rPr>
        <w:t xml:space="preserve">3.23r</w:t>
      </w:r>
      <w:r>
        <w:t xml:space="preserve">.</w:t>
      </w:r>
    </w:p>
  </w:footnote>
  <w:footnote w:id="923">
    <w:p>
      <w:pPr>
        <w:pStyle w:val="FootnoteText"/>
      </w:pPr>
      <w:r>
        <w:rPr>
          <w:rStyle w:val="FootnoteReference"/>
        </w:rPr>
        <w:footnoteRef/>
      </w:r>
      <w:r>
        <w:t xml:space="preserve">See Ezra 7:21–24.</w:t>
      </w:r>
    </w:p>
  </w:footnote>
  <w:footnote w:id="924">
    <w:p>
      <w:pPr>
        <w:pStyle w:val="FootnoteText"/>
      </w:pPr>
      <w:r>
        <w:rPr>
          <w:rStyle w:val="FootnoteReference"/>
        </w:rPr>
        <w:footnoteRef/>
      </w:r>
      <w:r>
        <w:t xml:space="preserve">Daniel 9:25.</w:t>
      </w:r>
    </w:p>
  </w:footnote>
  <w:footnote w:id="925">
    <w:p>
      <w:pPr>
        <w:pStyle w:val="FootnoteText"/>
      </w:pPr>
      <w:r>
        <w:rPr>
          <w:rStyle w:val="FootnoteReference"/>
        </w:rPr>
        <w:footnoteRef/>
      </w:r>
      <w:r>
        <w:t xml:space="preserve">JE paraphrases Proverbs 21:1 and indicates intent to use more of verse.</w:t>
      </w:r>
    </w:p>
  </w:footnote>
  <w:footnote w:id="926">
    <w:p>
      <w:pPr>
        <w:pStyle w:val="FootnoteText"/>
      </w:pPr>
      <w:r>
        <w:rPr>
          <w:rStyle w:val="FootnoteReference"/>
        </w:rPr>
        <w:footnoteRef/>
      </w:r>
      <w:r>
        <w:rPr>
          <w:i/>
          <w:iCs/>
        </w:rPr>
        <w:t xml:space="preserve">3.23v</w:t>
      </w:r>
      <w:r>
        <w:t xml:space="preserve">.</w:t>
      </w:r>
    </w:p>
  </w:footnote>
  <w:footnote w:id="927">
    <w:p>
      <w:pPr>
        <w:pStyle w:val="FootnoteText"/>
      </w:pPr>
      <w:r>
        <w:rPr>
          <w:rStyle w:val="FootnoteReference"/>
        </w:rPr>
        <w:footnoteRef/>
      </w:r>
      <w:r>
        <w:t xml:space="preserve">Ezra 4:7–8.</w:t>
      </w:r>
    </w:p>
  </w:footnote>
  <w:footnote w:id="928">
    <w:p>
      <w:pPr>
        <w:pStyle w:val="FootnoteText"/>
      </w:pPr>
      <w:r>
        <w:rPr>
          <w:rStyle w:val="FootnoteReference"/>
        </w:rPr>
        <w:footnoteRef/>
      </w:r>
      <w:r>
        <w:t xml:space="preserve">Ezra 5:3.</w:t>
      </w:r>
    </w:p>
  </w:footnote>
  <w:footnote w:id="929">
    <w:p>
      <w:pPr>
        <w:pStyle w:val="FootnoteText"/>
      </w:pPr>
      <w:r>
        <w:rPr>
          <w:rStyle w:val="FootnoteReference"/>
        </w:rPr>
        <w:footnoteRef/>
      </w:r>
      <w:r>
        <w:t xml:space="preserve">Nehemiah 2:19; Nehemiah 4:1–12; Nehemiah 6:1–16.</w:t>
      </w:r>
    </w:p>
  </w:footnote>
  <w:footnote w:id="930">
    <w:p>
      <w:pPr>
        <w:pStyle w:val="FootnoteText"/>
      </w:pPr>
      <w:r>
        <w:rPr>
          <w:rStyle w:val="FootnoteReference"/>
        </w:rPr>
        <w:footnoteRef/>
      </w:r>
      <w:r>
        <w:rPr>
          <w:i/>
          <w:iCs/>
        </w:rPr>
        <w:t xml:space="preserve">3.24r</w:t>
      </w:r>
      <w:r>
        <w:t xml:space="preserve">.</w:t>
      </w:r>
    </w:p>
  </w:footnote>
  <w:footnote w:id="931">
    <w:p>
      <w:pPr>
        <w:pStyle w:val="FootnoteText"/>
      </w:pPr>
      <w:r>
        <w:rPr>
          <w:rStyle w:val="FootnoteReference"/>
        </w:rPr>
        <w:footnoteRef/>
      </w:r>
      <w:r>
        <w:t xml:space="preserve">See Haggai 2:1–4 and Zechariah 3:8–10. At this point, JE leaves unused a section of the leaf that would allow for three or four lines in his hand.</w:t>
      </w:r>
    </w:p>
  </w:footnote>
  <w:footnote w:id="932">
    <w:p>
      <w:pPr>
        <w:pStyle w:val="FootnoteText"/>
      </w:pPr>
      <w:r>
        <w:rPr>
          <w:rStyle w:val="FootnoteReference"/>
        </w:rPr>
        <w:footnoteRef/>
      </w:r>
      <w:r>
        <w:rPr>
          <w:i/>
          <w:iCs/>
        </w:rPr>
        <w:t xml:space="preserve">e</w:t>
      </w:r>
      <w:r>
        <w:t xml:space="preserve">.</w:t>
      </w:r>
    </w:p>
  </w:footnote>
  <w:footnote w:id="933">
    <w:p>
      <w:pPr>
        <w:pStyle w:val="FootnoteText"/>
      </w:pPr>
      <w:r>
        <w:rPr>
          <w:rStyle w:val="FootnoteReference"/>
        </w:rPr>
        <w:footnoteRef/>
      </w:r>
      <w:r>
        <w:rPr>
          <w:i/>
          <w:iCs/>
        </w:rPr>
        <w:t xml:space="preserve">3.24v</w:t>
      </w:r>
      <w:r>
        <w:t xml:space="preserve">.</w:t>
      </w:r>
    </w:p>
  </w:footnote>
  <w:footnote w:id="934">
    <w:p>
      <w:pPr>
        <w:pStyle w:val="FootnoteText"/>
      </w:pPr>
      <w:r>
        <w:rPr>
          <w:rStyle w:val="FootnoteReference"/>
        </w:rPr>
        <w:footnoteRef/>
      </w:r>
      <w:r>
        <w:t xml:space="preserve">Haggai 2:23. This sentence is an interlineation.</w:t>
      </w:r>
    </w:p>
  </w:footnote>
  <w:footnote w:id="935">
    <w:p>
      <w:pPr>
        <w:pStyle w:val="FootnoteText"/>
      </w:pPr>
      <w:r>
        <w:rPr>
          <w:rStyle w:val="FootnoteReference"/>
        </w:rPr>
        <w:footnoteRef/>
      </w:r>
      <w:r>
        <w:rPr>
          <w:i/>
          <w:iCs/>
        </w:rPr>
        <w:t xml:space="preserve">f</w:t>
      </w:r>
      <w:r>
        <w:t xml:space="preserve">.</w:t>
      </w:r>
    </w:p>
  </w:footnote>
  <w:footnote w:id="936">
    <w:p>
      <w:pPr>
        <w:pStyle w:val="FootnoteText"/>
      </w:pPr>
      <w:r>
        <w:rPr>
          <w:rStyle w:val="FootnoteReference"/>
        </w:rPr>
        <w:footnoteRef/>
      </w:r>
      <w:r>
        <w:t xml:space="preserve">Ezra 10:1–5.</w:t>
      </w:r>
    </w:p>
  </w:footnote>
  <w:footnote w:id="937">
    <w:p>
      <w:pPr>
        <w:pStyle w:val="FootnoteText"/>
      </w:pPr>
      <w:r>
        <w:rPr>
          <w:rStyle w:val="FootnoteReference"/>
        </w:rPr>
        <w:footnoteRef/>
      </w:r>
      <w:r>
        <w:rPr>
          <w:i/>
          <w:iCs/>
        </w:rPr>
        <w:t xml:space="preserve">3.25r</w:t>
      </w:r>
      <w:r>
        <w:t xml:space="preserve">.</w:t>
      </w:r>
    </w:p>
  </w:footnote>
  <w:footnote w:id="938">
    <w:p>
      <w:pPr>
        <w:pStyle w:val="FootnoteText"/>
      </w:pPr>
      <w:r>
        <w:rPr>
          <w:rStyle w:val="FootnoteReference"/>
        </w:rPr>
        <w:footnoteRef/>
      </w:r>
      <w:r>
        <w:t xml:space="preserve">Ezra 10:6–14.</w:t>
      </w:r>
    </w:p>
  </w:footnote>
  <w:footnote w:id="939">
    <w:p>
      <w:pPr>
        <w:pStyle w:val="FootnoteText"/>
      </w:pPr>
      <w:r>
        <w:rPr>
          <w:rStyle w:val="FootnoteReference"/>
        </w:rPr>
        <w:footnoteRef/>
      </w:r>
      <w:r>
        <w:t xml:space="preserve">Nehemiah 8.</w:t>
      </w:r>
    </w:p>
  </w:footnote>
  <w:footnote w:id="940">
    <w:p>
      <w:pPr>
        <w:pStyle w:val="FootnoteText"/>
      </w:pPr>
      <w:r>
        <w:rPr>
          <w:rStyle w:val="FootnoteReference"/>
        </w:rPr>
        <w:footnoteRef/>
      </w:r>
      <w:r>
        <w:t xml:space="preserve">Nehemiah 9:1–3.</w:t>
      </w:r>
    </w:p>
  </w:footnote>
  <w:footnote w:id="941">
    <w:p>
      <w:pPr>
        <w:pStyle w:val="FootnoteText"/>
      </w:pPr>
      <w:r>
        <w:rPr>
          <w:rStyle w:val="FootnoteReference"/>
        </w:rPr>
        <w:footnoteRef/>
      </w:r>
      <w:r>
        <w:t xml:space="preserve">Nehemiah 10:29.</w:t>
      </w:r>
    </w:p>
  </w:footnote>
  <w:footnote w:id="942">
    <w:p>
      <w:pPr>
        <w:pStyle w:val="FootnoteText"/>
      </w:pPr>
      <w:r>
        <w:rPr>
          <w:rStyle w:val="FootnoteReference"/>
        </w:rPr>
        <w:footnoteRef/>
      </w:r>
      <w:r>
        <w:t xml:space="preserve">Nehemiah 13:19–31.</w:t>
      </w:r>
    </w:p>
  </w:footnote>
  <w:footnote w:id="943">
    <w:p>
      <w:pPr>
        <w:pStyle w:val="FootnoteText"/>
      </w:pPr>
      <w:r>
        <w:rPr>
          <w:rStyle w:val="FootnoteReference"/>
        </w:rPr>
        <w:footnoteRef/>
      </w:r>
      <w:r>
        <w:rPr>
          <w:i/>
          <w:iCs/>
        </w:rPr>
        <w:t xml:space="preserve">3.25v</w:t>
      </w:r>
      <w:r>
        <w:t xml:space="preserve">.</w:t>
      </w:r>
    </w:p>
  </w:footnote>
  <w:footnote w:id="944">
    <w:p>
      <w:pPr>
        <w:pStyle w:val="FootnoteText"/>
      </w:pPr>
      <w:r>
        <w:rPr>
          <w:rStyle w:val="FootnoteReference"/>
        </w:rPr>
        <w:footnoteRef/>
      </w:r>
      <w:r>
        <w:rPr>
          <w:i/>
          <w:iCs/>
        </w:rPr>
        <w:t xml:space="preserve">g</w:t>
      </w:r>
      <w:r>
        <w:t xml:space="preserve">. JE's text numbers this section 6, thus repeating the number of the preceding section, and the sequence thus continues misnumbered by one until the end of Sermon 12. The numerical sequence given here is corrected.</w:t>
      </w:r>
    </w:p>
  </w:footnote>
  <w:footnote w:id="945">
    <w:p>
      <w:pPr>
        <w:pStyle w:val="FootnoteText"/>
      </w:pPr>
      <w:r>
        <w:rPr>
          <w:rStyle w:val="FootnoteReference"/>
        </w:rPr>
        <w:footnoteRef/>
      </w:r>
      <w:r>
        <w:rPr>
          <w:i/>
          <w:iCs/>
        </w:rPr>
        <w:t xml:space="preserve">3.26r</w:t>
      </w:r>
      <w:r>
        <w:t xml:space="preserve">. Leaf breaks at "con."</w:t>
      </w:r>
    </w:p>
  </w:footnote>
  <w:footnote w:id="946">
    <w:p>
      <w:pPr>
        <w:pStyle w:val="FootnoteText"/>
      </w:pPr>
      <w:r>
        <w:rPr>
          <w:rStyle w:val="FootnoteReference"/>
        </w:rPr>
        <w:footnoteRef/>
      </w:r>
      <w:r>
        <w:t xml:space="preserve">1 Chronicles 9:1.</w:t>
      </w:r>
    </w:p>
  </w:footnote>
  <w:footnote w:id="947">
    <w:p>
      <w:pPr>
        <w:pStyle w:val="FootnoteText"/>
      </w:pPr>
      <w:r>
        <w:rPr>
          <w:rStyle w:val="FootnoteReference"/>
        </w:rPr>
        <w:footnoteRef/>
      </w:r>
      <w:r>
        <w:t xml:space="preserve">Cf. 2 Chronicles 36:22–23 and Ezra 1:1–2.</w:t>
      </w:r>
    </w:p>
  </w:footnote>
  <w:footnote w:id="948">
    <w:p>
      <w:pPr>
        <w:pStyle w:val="FootnoteText"/>
      </w:pPr>
      <w:r>
        <w:rPr>
          <w:rStyle w:val="FootnoteReference"/>
        </w:rPr>
        <w:footnoteRef/>
      </w:r>
      <w:r>
        <w:rPr>
          <w:i/>
          <w:iCs/>
        </w:rPr>
        <w:t xml:space="preserve">h</w:t>
      </w:r>
      <w:r>
        <w:t xml:space="preserve">. JE's text reads 7.</w:t>
      </w:r>
    </w:p>
  </w:footnote>
  <w:footnote w:id="949">
    <w:p>
      <w:pPr>
        <w:pStyle w:val="FootnoteText"/>
      </w:pPr>
      <w:r>
        <w:rPr>
          <w:rStyle w:val="FootnoteReference"/>
        </w:rPr>
        <w:footnoteRef/>
      </w:r>
      <w:r>
        <w:rPr>
          <w:i/>
          <w:iCs/>
        </w:rPr>
        <w:t xml:space="preserve">3.26v</w:t>
      </w:r>
      <w:r>
        <w:t xml:space="preserve">.</w:t>
      </w:r>
    </w:p>
  </w:footnote>
  <w:footnote w:id="950">
    <w:p>
      <w:pPr>
        <w:pStyle w:val="FootnoteText"/>
      </w:pPr>
      <w:r>
        <w:rPr>
          <w:rStyle w:val="FootnoteReference"/>
        </w:rPr>
        <w:footnoteRef/>
      </w:r>
      <w:r>
        <w:t xml:space="preserve">Among other passages, JE may have in mind Nehemiah 8:1–8.</w:t>
      </w:r>
    </w:p>
  </w:footnote>
  <w:footnote w:id="951">
    <w:p>
      <w:pPr>
        <w:pStyle w:val="FootnoteText"/>
      </w:pPr>
      <w:r>
        <w:rPr>
          <w:rStyle w:val="FootnoteReference"/>
        </w:rPr>
        <w:footnoteRef/>
      </w:r>
      <w:r>
        <w:rPr>
          <w:i/>
          <w:iCs/>
        </w:rPr>
        <w:t xml:space="preserve">i</w:t>
      </w:r>
      <w:r>
        <w:t xml:space="preserve">. JE's text reads 8.</w:t>
      </w:r>
    </w:p>
  </w:footnote>
  <w:footnote w:id="952">
    <w:p>
      <w:pPr>
        <w:pStyle w:val="FootnoteText"/>
      </w:pPr>
      <w:r>
        <w:rPr>
          <w:rStyle w:val="FootnoteReference"/>
        </w:rPr>
        <w:footnoteRef/>
      </w:r>
      <w:r>
        <w:t xml:space="preserve">This clause is necessary to express JE's obvious meaning.</w:t>
      </w:r>
    </w:p>
  </w:footnote>
  <w:footnote w:id="953">
    <w:p>
      <w:pPr>
        <w:pStyle w:val="FootnoteText"/>
      </w:pPr>
      <w:r>
        <w:rPr>
          <w:rStyle w:val="FootnoteReference"/>
        </w:rPr>
        <w:footnoteRef/>
      </w:r>
      <w:r>
        <w:t xml:space="preserve">Deuteronomy 17:18.</w:t>
      </w:r>
    </w:p>
  </w:footnote>
  <w:footnote w:id="954">
    <w:p>
      <w:pPr>
        <w:pStyle w:val="FootnoteText"/>
      </w:pPr>
      <w:r>
        <w:rPr>
          <w:rStyle w:val="FootnoteReference"/>
        </w:rPr>
        <w:footnoteRef/>
      </w:r>
      <w:r>
        <w:rPr>
          <w:i/>
          <w:iCs/>
        </w:rPr>
        <w:t xml:space="preserve">3.27r</w:t>
      </w:r>
      <w:r>
        <w:t xml:space="preserve">.</w:t>
      </w:r>
    </w:p>
  </w:footnote>
  <w:footnote w:id="955">
    <w:p>
      <w:pPr>
        <w:pStyle w:val="FootnoteText"/>
      </w:pPr>
      <w:r>
        <w:rPr>
          <w:rStyle w:val="FootnoteReference"/>
        </w:rPr>
        <w:footnoteRef/>
      </w:r>
      <w:r>
        <w:t xml:space="preserve">Deuteronomy 31:9–11.</w:t>
      </w:r>
    </w:p>
  </w:footnote>
  <w:footnote w:id="956">
    <w:p>
      <w:pPr>
        <w:pStyle w:val="FootnoteText"/>
      </w:pPr>
      <w:r>
        <w:rPr>
          <w:rStyle w:val="FootnoteReference"/>
        </w:rPr>
        <w:footnoteRef/>
      </w:r>
      <w:r>
        <w:t xml:space="preserve">JE has edited text; reading is uncertain.</w:t>
      </w:r>
    </w:p>
  </w:footnote>
  <w:footnote w:id="957">
    <w:p>
      <w:pPr>
        <w:pStyle w:val="FootnoteText"/>
      </w:pPr>
      <w:r>
        <w:rPr>
          <w:rStyle w:val="FootnoteReference"/>
        </w:rPr>
        <w:footnoteRef/>
      </w:r>
      <w:r>
        <w:rPr>
          <w:i/>
          <w:iCs/>
        </w:rPr>
        <w:t xml:space="preserve">3.27v</w:t>
      </w:r>
      <w:r>
        <w:t xml:space="preserve">.</w:t>
      </w:r>
    </w:p>
  </w:footnote>
  <w:footnote w:id="958">
    <w:p>
      <w:pPr>
        <w:pStyle w:val="FootnoteText"/>
      </w:pPr>
      <w:r>
        <w:rPr>
          <w:rStyle w:val="FootnoteReference"/>
        </w:rPr>
        <w:footnoteRef/>
      </w:r>
      <w:r>
        <w:t xml:space="preserve">This sentence is an interlineation.</w:t>
      </w:r>
    </w:p>
  </w:footnote>
  <w:footnote w:id="959">
    <w:p>
      <w:pPr>
        <w:pStyle w:val="FootnoteText"/>
      </w:pPr>
      <w:r>
        <w:rPr>
          <w:rStyle w:val="FootnoteReference"/>
        </w:rPr>
        <w:footnoteRef/>
      </w:r>
      <w:r>
        <w:rPr>
          <w:i/>
          <w:iCs/>
        </w:rPr>
        <w:t xml:space="preserve">j</w:t>
      </w:r>
      <w:r>
        <w:t xml:space="preserve">. JE's text reads 9.</w:t>
      </w:r>
    </w:p>
  </w:footnote>
  <w:footnote w:id="960">
    <w:p>
      <w:pPr>
        <w:pStyle w:val="FootnoteText"/>
      </w:pPr>
      <w:r>
        <w:rPr>
          <w:rStyle w:val="FootnoteReference"/>
        </w:rPr>
        <w:footnoteRef/>
      </w:r>
      <w:r>
        <w:rPr>
          <w:i/>
          <w:iCs/>
        </w:rPr>
        <w:t xml:space="preserve">k</w:t>
      </w:r>
      <w:r>
        <w:t xml:space="preserve">. JE's text reads 10.</w:t>
      </w:r>
    </w:p>
  </w:footnote>
  <w:footnote w:id="961">
    <w:p>
      <w:pPr>
        <w:pStyle w:val="FootnoteText"/>
      </w:pPr>
      <w:r>
        <w:rPr>
          <w:rStyle w:val="FootnoteReference"/>
        </w:rPr>
        <w:footnoteRef/>
      </w:r>
      <w:r>
        <w:rPr>
          <w:i/>
          <w:iCs/>
        </w:rPr>
        <w:t xml:space="preserve">3.28r</w:t>
      </w:r>
      <w:r>
        <w:t xml:space="preserve">.</w:t>
      </w:r>
    </w:p>
  </w:footnote>
  <w:footnote w:id="962">
    <w:p>
      <w:pPr>
        <w:pStyle w:val="FootnoteText"/>
      </w:pPr>
      <w:r>
        <w:rPr>
          <w:rStyle w:val="FootnoteReference"/>
        </w:rPr>
        <w:footnoteRef/>
      </w:r>
      <w:r>
        <w:rPr>
          <w:i/>
          <w:iCs/>
        </w:rPr>
        <w:t xml:space="preserve">l</w:t>
      </w:r>
      <w:r>
        <w:t xml:space="preserve">. JE's text reads 11.</w:t>
      </w:r>
    </w:p>
  </w:footnote>
  <w:footnote w:id="963">
    <w:p>
      <w:pPr>
        <w:pStyle w:val="FootnoteText"/>
      </w:pPr>
      <w:r>
        <w:rPr>
          <w:rStyle w:val="FootnoteReference"/>
        </w:rPr>
        <w:footnoteRef/>
      </w:r>
      <w:r>
        <w:t xml:space="preserve">JE partially deletes qualifier "immediately."</w:t>
      </w:r>
    </w:p>
  </w:footnote>
  <w:footnote w:id="964">
    <w:p>
      <w:pPr>
        <w:pStyle w:val="FootnoteText"/>
      </w:pPr>
      <w:r>
        <w:rPr>
          <w:rStyle w:val="FootnoteReference"/>
        </w:rPr>
        <w:footnoteRef/>
      </w:r>
      <w:r>
        <w:t xml:space="preserve">Malachi 4:2–3.</w:t>
      </w:r>
    </w:p>
  </w:footnote>
  <w:footnote w:id="965">
    <w:p>
      <w:pPr>
        <w:pStyle w:val="FootnoteText"/>
      </w:pPr>
      <w:r>
        <w:rPr>
          <w:rStyle w:val="FootnoteReference"/>
        </w:rPr>
        <w:footnoteRef/>
      </w:r>
      <w:r>
        <w:t xml:space="preserve">Malachi 4:4.</w:t>
      </w:r>
    </w:p>
  </w:footnote>
  <w:footnote w:id="966">
    <w:p>
      <w:pPr>
        <w:pStyle w:val="FootnoteText"/>
      </w:pPr>
      <w:r>
        <w:rPr>
          <w:rStyle w:val="FootnoteReference"/>
        </w:rPr>
        <w:footnoteRef/>
      </w:r>
      <w:r>
        <w:rPr>
          <w:i/>
          <w:iCs/>
        </w:rPr>
        <w:t xml:space="preserve">3.28v</w:t>
      </w:r>
      <w:r>
        <w:t xml:space="preserve">.</w:t>
      </w:r>
    </w:p>
  </w:footnote>
  <w:footnote w:id="967">
    <w:p>
      <w:pPr>
        <w:pStyle w:val="FootnoteText"/>
      </w:pPr>
      <w:r>
        <w:rPr>
          <w:rStyle w:val="FootnoteReference"/>
        </w:rPr>
        <w:footnoteRef/>
      </w:r>
      <w:r>
        <w:rPr>
          <w:i/>
          <w:iCs/>
        </w:rPr>
        <w:t xml:space="preserve">m</w:t>
      </w:r>
      <w:r>
        <w:t xml:space="preserve">. JE's text reads 12.</w:t>
      </w:r>
    </w:p>
  </w:footnote>
  <w:footnote w:id="968">
    <w:p>
      <w:pPr>
        <w:pStyle w:val="FootnoteText"/>
      </w:pPr>
      <w:r>
        <w:rPr>
          <w:rStyle w:val="FootnoteReference"/>
        </w:rPr>
        <w:footnoteRef/>
      </w:r>
      <w:r>
        <w:rPr>
          <w:i/>
          <w:iCs/>
        </w:rPr>
        <w:t xml:space="preserve">4.1r</w:t>
      </w:r>
      <w:r>
        <w:t xml:space="preserve">.</w:t>
      </w:r>
    </w:p>
  </w:footnote>
  <w:footnote w:id="969">
    <w:p>
      <w:pPr>
        <w:pStyle w:val="FootnoteText"/>
      </w:pPr>
      <w:r>
        <w:rPr>
          <w:rStyle w:val="FootnoteReference"/>
        </w:rPr>
        <w:footnoteRef/>
      </w:r>
      <w:r>
        <w:t xml:space="preserve">JE indicates intent to repeat the text and doctrine at the head of this sermon. It was probably preached in the forenoon, and the next in the afternoon, of the same day.</w:t>
      </w:r>
    </w:p>
  </w:footnote>
  <w:footnote w:id="970">
    <w:p>
      <w:pPr>
        <w:pStyle w:val="FootnoteText"/>
      </w:pPr>
      <w:r>
        <w:rPr>
          <w:rStyle w:val="FootnoteReference"/>
        </w:rPr>
        <w:footnoteRef/>
      </w:r>
      <w:r>
        <w:t xml:space="preserve">JE's enumeration of the points of this section included a repetition of point 6, f. in the rational table. JE's text reads 12.</w:t>
      </w:r>
    </w:p>
  </w:footnote>
  <w:footnote w:id="971">
    <w:p>
      <w:pPr>
        <w:pStyle w:val="FootnoteText"/>
      </w:pPr>
      <w:r>
        <w:rPr>
          <w:rStyle w:val="FootnoteReference"/>
        </w:rPr>
        <w:footnoteRef/>
      </w:r>
      <w:r>
        <w:rPr>
          <w:i/>
          <w:iCs/>
        </w:rPr>
        <w:t xml:space="preserve">n</w:t>
      </w:r>
      <w:r>
        <w:t xml:space="preserve">. JE's text reads 13.</w:t>
      </w:r>
    </w:p>
  </w:footnote>
  <w:footnote w:id="972">
    <w:p>
      <w:pPr>
        <w:pStyle w:val="FootnoteText"/>
      </w:pPr>
      <w:r>
        <w:rPr>
          <w:rStyle w:val="FootnoteReference"/>
        </w:rPr>
        <w:footnoteRef/>
      </w:r>
      <w:r>
        <w:rPr>
          <w:i/>
          <w:iCs/>
        </w:rPr>
        <w:t xml:space="preserve">4.1v</w:t>
      </w:r>
      <w:r>
        <w:t xml:space="preserve">.</w:t>
      </w:r>
    </w:p>
  </w:footnote>
  <w:footnote w:id="973">
    <w:p>
      <w:pPr>
        <w:pStyle w:val="FootnoteText"/>
      </w:pPr>
      <w:r>
        <w:rPr>
          <w:rStyle w:val="FootnoteReference"/>
        </w:rPr>
        <w:footnoteRef/>
      </w:r>
      <w:r>
        <w:t xml:space="preserve">JE's sentences are incomplete in this section; necessary words are inserted in brackets.</w:t>
      </w:r>
    </w:p>
  </w:footnote>
  <w:footnote w:id="974">
    <w:p>
      <w:pPr>
        <w:pStyle w:val="FootnoteText"/>
      </w:pPr>
      <w:r>
        <w:rPr>
          <w:rStyle w:val="FootnoteReference"/>
        </w:rPr>
        <w:footnoteRef/>
      </w:r>
      <w:r>
        <w:t xml:space="preserve">Daniel 2:31–45.</w:t>
      </w:r>
    </w:p>
  </w:footnote>
  <w:footnote w:id="975">
    <w:p>
      <w:pPr>
        <w:pStyle w:val="FootnoteText"/>
      </w:pPr>
      <w:r>
        <w:rPr>
          <w:rStyle w:val="FootnoteReference"/>
        </w:rPr>
        <w:footnoteRef/>
      </w:r>
      <w:r>
        <w:t xml:space="preserve">Daniel 7:6.</w:t>
      </w:r>
    </w:p>
  </w:footnote>
  <w:footnote w:id="976">
    <w:p>
      <w:pPr>
        <w:pStyle w:val="FootnoteText"/>
      </w:pPr>
      <w:r>
        <w:rPr>
          <w:rStyle w:val="FootnoteReference"/>
        </w:rPr>
        <w:footnoteRef/>
      </w:r>
      <w:r>
        <w:t xml:space="preserve">Daniel 8:5.</w:t>
      </w:r>
    </w:p>
  </w:footnote>
  <w:footnote w:id="977">
    <w:p>
      <w:pPr>
        <w:pStyle w:val="FootnoteText"/>
      </w:pPr>
      <w:r>
        <w:rPr>
          <w:rStyle w:val="FootnoteReference"/>
        </w:rPr>
        <w:footnoteRef/>
      </w:r>
      <w:r>
        <w:rPr>
          <w:i/>
          <w:iCs/>
        </w:rPr>
        <w:t xml:space="preserve">4.2r</w:t>
      </w:r>
      <w:r>
        <w:t xml:space="preserve">.</w:t>
      </w:r>
    </w:p>
  </w:footnote>
  <w:footnote w:id="978">
    <w:p>
      <w:pPr>
        <w:pStyle w:val="FootnoteText"/>
      </w:pPr>
      <w:r>
        <w:rPr>
          <w:rStyle w:val="FootnoteReference"/>
        </w:rPr>
        <w:footnoteRef/>
      </w:r>
      <w:r>
        <w:t xml:space="preserve">Daniel 8:22.</w:t>
      </w:r>
    </w:p>
  </w:footnote>
  <w:footnote w:id="979">
    <w:p>
      <w:pPr>
        <w:pStyle w:val="FootnoteText"/>
      </w:pPr>
      <w:r>
        <w:rPr>
          <w:rStyle w:val="FootnoteReference"/>
        </w:rPr>
        <w:footnoteRef/>
      </w:r>
      <w:r>
        <w:t xml:space="preserve">Daniel 11:9–15.</w:t>
      </w:r>
    </w:p>
  </w:footnote>
  <w:footnote w:id="980">
    <w:p>
      <w:pPr>
        <w:pStyle w:val="FootnoteText"/>
      </w:pPr>
      <w:r>
        <w:rPr>
          <w:rStyle w:val="FootnoteReference"/>
        </w:rPr>
        <w:footnoteRef/>
      </w:r>
      <w:r>
        <w:rPr>
          <w:i/>
          <w:iCs/>
        </w:rPr>
        <w:t xml:space="preserve">4.2v</w:t>
      </w:r>
      <w:r>
        <w:t xml:space="preserve">.</w:t>
      </w:r>
    </w:p>
  </w:footnote>
  <w:footnote w:id="981">
    <w:p>
      <w:pPr>
        <w:pStyle w:val="FootnoteText"/>
      </w:pPr>
      <w:r>
        <w:rPr>
          <w:rStyle w:val="FootnoteReference"/>
        </w:rPr>
        <w:footnoteRef/>
      </w:r>
      <w:r>
        <w:rPr>
          <w:i/>
          <w:iCs/>
        </w:rPr>
        <w:t xml:space="preserve">4.3r</w:t>
      </w:r>
      <w:r>
        <w:t xml:space="preserve">.</w:t>
      </w:r>
    </w:p>
  </w:footnote>
  <w:footnote w:id="982">
    <w:p>
      <w:pPr>
        <w:pStyle w:val="FootnoteText"/>
      </w:pPr>
      <w:r>
        <w:rPr>
          <w:rStyle w:val="FootnoteReference"/>
        </w:rPr>
        <w:footnoteRef/>
      </w:r>
      <w:r>
        <w:rPr>
          <w:i/>
          <w:iCs/>
        </w:rPr>
        <w:t xml:space="preserve">o</w:t>
      </w:r>
      <w:r>
        <w:t xml:space="preserve">. JE's text reads 14.</w:t>
      </w:r>
    </w:p>
  </w:footnote>
  <w:footnote w:id="983">
    <w:p>
      <w:pPr>
        <w:pStyle w:val="FootnoteText"/>
      </w:pPr>
      <w:r>
        <w:rPr>
          <w:rStyle w:val="FootnoteReference"/>
        </w:rPr>
        <w:footnoteRef/>
      </w:r>
      <w:r>
        <w:rPr>
          <w:i/>
          <w:iCs/>
        </w:rPr>
        <w:t xml:space="preserve">4.3v</w:t>
      </w:r>
      <w:r>
        <w:t xml:space="preserve">.</w:t>
      </w:r>
    </w:p>
  </w:footnote>
  <w:footnote w:id="984">
    <w:p>
      <w:pPr>
        <w:pStyle w:val="FootnoteText"/>
      </w:pPr>
      <w:r>
        <w:rPr>
          <w:rStyle w:val="FootnoteReference"/>
        </w:rPr>
        <w:footnoteRef/>
      </w:r>
      <w:r>
        <w:rPr>
          <w:i/>
          <w:iCs/>
        </w:rPr>
        <w:t xml:space="preserve">4.4r</w:t>
      </w:r>
      <w:r>
        <w:t xml:space="preserve">.</w:t>
      </w:r>
    </w:p>
  </w:footnote>
  <w:footnote w:id="985">
    <w:p>
      <w:pPr>
        <w:pStyle w:val="FootnoteText"/>
      </w:pPr>
      <w:r>
        <w:rPr>
          <w:rStyle w:val="FootnoteReference"/>
        </w:rPr>
        <w:footnoteRef/>
      </w:r>
      <w:r>
        <w:rPr>
          <w:i/>
          <w:iCs/>
        </w:rPr>
        <w:t xml:space="preserve">4.4v</w:t>
      </w:r>
      <w:r>
        <w:t xml:space="preserve">.</w:t>
      </w:r>
    </w:p>
  </w:footnote>
  <w:footnote w:id="986">
    <w:p>
      <w:pPr>
        <w:pStyle w:val="FootnoteText"/>
      </w:pPr>
      <w:r>
        <w:rPr>
          <w:rStyle w:val="FootnoteReference"/>
        </w:rPr>
        <w:footnoteRef/>
      </w:r>
      <w:r>
        <w:rPr>
          <w:i/>
          <w:iCs/>
        </w:rPr>
        <w:t xml:space="preserve">p</w:t>
      </w:r>
      <w:r>
        <w:t xml:space="preserve">. JE's text reads 15. Much of the material in this section refers to events described in the apocryphal books of I and II Maccabees. Although JE would have viewed these books as noncanonical, he took them to be historically reliable.</w:t>
      </w:r>
    </w:p>
  </w:footnote>
  <w:footnote w:id="987">
    <w:p>
      <w:pPr>
        <w:pStyle w:val="FootnoteText"/>
      </w:pPr>
      <w:r>
        <w:rPr>
          <w:rStyle w:val="FootnoteReference"/>
        </w:rPr>
        <w:footnoteRef/>
      </w:r>
      <w:r>
        <w:rPr>
          <w:i/>
          <w:iCs/>
        </w:rPr>
        <w:t xml:space="preserve">4.5r</w:t>
      </w:r>
      <w:r>
        <w:t xml:space="preserve">.</w:t>
      </w:r>
    </w:p>
  </w:footnote>
  <w:footnote w:id="988">
    <w:p>
      <w:pPr>
        <w:pStyle w:val="FootnoteText"/>
      </w:pPr>
      <w:r>
        <w:rPr>
          <w:rStyle w:val="FootnoteReference"/>
        </w:rPr>
        <w:footnoteRef/>
      </w:r>
      <w:r>
        <w:rPr>
          <w:i/>
          <w:iCs/>
        </w:rPr>
        <w:t xml:space="preserve">4.5v</w:t>
      </w:r>
      <w:r>
        <w:t xml:space="preserve">.</w:t>
      </w:r>
    </w:p>
  </w:footnote>
  <w:footnote w:id="989">
    <w:p>
      <w:pPr>
        <w:pStyle w:val="FootnoteText"/>
      </w:pPr>
      <w:r>
        <w:rPr>
          <w:rStyle w:val="FootnoteReference"/>
        </w:rPr>
        <w:footnoteRef/>
      </w:r>
      <w:r>
        <w:t xml:space="preserve">JE indicates intent to quote passages from Daniel 8:8–12. JE's allusion to Antiochus shows a common interpretation of this prophecy.</w:t>
      </w:r>
    </w:p>
  </w:footnote>
  <w:footnote w:id="990">
    <w:p>
      <w:pPr>
        <w:pStyle w:val="FootnoteText"/>
      </w:pPr>
      <w:r>
        <w:rPr>
          <w:rStyle w:val="FootnoteReference"/>
        </w:rPr>
        <w:footnoteRef/>
      </w:r>
      <w:r>
        <w:t xml:space="preserve">JE indicates intent to quote from Daniel 8:21–24.</w:t>
      </w:r>
    </w:p>
  </w:footnote>
  <w:footnote w:id="991">
    <w:p>
      <w:pPr>
        <w:pStyle w:val="FootnoteText"/>
      </w:pPr>
      <w:r>
        <w:rPr>
          <w:rStyle w:val="FootnoteReference"/>
        </w:rPr>
        <w:footnoteRef/>
      </w:r>
      <w:r>
        <w:rPr>
          <w:i/>
          <w:iCs/>
        </w:rPr>
        <w:t xml:space="preserve">4. 6r</w:t>
      </w:r>
      <w:r>
        <w:t xml:space="preserve">.</w:t>
      </w:r>
    </w:p>
  </w:footnote>
  <w:footnote w:id="992">
    <w:p>
      <w:pPr>
        <w:pStyle w:val="FootnoteText"/>
      </w:pPr>
      <w:r>
        <w:rPr>
          <w:rStyle w:val="FootnoteReference"/>
        </w:rPr>
        <w:footnoteRef/>
      </w:r>
      <w:r>
        <w:t xml:space="preserve">Probable reading; illegible symbol.</w:t>
      </w:r>
    </w:p>
  </w:footnote>
  <w:footnote w:id="993">
    <w:p>
      <w:pPr>
        <w:pStyle w:val="FootnoteText"/>
      </w:pPr>
      <w:r>
        <w:rPr>
          <w:rStyle w:val="FootnoteReference"/>
        </w:rPr>
        <w:footnoteRef/>
      </w:r>
      <w:r>
        <w:rPr>
          <w:i/>
          <w:iCs/>
        </w:rPr>
        <w:t xml:space="preserve">4.6v</w:t>
      </w:r>
      <w:r>
        <w:t xml:space="preserve">.</w:t>
      </w:r>
    </w:p>
  </w:footnote>
  <w:footnote w:id="994">
    <w:p>
      <w:pPr>
        <w:pStyle w:val="FootnoteText"/>
      </w:pPr>
      <w:r>
        <w:rPr>
          <w:rStyle w:val="FootnoteReference"/>
        </w:rPr>
        <w:footnoteRef/>
      </w:r>
      <w:r>
        <w:rPr>
          <w:i/>
          <w:iCs/>
        </w:rPr>
        <w:t xml:space="preserve">q</w:t>
      </w:r>
      <w:r>
        <w:t xml:space="preserve">. JE's text reads 16.</w:t>
      </w:r>
    </w:p>
  </w:footnote>
  <w:footnote w:id="995">
    <w:p>
      <w:pPr>
        <w:pStyle w:val="FootnoteText"/>
      </w:pPr>
      <w:r>
        <w:rPr>
          <w:rStyle w:val="FootnoteReference"/>
        </w:rPr>
        <w:footnoteRef/>
      </w:r>
      <w:r>
        <w:t xml:space="preserve">The allusion to Rome reflects a common interpretation.</w:t>
      </w:r>
    </w:p>
  </w:footnote>
  <w:footnote w:id="996">
    <w:p>
      <w:pPr>
        <w:pStyle w:val="FootnoteText"/>
      </w:pPr>
      <w:r>
        <w:rPr>
          <w:rStyle w:val="FootnoteReference"/>
        </w:rPr>
        <w:footnoteRef/>
      </w:r>
      <w:r>
        <w:rPr>
          <w:i/>
          <w:iCs/>
        </w:rPr>
        <w:t xml:space="preserve">4.7r</w:t>
      </w:r>
      <w:r>
        <w:t xml:space="preserve">.</w:t>
      </w:r>
    </w:p>
  </w:footnote>
  <w:footnote w:id="997">
    <w:p>
      <w:pPr>
        <w:pStyle w:val="FootnoteText"/>
      </w:pPr>
      <w:r>
        <w:rPr>
          <w:rStyle w:val="FootnoteReference"/>
        </w:rPr>
        <w:footnoteRef/>
      </w:r>
      <w:r>
        <w:rPr>
          <w:i/>
          <w:iCs/>
        </w:rPr>
        <w:t xml:space="preserve">4.7v</w:t>
      </w:r>
      <w:r>
        <w:t xml:space="preserve">.</w:t>
      </w:r>
    </w:p>
  </w:footnote>
  <w:footnote w:id="998">
    <w:p>
      <w:pPr>
        <w:pStyle w:val="FootnoteText"/>
      </w:pPr>
      <w:r>
        <w:rPr>
          <w:rStyle w:val="FootnoteReference"/>
        </w:rPr>
        <w:footnoteRef/>
      </w:r>
      <w:r>
        <w:rPr>
          <w:i/>
          <w:iCs/>
        </w:rPr>
        <w:t xml:space="preserve">r</w:t>
      </w:r>
      <w:r>
        <w:t xml:space="preserve">. JE's text reads 17.</w:t>
      </w:r>
    </w:p>
  </w:footnote>
  <w:footnote w:id="999">
    <w:p>
      <w:pPr>
        <w:pStyle w:val="FootnoteText"/>
      </w:pPr>
      <w:r>
        <w:rPr>
          <w:rStyle w:val="FootnoteReference"/>
        </w:rPr>
        <w:footnoteRef/>
      </w:r>
      <w:r>
        <w:rPr>
          <w:i/>
          <w:iCs/>
        </w:rPr>
        <w:t xml:space="preserve">4.8r</w:t>
      </w:r>
      <w:r>
        <w:t xml:space="preserve">.</w:t>
      </w:r>
    </w:p>
  </w:footnote>
  <w:footnote w:id="1000">
    <w:p>
      <w:pPr>
        <w:pStyle w:val="FootnoteText"/>
      </w:pPr>
      <w:r>
        <w:rPr>
          <w:rStyle w:val="FootnoteReference"/>
        </w:rPr>
        <w:footnoteRef/>
      </w:r>
      <w:r>
        <w:t xml:space="preserve">Uncertain reading; could be "his," i.e. man's.</w:t>
      </w:r>
    </w:p>
  </w:footnote>
  <w:footnote w:id="1001">
    <w:p>
      <w:pPr>
        <w:pStyle w:val="FootnoteText"/>
      </w:pPr>
      <w:r>
        <w:rPr>
          <w:rStyle w:val="FootnoteReference"/>
        </w:rPr>
        <w:footnoteRef/>
      </w:r>
      <w:r>
        <w:rPr>
          <w:i/>
          <w:iCs/>
        </w:rPr>
        <w:t xml:space="preserve">4.8v</w:t>
      </w:r>
      <w:r>
        <w:t xml:space="preserve">.</w:t>
      </w:r>
    </w:p>
  </w:footnote>
  <w:footnote w:id="1002">
    <w:p>
      <w:pPr>
        <w:pStyle w:val="FootnoteText"/>
      </w:pPr>
      <w:r>
        <w:rPr>
          <w:rStyle w:val="FootnoteReference"/>
        </w:rPr>
        <w:footnoteRef/>
      </w:r>
      <w:r>
        <w:rPr>
          <w:i/>
          <w:iCs/>
        </w:rPr>
        <w:t xml:space="preserve">4.9r</w:t>
      </w:r>
      <w:r>
        <w:t xml:space="preserve">. Transition to new leaf occurs within JE's indication of intent to quote.</w:t>
      </w:r>
    </w:p>
  </w:footnote>
  <w:footnote w:id="1003">
    <w:p>
      <w:pPr>
        <w:pStyle w:val="FootnoteText"/>
      </w:pPr>
      <w:r>
        <w:rPr>
          <w:rStyle w:val="FootnoteReference"/>
        </w:rPr>
        <w:footnoteRef/>
      </w:r>
      <w:r>
        <w:rPr>
          <w:i/>
          <w:iCs/>
        </w:rPr>
        <w:t xml:space="preserve">s</w:t>
      </w:r>
      <w:r>
        <w:t xml:space="preserve">. JE's text reads 18.</w:t>
      </w:r>
    </w:p>
  </w:footnote>
  <w:footnote w:id="1004">
    <w:p>
      <w:pPr>
        <w:pStyle w:val="FootnoteText"/>
      </w:pPr>
      <w:r>
        <w:rPr>
          <w:rStyle w:val="FootnoteReference"/>
        </w:rPr>
        <w:footnoteRef/>
      </w:r>
      <w:r>
        <w:rPr>
          <w:i/>
          <w:iCs/>
        </w:rPr>
        <w:t xml:space="preserve">4.9v</w:t>
      </w:r>
      <w:r>
        <w:t xml:space="preserve">.</w:t>
      </w:r>
    </w:p>
  </w:footnote>
  <w:footnote w:id="1005">
    <w:p>
      <w:pPr>
        <w:pStyle w:val="FootnoteText"/>
      </w:pPr>
      <w:r>
        <w:rPr>
          <w:rStyle w:val="FootnoteReference"/>
        </w:rPr>
        <w:footnoteRef/>
      </w:r>
      <w:r>
        <w:t xml:space="preserve">Colossians 2:15.</w:t>
      </w:r>
    </w:p>
  </w:footnote>
  <w:footnote w:id="1006">
    <w:p>
      <w:pPr>
        <w:pStyle w:val="FootnoteText"/>
      </w:pPr>
      <w:r>
        <w:rPr>
          <w:rStyle w:val="FootnoteReference"/>
        </w:rPr>
        <w:footnoteRef/>
      </w:r>
      <w:r>
        <w:rPr>
          <w:i/>
          <w:iCs/>
        </w:rPr>
        <w:t xml:space="preserve">4.10r</w:t>
      </w:r>
      <w:r>
        <w:t xml:space="preserve">.</w:t>
      </w:r>
    </w:p>
  </w:footnote>
  <w:footnote w:id="1007">
    <w:p>
      <w:pPr>
        <w:pStyle w:val="FootnoteText"/>
      </w:pPr>
      <w:r>
        <w:rPr>
          <w:rStyle w:val="FootnoteReference"/>
        </w:rPr>
        <w:footnoteRef/>
      </w:r>
      <w:r>
        <w:rPr>
          <w:i/>
          <w:iCs/>
        </w:rPr>
        <w:t xml:space="preserve">4.10v</w:t>
      </w:r>
      <w:r>
        <w:t xml:space="preserve">.</w:t>
      </w:r>
    </w:p>
  </w:footnote>
  <w:footnote w:id="1008">
    <w:p>
      <w:pPr>
        <w:pStyle w:val="FootnoteText"/>
      </w:pPr>
      <w:r>
        <w:rPr>
          <w:rStyle w:val="FootnoteReference"/>
        </w:rPr>
        <w:footnoteRef/>
      </w:r>
      <w:r>
        <w:rPr>
          <w:i/>
          <w:iCs/>
        </w:rPr>
        <w:t xml:space="preserve">4.10v</w:t>
      </w:r>
      <w:r>
        <w:t xml:space="preserve">.</w:t>
      </w:r>
    </w:p>
  </w:footnote>
  <w:footnote w:id="1009">
    <w:p>
      <w:pPr>
        <w:pStyle w:val="FootnoteText"/>
      </w:pPr>
      <w:r>
        <w:rPr>
          <w:rStyle w:val="FootnoteReference"/>
        </w:rPr>
        <w:footnoteRef/>
      </w:r>
      <w:r>
        <w:t xml:space="preserve">Sermon 13 has no indication that JE intended to repeat text or doctrine. It also appears linked to Sermon 12, and was probably preached on the same day. Booklet four is constructed so that double leaf seven is folded inside double leaf six, and double leaf nine is folded inside double leaf eight. More than any other sermon in this series, JE gave order to his text through a series of instructions that required him—or any other reader—to move back and forth numerous times. My notes indicate transition points as well as giving leaf number and side for each section.</w:t>
      </w:r>
    </w:p>
  </w:footnote>
  <w:footnote w:id="1010">
    <w:p>
      <w:pPr>
        <w:pStyle w:val="FootnoteText"/>
      </w:pPr>
      <w:r>
        <w:rPr>
          <w:rStyle w:val="FootnoteReference"/>
        </w:rPr>
        <w:footnoteRef/>
      </w:r>
      <w:r>
        <w:t xml:space="preserve">This major section is numbered independently of the order which governs JE's development of the doctrine section of the sermon. Hence a major heading has been supplied.</w:t>
      </w:r>
    </w:p>
  </w:footnote>
  <w:footnote w:id="1011">
    <w:p>
      <w:pPr>
        <w:pStyle w:val="FootnoteText"/>
      </w:pPr>
      <w:r>
        <w:rPr>
          <w:rStyle w:val="FootnoteReference"/>
        </w:rPr>
        <w:footnoteRef/>
      </w:r>
      <w:r>
        <w:rPr>
          <w:i/>
          <w:iCs/>
        </w:rPr>
        <w:t xml:space="preserve">1</w:t>
      </w:r>
      <w:r>
        <w:t xml:space="preserve">.</w:t>
      </w:r>
    </w:p>
  </w:footnote>
  <w:footnote w:id="1012">
    <w:p>
      <w:pPr>
        <w:pStyle w:val="FootnoteText"/>
      </w:pPr>
      <w:r>
        <w:rPr>
          <w:rStyle w:val="FootnoteReference"/>
        </w:rPr>
        <w:footnoteRef/>
      </w:r>
      <w:r>
        <w:rPr>
          <w:i/>
          <w:iCs/>
        </w:rPr>
        <w:t xml:space="preserve">4.11r</w:t>
      </w:r>
      <w:r>
        <w:t xml:space="preserve">.</w:t>
      </w:r>
    </w:p>
  </w:footnote>
  <w:footnote w:id="1013">
    <w:p>
      <w:pPr>
        <w:pStyle w:val="FootnoteText"/>
      </w:pPr>
      <w:r>
        <w:rPr>
          <w:rStyle w:val="FootnoteReference"/>
        </w:rPr>
        <w:footnoteRef/>
      </w:r>
      <w:r>
        <w:rPr>
          <w:i/>
          <w:iCs/>
        </w:rPr>
        <w:t xml:space="preserve">4.11v</w:t>
      </w:r>
      <w:r>
        <w:t xml:space="preserve">.</w:t>
      </w:r>
    </w:p>
  </w:footnote>
  <w:footnote w:id="1014">
    <w:p>
      <w:pPr>
        <w:pStyle w:val="FootnoteText"/>
      </w:pPr>
      <w:r>
        <w:rPr>
          <w:rStyle w:val="FootnoteReference"/>
        </w:rPr>
        <w:footnoteRef/>
      </w:r>
      <w:r>
        <w:rPr>
          <w:i/>
          <w:iCs/>
        </w:rPr>
        <w:t xml:space="preserve">4.12v</w:t>
      </w:r>
      <w:r>
        <w:t xml:space="preserve">. JE, in revising the text, continues this development of his point on the verso of the next leaf, and so instructs himself.</w:t>
      </w:r>
    </w:p>
  </w:footnote>
  <w:footnote w:id="1015">
    <w:p>
      <w:pPr>
        <w:pStyle w:val="FootnoteText"/>
      </w:pPr>
      <w:r>
        <w:rPr>
          <w:rStyle w:val="FootnoteReference"/>
        </w:rPr>
        <w:footnoteRef/>
      </w:r>
      <w:r>
        <w:rPr>
          <w:i/>
          <w:iCs/>
        </w:rPr>
        <w:t xml:space="preserve">4.13r</w:t>
      </w:r>
      <w:r>
        <w:t xml:space="preserve">.</w:t>
      </w:r>
    </w:p>
  </w:footnote>
  <w:footnote w:id="1016">
    <w:p>
      <w:pPr>
        <w:pStyle w:val="FootnoteText"/>
      </w:pPr>
      <w:r>
        <w:rPr>
          <w:rStyle w:val="FootnoteReference"/>
        </w:rPr>
        <w:footnoteRef/>
      </w:r>
      <w:r>
        <w:rPr>
          <w:i/>
          <w:iCs/>
        </w:rPr>
        <w:t xml:space="preserve">4.12r</w:t>
      </w:r>
      <w:r>
        <w:t xml:space="preserve">. JE directs himself to the recto of the previous leaf.</w:t>
      </w:r>
    </w:p>
  </w:footnote>
  <w:footnote w:id="1017">
    <w:p>
      <w:pPr>
        <w:pStyle w:val="FootnoteText"/>
      </w:pPr>
      <w:r>
        <w:rPr>
          <w:rStyle w:val="FootnoteReference"/>
        </w:rPr>
        <w:footnoteRef/>
      </w:r>
      <w:r>
        <w:rPr>
          <w:i/>
          <w:iCs/>
        </w:rPr>
        <w:t xml:space="preserve">II</w:t>
      </w:r>
      <w:r>
        <w:t xml:space="preserve">.</w:t>
      </w:r>
    </w:p>
  </w:footnote>
  <w:footnote w:id="1018">
    <w:p>
      <w:pPr>
        <w:pStyle w:val="FootnoteText"/>
      </w:pPr>
      <w:r>
        <w:rPr>
          <w:rStyle w:val="FootnoteReference"/>
        </w:rPr>
        <w:footnoteRef/>
      </w:r>
      <w:r>
        <w:t xml:space="preserve">JE deletes with a single vertical line a sentence which reads: "What has been said upon this subject don't only show the weakness of objections against the divine authority of the Old Testament, but also affords a strong, positive argument for it."</w:t>
      </w:r>
    </w:p>
  </w:footnote>
  <w:footnote w:id="1019">
    <w:p>
      <w:pPr>
        <w:pStyle w:val="FootnoteText"/>
      </w:pPr>
      <w:r>
        <w:rPr>
          <w:rStyle w:val="FootnoteReference"/>
        </w:rPr>
        <w:footnoteRef/>
      </w:r>
      <w:r>
        <w:rPr>
          <w:i/>
          <w:iCs/>
        </w:rPr>
        <w:t xml:space="preserve">4.12v</w:t>
      </w:r>
      <w:r>
        <w:t xml:space="preserve">.</w:t>
      </w:r>
    </w:p>
  </w:footnote>
  <w:footnote w:id="1020">
    <w:p>
      <w:pPr>
        <w:pStyle w:val="FootnoteText"/>
      </w:pPr>
      <w:r>
        <w:rPr>
          <w:rStyle w:val="FootnoteReference"/>
        </w:rPr>
        <w:footnoteRef/>
      </w:r>
      <w:r>
        <w:rPr>
          <w:i/>
          <w:iCs/>
        </w:rPr>
        <w:t xml:space="preserve">4.11v</w:t>
      </w:r>
      <w:r>
        <w:t xml:space="preserve">. JE directs himself to return to the verso of the preceding leaf.</w:t>
      </w:r>
    </w:p>
  </w:footnote>
  <w:footnote w:id="1021">
    <w:p>
      <w:pPr>
        <w:pStyle w:val="FootnoteText"/>
      </w:pPr>
      <w:r>
        <w:rPr>
          <w:rStyle w:val="FootnoteReference"/>
        </w:rPr>
        <w:footnoteRef/>
      </w:r>
      <w:r>
        <w:rPr>
          <w:i/>
          <w:iCs/>
        </w:rPr>
        <w:t xml:space="preserve">III</w:t>
      </w:r>
      <w:r>
        <w:t xml:space="preserve">.</w:t>
      </w:r>
    </w:p>
  </w:footnote>
  <w:footnote w:id="1022">
    <w:p>
      <w:pPr>
        <w:pStyle w:val="FootnoteText"/>
      </w:pPr>
      <w:r>
        <w:rPr>
          <w:rStyle w:val="FootnoteReference"/>
        </w:rPr>
        <w:footnoteRef/>
      </w:r>
      <w:r>
        <w:rPr>
          <w:i/>
          <w:iCs/>
        </w:rPr>
        <w:t xml:space="preserve">4.14r</w:t>
      </w:r>
      <w:r>
        <w:t xml:space="preserve">. JE continues his text on the recto of the third following leaf.</w:t>
      </w:r>
    </w:p>
  </w:footnote>
  <w:footnote w:id="1023">
    <w:p>
      <w:pPr>
        <w:pStyle w:val="FootnoteText"/>
      </w:pPr>
      <w:r>
        <w:rPr>
          <w:rStyle w:val="FootnoteReference"/>
        </w:rPr>
        <w:footnoteRef/>
      </w:r>
      <w:r>
        <w:rPr>
          <w:i/>
          <w:iCs/>
        </w:rPr>
        <w:t xml:space="preserve">4.14v</w:t>
      </w:r>
      <w:r>
        <w:t xml:space="preserve">.</w:t>
      </w:r>
    </w:p>
  </w:footnote>
  <w:footnote w:id="1024">
    <w:p>
      <w:pPr>
        <w:pStyle w:val="FootnoteText"/>
      </w:pPr>
      <w:r>
        <w:rPr>
          <w:rStyle w:val="FootnoteReference"/>
        </w:rPr>
        <w:footnoteRef/>
      </w:r>
      <w:r>
        <w:t xml:space="preserve">JE obviously means that the weakness of the objection is a strong argument </w:t>
      </w:r>
      <w:r>
        <w:rPr>
          <w:i/>
          <w:iCs/>
        </w:rPr>
        <w:t xml:space="preserve">for</w:t>
      </w:r>
      <w:r>
        <w:t xml:space="preserve"> the historical worth of the Scriptures as revelation.</w:t>
      </w:r>
    </w:p>
  </w:footnote>
  <w:footnote w:id="1025">
    <w:p>
      <w:pPr>
        <w:pStyle w:val="FootnoteText"/>
      </w:pPr>
      <w:r>
        <w:rPr>
          <w:rStyle w:val="FootnoteReference"/>
        </w:rPr>
        <w:footnoteRef/>
      </w:r>
      <w:r>
        <w:rPr>
          <w:i/>
          <w:iCs/>
        </w:rPr>
        <w:t xml:space="preserve">4.15r</w:t>
      </w:r>
      <w:r>
        <w:t xml:space="preserve">.</w:t>
      </w:r>
    </w:p>
  </w:footnote>
  <w:footnote w:id="1026">
    <w:p>
      <w:pPr>
        <w:pStyle w:val="FootnoteText"/>
      </w:pPr>
      <w:r>
        <w:rPr>
          <w:rStyle w:val="FootnoteReference"/>
        </w:rPr>
        <w:footnoteRef/>
      </w:r>
      <w:r>
        <w:rPr>
          <w:i/>
          <w:iCs/>
        </w:rPr>
        <w:t xml:space="preserve">4.15v</w:t>
      </w:r>
      <w:r>
        <w:t xml:space="preserve">.</w:t>
      </w:r>
    </w:p>
  </w:footnote>
  <w:footnote w:id="1027">
    <w:p>
      <w:pPr>
        <w:pStyle w:val="FootnoteText"/>
      </w:pPr>
      <w:r>
        <w:rPr>
          <w:rStyle w:val="FootnoteReference"/>
        </w:rPr>
        <w:footnoteRef/>
      </w:r>
      <w:r>
        <w:rPr>
          <w:i/>
          <w:iCs/>
        </w:rPr>
        <w:t xml:space="preserve">4.18r</w:t>
      </w:r>
      <w:r>
        <w:t xml:space="preserve">. JE moves to the beginning of the third following leaf, recto, to continue his discussion.</w:t>
      </w:r>
    </w:p>
  </w:footnote>
  <w:footnote w:id="1028">
    <w:p>
      <w:pPr>
        <w:pStyle w:val="FootnoteText"/>
      </w:pPr>
      <w:r>
        <w:rPr>
          <w:rStyle w:val="FootnoteReference"/>
        </w:rPr>
        <w:footnoteRef/>
      </w:r>
      <w:r>
        <w:rPr>
          <w:i/>
          <w:iCs/>
        </w:rPr>
        <w:t xml:space="preserve">4.16r</w:t>
      </w:r>
      <w:r>
        <w:t xml:space="preserve">. JE resumes his text on the preceding leaf but one, recto, continuing where he broke off (indicated in n. 2, above).</w:t>
      </w:r>
    </w:p>
  </w:footnote>
  <w:footnote w:id="1029">
    <w:p>
      <w:pPr>
        <w:pStyle w:val="FootnoteText"/>
      </w:pPr>
      <w:r>
        <w:rPr>
          <w:rStyle w:val="FootnoteReference"/>
        </w:rPr>
        <w:footnoteRef/>
      </w:r>
      <w:r>
        <w:rPr>
          <w:i/>
          <w:iCs/>
        </w:rPr>
        <w:t xml:space="preserve">IV</w:t>
      </w:r>
      <w:r>
        <w:t xml:space="preserve">.</w:t>
      </w:r>
    </w:p>
  </w:footnote>
  <w:footnote w:id="1030">
    <w:p>
      <w:pPr>
        <w:pStyle w:val="FootnoteText"/>
      </w:pPr>
      <w:r>
        <w:rPr>
          <w:rStyle w:val="FootnoteReference"/>
        </w:rPr>
        <w:footnoteRef/>
      </w:r>
      <w:r>
        <w:rPr>
          <w:i/>
          <w:iCs/>
        </w:rPr>
        <w:t xml:space="preserve">4.16v</w:t>
      </w:r>
      <w:r>
        <w:t xml:space="preserve">. JE's text repeals "and that in them."</w:t>
      </w:r>
    </w:p>
  </w:footnote>
  <w:footnote w:id="1031">
    <w:p>
      <w:pPr>
        <w:pStyle w:val="FootnoteText"/>
      </w:pPr>
      <w:r>
        <w:rPr>
          <w:rStyle w:val="FootnoteReference"/>
        </w:rPr>
        <w:footnoteRef/>
      </w:r>
      <w:r>
        <w:rPr>
          <w:i/>
          <w:iCs/>
        </w:rPr>
        <w:t xml:space="preserve">4.17r</w:t>
      </w:r>
      <w:r>
        <w:t xml:space="preserve">.</w:t>
      </w:r>
    </w:p>
  </w:footnote>
  <w:footnote w:id="1032">
    <w:p>
      <w:pPr>
        <w:pStyle w:val="FootnoteText"/>
      </w:pPr>
      <w:r>
        <w:rPr>
          <w:rStyle w:val="FootnoteReference"/>
        </w:rPr>
        <w:footnoteRef/>
      </w:r>
      <w:r>
        <w:rPr>
          <w:i/>
          <w:iCs/>
        </w:rPr>
        <w:t xml:space="preserve">4.17v</w:t>
      </w:r>
      <w:r>
        <w:t xml:space="preserve">.</w:t>
      </w:r>
    </w:p>
  </w:footnote>
  <w:footnote w:id="1033">
    <w:p>
      <w:pPr>
        <w:pStyle w:val="FootnoteText"/>
      </w:pPr>
      <w:r>
        <w:rPr>
          <w:rStyle w:val="FootnoteReference"/>
        </w:rPr>
        <w:footnoteRef/>
      </w:r>
      <w:r>
        <w:rPr>
          <w:i/>
          <w:iCs/>
        </w:rPr>
        <w:t xml:space="preserve">4.13v</w:t>
      </w:r>
      <w:r>
        <w:t xml:space="preserve">. JE turns back four leaves.</w:t>
      </w:r>
    </w:p>
  </w:footnote>
  <w:footnote w:id="1034">
    <w:p>
      <w:pPr>
        <w:pStyle w:val="FootnoteText"/>
      </w:pPr>
      <w:r>
        <w:rPr>
          <w:rStyle w:val="FootnoteReference"/>
        </w:rPr>
        <w:footnoteRef/>
      </w:r>
      <w:r>
        <w:t xml:space="preserve">"Here" refers to the church of God in the Old Testament.</w:t>
      </w:r>
    </w:p>
  </w:footnote>
  <w:footnote w:id="1035">
    <w:p>
      <w:pPr>
        <w:pStyle w:val="FootnoteText"/>
      </w:pPr>
      <w:r>
        <w:rPr>
          <w:rStyle w:val="FootnoteReference"/>
        </w:rPr>
        <w:footnoteRef/>
      </w:r>
      <w:r>
        <w:t xml:space="preserve">JE inserts this sentence in the middle of this leaf. His text also has a note reading "see Miscell. no. 810." Miscellany no. 810 begins: "add this at the end of Num. 359, " a reference to a miscellany titled "Inspiration of the Scriptures," which argues that all parts of the Old Testament have their places in terms of the scheme of redemption. No. 810 concerns the special place of the book of Job in this framework. There is no explicit reference made to the Redemption Discourse.</w:t>
      </w:r>
    </w:p>
  </w:footnote>
  <w:footnote w:id="1036">
    <w:p>
      <w:pPr>
        <w:pStyle w:val="FootnoteText"/>
      </w:pPr>
      <w:r>
        <w:rPr>
          <w:rStyle w:val="FootnoteReference"/>
        </w:rPr>
        <w:footnoteRef/>
      </w:r>
      <w:r>
        <w:rPr>
          <w:i/>
          <w:iCs/>
        </w:rPr>
        <w:t xml:space="preserve">4.17v</w:t>
      </w:r>
      <w:r>
        <w:t xml:space="preserve">. JE moves forward four leaves and resumes where he broke off (indicated by n. 8, above).</w:t>
      </w:r>
    </w:p>
  </w:footnote>
  <w:footnote w:id="1037">
    <w:p>
      <w:pPr>
        <w:pStyle w:val="FootnoteText"/>
      </w:pPr>
      <w:r>
        <w:rPr>
          <w:rStyle w:val="FootnoteReference"/>
        </w:rPr>
        <w:footnoteRef/>
      </w:r>
      <w:r>
        <w:rPr>
          <w:i/>
          <w:iCs/>
        </w:rPr>
        <w:t xml:space="preserve">4.13v</w:t>
      </w:r>
      <w:r>
        <w:t xml:space="preserve">. JE again turns back four leaves. He originally composed the following sentence, which he deleted with a single vertical line: "And how excellently has infinite wisdom authored that book of instructions relating to God's perfections, his sovereignty, his wisdom and his providence, and our duty relating thereto so exceedingly needful and useful as he has in the book of Job."</w:t>
      </w:r>
    </w:p>
  </w:footnote>
  <w:footnote w:id="1038">
    <w:p>
      <w:pPr>
        <w:pStyle w:val="FootnoteText"/>
      </w:pPr>
      <w:r>
        <w:rPr>
          <w:rStyle w:val="FootnoteReference"/>
        </w:rPr>
        <w:footnoteRef/>
      </w:r>
      <w:r>
        <w:rPr>
          <w:i/>
          <w:iCs/>
        </w:rPr>
        <w:t xml:space="preserve">4.18r</w:t>
      </w:r>
      <w:r>
        <w:t xml:space="preserve">. JE once more turns forward four leaves, recto, and continues his fourth remark.</w:t>
      </w:r>
    </w:p>
  </w:footnote>
  <w:footnote w:id="1039">
    <w:p>
      <w:pPr>
        <w:pStyle w:val="FootnoteText"/>
      </w:pPr>
      <w:r>
        <w:rPr>
          <w:rStyle w:val="FootnoteReference"/>
        </w:rPr>
        <w:footnoteRef/>
      </w:r>
      <w:r>
        <w:rPr>
          <w:i/>
          <w:iCs/>
        </w:rPr>
        <w:t xml:space="preserve">4.18v</w:t>
      </w:r>
      <w:r>
        <w:t xml:space="preserve">.</w:t>
      </w:r>
    </w:p>
  </w:footnote>
  <w:footnote w:id="1040">
    <w:p>
      <w:pPr>
        <w:pStyle w:val="FootnoteText"/>
      </w:pPr>
      <w:r>
        <w:rPr>
          <w:rStyle w:val="FootnoteReference"/>
        </w:rPr>
        <w:footnoteRef/>
      </w:r>
      <w:r>
        <w:rPr>
          <w:i/>
          <w:iCs/>
        </w:rPr>
        <w:t xml:space="preserve">V</w:t>
      </w:r>
      <w:r>
        <w:t xml:space="preserve">.</w:t>
      </w:r>
    </w:p>
  </w:footnote>
  <w:footnote w:id="1041">
    <w:p>
      <w:pPr>
        <w:pStyle w:val="FootnoteText"/>
      </w:pPr>
      <w:r>
        <w:rPr>
          <w:rStyle w:val="FootnoteReference"/>
        </w:rPr>
        <w:footnoteRef/>
      </w:r>
      <w:r>
        <w:rPr>
          <w:i/>
          <w:iCs/>
        </w:rPr>
        <w:t xml:space="preserve">2 Corinthians 3:18</w:t>
      </w:r>
      <w:r>
        <w:t xml:space="preserve">.</w:t>
      </w:r>
    </w:p>
  </w:footnote>
  <w:footnote w:id="1042">
    <w:p>
      <w:pPr>
        <w:pStyle w:val="FootnoteText"/>
      </w:pPr>
      <w:r>
        <w:rPr>
          <w:rStyle w:val="FootnoteReference"/>
        </w:rPr>
        <w:footnoteRef/>
      </w:r>
      <w:r>
        <w:rPr>
          <w:i/>
          <w:iCs/>
        </w:rPr>
        <w:t xml:space="preserve">4.19r</w:t>
      </w:r>
      <w:r>
        <w:t xml:space="preserve">.</w:t>
      </w:r>
    </w:p>
  </w:footnote>
  <w:footnote w:id="1043">
    <w:p>
      <w:pPr>
        <w:pStyle w:val="FootnoteText"/>
      </w:pPr>
      <w:r>
        <w:rPr>
          <w:rStyle w:val="FootnoteReference"/>
        </w:rPr>
        <w:footnoteRef/>
      </w:r>
      <w:r>
        <w:rPr>
          <w:i/>
          <w:iCs/>
        </w:rPr>
        <w:t xml:space="preserve">VI</w:t>
      </w:r>
      <w:r>
        <w:t xml:space="preserve">.</w:t>
      </w:r>
    </w:p>
  </w:footnote>
  <w:footnote w:id="1044">
    <w:p>
      <w:pPr>
        <w:pStyle w:val="FootnoteText"/>
      </w:pPr>
      <w:r>
        <w:rPr>
          <w:rStyle w:val="FootnoteReference"/>
        </w:rPr>
        <w:footnoteRef/>
      </w:r>
      <w:r>
        <w:rPr>
          <w:i/>
          <w:iCs/>
        </w:rPr>
        <w:t xml:space="preserve">4.19v</w:t>
      </w:r>
      <w:r>
        <w:t xml:space="preserve">.</w:t>
      </w:r>
    </w:p>
  </w:footnote>
  <w:footnote w:id="1045">
    <w:p>
      <w:pPr>
        <w:pStyle w:val="FootnoteText"/>
      </w:pPr>
      <w:r>
        <w:rPr>
          <w:rStyle w:val="FootnoteReference"/>
        </w:rPr>
        <w:footnoteRef/>
      </w:r>
      <w:r>
        <w:rPr>
          <w:i/>
          <w:iCs/>
        </w:rPr>
        <w:t xml:space="preserve">4.20r</w:t>
      </w:r>
      <w:r>
        <w:t xml:space="preserve">.</w:t>
      </w:r>
    </w:p>
  </w:footnote>
  <w:footnote w:id="1046">
    <w:p>
      <w:pPr>
        <w:pStyle w:val="FootnoteText"/>
      </w:pPr>
      <w:r>
        <w:rPr>
          <w:rStyle w:val="FootnoteReference"/>
        </w:rPr>
        <w:footnoteRef/>
      </w:r>
      <w:r>
        <w:t xml:space="preserve">Probable reading.</w:t>
      </w:r>
    </w:p>
  </w:footnote>
  <w:footnote w:id="1047">
    <w:p>
      <w:pPr>
        <w:pStyle w:val="FootnoteText"/>
      </w:pPr>
      <w:r>
        <w:rPr>
          <w:rStyle w:val="FootnoteReference"/>
        </w:rPr>
        <w:footnoteRef/>
      </w:r>
      <w:r>
        <w:rPr>
          <w:i/>
          <w:iCs/>
        </w:rPr>
        <w:t xml:space="preserve">VII</w:t>
      </w:r>
      <w:r>
        <w:t xml:space="preserve">.</w:t>
      </w:r>
    </w:p>
  </w:footnote>
  <w:footnote w:id="1048">
    <w:p>
      <w:pPr>
        <w:pStyle w:val="FootnoteText"/>
      </w:pPr>
      <w:r>
        <w:rPr>
          <w:rStyle w:val="FootnoteReference"/>
        </w:rPr>
        <w:footnoteRef/>
      </w:r>
      <w:r>
        <w:t xml:space="preserve">JE cites v. 118, but he paraphrases Psalms 119:18. I have changed the text accordingly.</w:t>
      </w:r>
    </w:p>
  </w:footnote>
  <w:footnote w:id="1049">
    <w:p>
      <w:pPr>
        <w:pStyle w:val="FootnoteText"/>
      </w:pPr>
      <w:r>
        <w:rPr>
          <w:rStyle w:val="FootnoteReference"/>
        </w:rPr>
        <w:footnoteRef/>
      </w:r>
      <w:r>
        <w:rPr>
          <w:i/>
          <w:iCs/>
        </w:rPr>
        <w:t xml:space="preserve">4.20v</w:t>
      </w:r>
      <w:r>
        <w:t xml:space="preserve">.</w:t>
      </w:r>
    </w:p>
  </w:footnote>
  <w:footnote w:id="1050">
    <w:p>
      <w:pPr>
        <w:pStyle w:val="FootnoteText"/>
      </w:pPr>
      <w:r>
        <w:rPr>
          <w:rStyle w:val="FootnoteReference"/>
        </w:rPr>
        <w:footnoteRef/>
      </w:r>
      <w:r>
        <w:rPr>
          <w:i/>
          <w:iCs/>
        </w:rPr>
        <w:t xml:space="preserve">4.21r</w:t>
      </w:r>
      <w:r>
        <w:t xml:space="preserve">.</w:t>
      </w:r>
    </w:p>
  </w:footnote>
  <w:footnote w:id="1051">
    <w:p>
      <w:pPr>
        <w:pStyle w:val="FootnoteText"/>
      </w:pPr>
      <w:r>
        <w:rPr>
          <w:rStyle w:val="FootnoteReference"/>
        </w:rPr>
        <w:footnoteRef/>
      </w:r>
      <w:r>
        <w:rPr>
          <w:i/>
          <w:iCs/>
        </w:rPr>
        <w:t xml:space="preserve">VIII</w:t>
      </w:r>
      <w:r>
        <w:t xml:space="preserve">.</w:t>
      </w:r>
    </w:p>
  </w:footnote>
  <w:footnote w:id="1052">
    <w:p>
      <w:pPr>
        <w:pStyle w:val="FootnoteText"/>
      </w:pPr>
      <w:r>
        <w:rPr>
          <w:rStyle w:val="FootnoteReference"/>
        </w:rPr>
        <w:footnoteRef/>
      </w:r>
      <w:r>
        <w:t xml:space="preserve">JE mistakenly placed the caret for the interlineated clause "an errand he came upon" before rather than after "great."</w:t>
      </w:r>
    </w:p>
  </w:footnote>
  <w:footnote w:id="1053">
    <w:p>
      <w:pPr>
        <w:pStyle w:val="FootnoteText"/>
      </w:pPr>
      <w:r>
        <w:rPr>
          <w:rStyle w:val="FootnoteReference"/>
        </w:rPr>
        <w:footnoteRef/>
      </w:r>
      <w:r>
        <w:t xml:space="preserve">JE writes "through the very beginning" in what seems to be a simple error.</w:t>
      </w:r>
    </w:p>
  </w:footnote>
  <w:footnote w:id="1054">
    <w:p>
      <w:pPr>
        <w:pStyle w:val="FootnoteText"/>
      </w:pPr>
      <w:r>
        <w:rPr>
          <w:rStyle w:val="FootnoteReference"/>
        </w:rPr>
        <w:footnoteRef/>
      </w:r>
      <w:r>
        <w:rPr>
          <w:i/>
          <w:iCs/>
        </w:rPr>
        <w:t xml:space="preserve">4.21v</w:t>
      </w:r>
      <w:r>
        <w:t xml:space="preserve">.</w:t>
      </w:r>
    </w:p>
  </w:footnote>
  <w:footnote w:id="1055">
    <w:p>
      <w:pPr>
        <w:pStyle w:val="FootnoteText"/>
      </w:pPr>
      <w:r>
        <w:rPr>
          <w:rStyle w:val="FootnoteReference"/>
        </w:rPr>
        <w:footnoteRef/>
      </w:r>
      <w:r>
        <w:rPr>
          <w:i/>
          <w:iCs/>
        </w:rPr>
        <w:t xml:space="preserve">4.22r</w:t>
      </w:r>
      <w:r>
        <w:t xml:space="preserve">.</w:t>
      </w:r>
    </w:p>
  </w:footnote>
  <w:footnote w:id="1056">
    <w:p>
      <w:pPr>
        <w:pStyle w:val="FootnoteText"/>
      </w:pPr>
      <w:r>
        <w:rPr>
          <w:rStyle w:val="FootnoteReference"/>
        </w:rPr>
        <w:footnoteRef/>
      </w:r>
      <w:r>
        <w:rPr>
          <w:i/>
          <w:iCs/>
        </w:rPr>
        <w:t xml:space="preserve">5.1r</w:t>
      </w:r>
      <w:r>
        <w:t xml:space="preserve">.</w:t>
      </w:r>
    </w:p>
  </w:footnote>
  <w:footnote w:id="1057">
    <w:p>
      <w:pPr>
        <w:pStyle w:val="FootnoteText"/>
      </w:pPr>
      <w:r>
        <w:rPr>
          <w:rStyle w:val="FootnoteReference"/>
        </w:rPr>
        <w:footnoteRef/>
      </w:r>
      <w:r>
        <w:t xml:space="preserve">In indicating his intention to give the text and repeat the doctrine, JE includes phrases to introduce this sermon as follows: "You may remember that when we began———we divided the whole space———into three grand periods, viz.———which were proposed to be spoken to in order from these three propositions, viz."</w:t>
      </w:r>
    </w:p>
  </w:footnote>
  <w:footnote w:id="1058">
    <w:p>
      <w:pPr>
        <w:pStyle w:val="FootnoteText"/>
      </w:pPr>
      <w:r>
        <w:rPr>
          <w:rStyle w:val="FootnoteReference"/>
        </w:rPr>
        <w:footnoteRef/>
      </w:r>
      <w:r>
        <w:t xml:space="preserve">Derived from JE's summary in preceding introductory comments.</w:t>
      </w:r>
    </w:p>
  </w:footnote>
  <w:footnote w:id="1059">
    <w:p>
      <w:pPr>
        <w:pStyle w:val="FootnoteText"/>
      </w:pPr>
      <w:r>
        <w:rPr>
          <w:rStyle w:val="FootnoteReference"/>
        </w:rPr>
        <w:footnoteRef/>
      </w:r>
      <w:r>
        <w:rPr>
          <w:i/>
          <w:iCs/>
        </w:rPr>
        <w:t xml:space="preserve">5.1v</w:t>
      </w:r>
      <w:r>
        <w:t xml:space="preserve">.</w:t>
      </w:r>
    </w:p>
  </w:footnote>
  <w:footnote w:id="1060">
    <w:p>
      <w:pPr>
        <w:pStyle w:val="FootnoteText"/>
      </w:pPr>
      <w:r>
        <w:rPr>
          <w:rStyle w:val="FootnoteReference"/>
        </w:rPr>
        <w:footnoteRef/>
      </w:r>
      <w:r>
        <w:rPr>
          <w:i/>
          <w:iCs/>
        </w:rPr>
        <w:t xml:space="preserve">Second</w:t>
      </w:r>
      <w:r>
        <w:t xml:space="preserve">.</w:t>
      </w:r>
    </w:p>
  </w:footnote>
  <w:footnote w:id="1061">
    <w:p>
      <w:pPr>
        <w:pStyle w:val="FootnoteText"/>
      </w:pPr>
      <w:r>
        <w:rPr>
          <w:rStyle w:val="FootnoteReference"/>
        </w:rPr>
        <w:footnoteRef/>
      </w:r>
      <w:r>
        <w:rPr>
          <w:i/>
          <w:iCs/>
        </w:rPr>
        <w:t xml:space="preserve">5.2r</w:t>
      </w:r>
      <w:r>
        <w:t xml:space="preserve">.</w:t>
      </w:r>
    </w:p>
  </w:footnote>
  <w:footnote w:id="1062">
    <w:p>
      <w:pPr>
        <w:pStyle w:val="FootnoteText"/>
      </w:pPr>
      <w:r>
        <w:rPr>
          <w:rStyle w:val="FootnoteReference"/>
        </w:rPr>
        <w:footnoteRef/>
      </w:r>
      <w:r>
        <w:rPr>
          <w:i/>
          <w:iCs/>
        </w:rPr>
        <w:t xml:space="preserve">1</w:t>
      </w:r>
      <w:r>
        <w:t xml:space="preserve">.</w:t>
      </w:r>
    </w:p>
  </w:footnote>
  <w:footnote w:id="1063">
    <w:p>
      <w:pPr>
        <w:pStyle w:val="FootnoteText"/>
      </w:pPr>
      <w:r>
        <w:rPr>
          <w:rStyle w:val="FootnoteReference"/>
        </w:rPr>
        <w:footnoteRef/>
      </w:r>
      <w:r>
        <w:rPr>
          <w:i/>
          <w:iCs/>
        </w:rPr>
        <w:t xml:space="preserve">5.2v</w:t>
      </w:r>
      <w:r>
        <w:t xml:space="preserve">.</w:t>
      </w:r>
    </w:p>
  </w:footnote>
  <w:footnote w:id="1064">
    <w:p>
      <w:pPr>
        <w:pStyle w:val="FootnoteText"/>
      </w:pPr>
      <w:r>
        <w:rPr>
          <w:rStyle w:val="FootnoteReference"/>
        </w:rPr>
        <w:footnoteRef/>
      </w:r>
      <w:r>
        <w:t xml:space="preserve">At this point JE deletes the following: "It was necessary he should be incarnate in order to his being in a capacity for the purchase of redemption on three accounts. One, because it was necessary that it should be … [deleted and illegible]."</w:t>
      </w:r>
    </w:p>
  </w:footnote>
  <w:footnote w:id="1065">
    <w:p>
      <w:pPr>
        <w:pStyle w:val="FootnoteText"/>
      </w:pPr>
      <w:r>
        <w:rPr>
          <w:rStyle w:val="FootnoteReference"/>
        </w:rPr>
        <w:footnoteRef/>
      </w:r>
      <w:r>
        <w:rPr>
          <w:i/>
          <w:iCs/>
        </w:rPr>
        <w:t xml:space="preserve">a</w:t>
      </w:r>
      <w:r>
        <w:t xml:space="preserve">. In the structure of the argument, this is the first branch of JE's discussion of the incarnation.</w:t>
      </w:r>
    </w:p>
  </w:footnote>
  <w:footnote w:id="1066">
    <w:p>
      <w:pPr>
        <w:pStyle w:val="FootnoteText"/>
      </w:pPr>
      <w:r>
        <w:rPr>
          <w:rStyle w:val="FootnoteReference"/>
        </w:rPr>
        <w:footnoteRef/>
      </w:r>
      <w:r>
        <w:rPr>
          <w:i/>
          <w:iCs/>
        </w:rPr>
        <w:t xml:space="preserve">5.3r</w:t>
      </w:r>
      <w:r>
        <w:t xml:space="preserve">.</w:t>
      </w:r>
    </w:p>
  </w:footnote>
  <w:footnote w:id="1067">
    <w:p>
      <w:pPr>
        <w:pStyle w:val="FootnoteText"/>
      </w:pPr>
      <w:r>
        <w:rPr>
          <w:rStyle w:val="FootnoteReference"/>
        </w:rPr>
        <w:footnoteRef/>
      </w:r>
      <w:r>
        <w:rPr>
          <w:i/>
          <w:iCs/>
        </w:rPr>
        <w:t xml:space="preserve">(1.)</w:t>
      </w:r>
      <w:r>
        <w:t xml:space="preserve">.</w:t>
      </w:r>
    </w:p>
  </w:footnote>
  <w:footnote w:id="1068">
    <w:p>
      <w:pPr>
        <w:pStyle w:val="FootnoteText"/>
      </w:pPr>
      <w:r>
        <w:rPr>
          <w:rStyle w:val="FootnoteReference"/>
        </w:rPr>
        <w:footnoteRef/>
      </w:r>
      <w:r>
        <w:t xml:space="preserve">JE clearly intends to refer to the whole pattern of divine commands in the Old Testament, not simply to the Decalogue.</w:t>
      </w:r>
    </w:p>
  </w:footnote>
  <w:footnote w:id="1069">
    <w:p>
      <w:pPr>
        <w:pStyle w:val="FootnoteText"/>
      </w:pPr>
      <w:r>
        <w:rPr>
          <w:rStyle w:val="FootnoteReference"/>
        </w:rPr>
        <w:footnoteRef/>
      </w:r>
      <w:r>
        <w:rPr>
          <w:i/>
          <w:iCs/>
        </w:rPr>
        <w:t xml:space="preserve">(2.)</w:t>
      </w:r>
      <w:r>
        <w:t xml:space="preserve">.</w:t>
      </w:r>
    </w:p>
  </w:footnote>
  <w:footnote w:id="1070">
    <w:p>
      <w:pPr>
        <w:pStyle w:val="FootnoteText"/>
      </w:pPr>
      <w:r>
        <w:rPr>
          <w:rStyle w:val="FootnoteReference"/>
        </w:rPr>
        <w:footnoteRef/>
      </w:r>
      <w:r>
        <w:t xml:space="preserve">Genesis 2:17.</w:t>
      </w:r>
    </w:p>
  </w:footnote>
  <w:footnote w:id="1071">
    <w:p>
      <w:pPr>
        <w:pStyle w:val="FootnoteText"/>
      </w:pPr>
      <w:r>
        <w:rPr>
          <w:rStyle w:val="FootnoteReference"/>
        </w:rPr>
        <w:footnoteRef/>
      </w:r>
      <w:r>
        <w:rPr>
          <w:i/>
          <w:iCs/>
        </w:rPr>
        <w:t xml:space="preserve">(3.)</w:t>
      </w:r>
      <w:r>
        <w:t xml:space="preserve">.</w:t>
      </w:r>
    </w:p>
  </w:footnote>
  <w:footnote w:id="1072">
    <w:p>
      <w:pPr>
        <w:pStyle w:val="FootnoteText"/>
      </w:pPr>
      <w:r>
        <w:rPr>
          <w:rStyle w:val="FootnoteReference"/>
        </w:rPr>
        <w:footnoteRef/>
      </w:r>
      <w:r>
        <w:rPr>
          <w:i/>
          <w:iCs/>
        </w:rPr>
        <w:t xml:space="preserve">5.3v</w:t>
      </w:r>
      <w:r>
        <w:t xml:space="preserve">.</w:t>
      </w:r>
    </w:p>
  </w:footnote>
  <w:footnote w:id="1073">
    <w:p>
      <w:pPr>
        <w:pStyle w:val="FootnoteText"/>
      </w:pPr>
      <w:r>
        <w:rPr>
          <w:rStyle w:val="FootnoteReference"/>
        </w:rPr>
        <w:footnoteRef/>
      </w:r>
      <w:r>
        <w:rPr>
          <w:i/>
          <w:iCs/>
        </w:rPr>
        <w:t xml:space="preserve">b</w:t>
      </w:r>
      <w:r>
        <w:t xml:space="preserve">. In the structure of the argument, this is the second branch of JE's discussion of the incarnation.</w:t>
      </w:r>
    </w:p>
  </w:footnote>
  <w:footnote w:id="1074">
    <w:p>
      <w:pPr>
        <w:pStyle w:val="FootnoteText"/>
      </w:pPr>
      <w:r>
        <w:rPr>
          <w:rStyle w:val="FootnoteReference"/>
        </w:rPr>
        <w:footnoteRef/>
      </w:r>
      <w:r>
        <w:rPr>
          <w:i/>
          <w:iCs/>
        </w:rPr>
        <w:t xml:space="preserve">(1.)</w:t>
      </w:r>
      <w:r>
        <w:t xml:space="preserve">.</w:t>
      </w:r>
    </w:p>
  </w:footnote>
  <w:footnote w:id="1075">
    <w:p>
      <w:pPr>
        <w:pStyle w:val="FootnoteText"/>
      </w:pPr>
      <w:r>
        <w:rPr>
          <w:rStyle w:val="FootnoteReference"/>
        </w:rPr>
        <w:footnoteRef/>
      </w:r>
      <w:r>
        <w:rPr>
          <w:i/>
          <w:iCs/>
        </w:rPr>
        <w:t xml:space="preserve">(a.)</w:t>
      </w:r>
      <w:r>
        <w:t xml:space="preserve">.</w:t>
      </w:r>
    </w:p>
  </w:footnote>
  <w:footnote w:id="1076">
    <w:p>
      <w:pPr>
        <w:pStyle w:val="FootnoteText"/>
      </w:pPr>
      <w:r>
        <w:rPr>
          <w:rStyle w:val="FootnoteReference"/>
        </w:rPr>
        <w:footnoteRef/>
      </w:r>
      <w:r>
        <w:rPr>
          <w:i/>
          <w:iCs/>
        </w:rPr>
        <w:t xml:space="preserve">5.4r</w:t>
      </w:r>
      <w:r>
        <w:t xml:space="preserve">.</w:t>
      </w:r>
    </w:p>
  </w:footnote>
  <w:footnote w:id="1077">
    <w:p>
      <w:pPr>
        <w:pStyle w:val="FootnoteText"/>
      </w:pPr>
      <w:r>
        <w:rPr>
          <w:rStyle w:val="FootnoteReference"/>
        </w:rPr>
        <w:footnoteRef/>
      </w:r>
      <w:r>
        <w:rPr>
          <w:i/>
          <w:iCs/>
        </w:rPr>
        <w:t xml:space="preserve">(b.)</w:t>
      </w:r>
      <w:r>
        <w:t xml:space="preserve">.</w:t>
      </w:r>
    </w:p>
  </w:footnote>
  <w:footnote w:id="1078">
    <w:p>
      <w:pPr>
        <w:pStyle w:val="FootnoteText"/>
      </w:pPr>
      <w:r>
        <w:rPr>
          <w:rStyle w:val="FootnoteReference"/>
        </w:rPr>
        <w:footnoteRef/>
      </w:r>
      <w:r>
        <w:rPr>
          <w:i/>
          <w:iCs/>
        </w:rPr>
        <w:t xml:space="preserve">(2.)</w:t>
      </w:r>
      <w:r>
        <w:t xml:space="preserve">.</w:t>
      </w:r>
    </w:p>
  </w:footnote>
  <w:footnote w:id="1079">
    <w:p>
      <w:pPr>
        <w:pStyle w:val="FootnoteText"/>
      </w:pPr>
      <w:r>
        <w:rPr>
          <w:rStyle w:val="FootnoteReference"/>
        </w:rPr>
        <w:footnoteRef/>
      </w:r>
      <w:r>
        <w:rPr>
          <w:i/>
          <w:iCs/>
        </w:rPr>
        <w:t xml:space="preserve">5.4v</w:t>
      </w:r>
      <w:r>
        <w:t xml:space="preserve">.</w:t>
      </w:r>
    </w:p>
  </w:footnote>
  <w:footnote w:id="1080">
    <w:p>
      <w:pPr>
        <w:pStyle w:val="FootnoteText"/>
      </w:pPr>
      <w:r>
        <w:rPr>
          <w:rStyle w:val="FootnoteReference"/>
        </w:rPr>
        <w:footnoteRef/>
      </w:r>
      <w:r>
        <w:t xml:space="preserve">Genesis 3:19. </w:t>
      </w:r>
      <w:r>
        <w:rPr>
          <w:i/>
          <w:iCs/>
        </w:rPr>
        <w:t xml:space="preserve">5.5r</w:t>
      </w:r>
      <w:r>
        <w:t xml:space="preserve">.</w:t>
      </w:r>
    </w:p>
  </w:footnote>
  <w:footnote w:id="1081">
    <w:p>
      <w:pPr>
        <w:pStyle w:val="FootnoteText"/>
      </w:pPr>
      <w:r>
        <w:rPr>
          <w:rStyle w:val="FootnoteReference"/>
        </w:rPr>
        <w:footnoteRef/>
      </w:r>
      <w:r>
        <w:t xml:space="preserve">An alternative reading is "church."</w:t>
      </w:r>
    </w:p>
  </w:footnote>
  <w:footnote w:id="1082">
    <w:p>
      <w:pPr>
        <w:pStyle w:val="FootnoteText"/>
      </w:pPr>
      <w:r>
        <w:rPr>
          <w:rStyle w:val="FootnoteReference"/>
        </w:rPr>
        <w:footnoteRef/>
      </w:r>
      <w:r>
        <w:rPr>
          <w:i/>
          <w:iCs/>
        </w:rPr>
        <w:t xml:space="preserve">5.5v</w:t>
      </w:r>
      <w:r>
        <w:t xml:space="preserve">.</w:t>
      </w:r>
    </w:p>
  </w:footnote>
  <w:footnote w:id="1083">
    <w:p>
      <w:pPr>
        <w:pStyle w:val="FootnoteText"/>
      </w:pPr>
      <w:r>
        <w:rPr>
          <w:rStyle w:val="FootnoteReference"/>
        </w:rPr>
        <w:footnoteRef/>
      </w:r>
      <w:r>
        <w:t xml:space="preserve">In this paragraph JE's text is sketchy. Necessary words are inserted in brackets.</w:t>
      </w:r>
    </w:p>
  </w:footnote>
  <w:footnote w:id="1084">
    <w:p>
      <w:pPr>
        <w:pStyle w:val="FootnoteText"/>
      </w:pPr>
      <w:r>
        <w:rPr>
          <w:rStyle w:val="FootnoteReference"/>
        </w:rPr>
        <w:footnoteRef/>
      </w:r>
      <w:r>
        <w:rPr>
          <w:i/>
          <w:iCs/>
        </w:rPr>
        <w:t xml:space="preserve">5.6r</w:t>
      </w:r>
      <w:r>
        <w:t xml:space="preserve">.</w:t>
      </w:r>
    </w:p>
  </w:footnote>
  <w:footnote w:id="1085">
    <w:p>
      <w:pPr>
        <w:pStyle w:val="FootnoteText"/>
      </w:pPr>
      <w:r>
        <w:rPr>
          <w:rStyle w:val="FootnoteReference"/>
        </w:rPr>
        <w:footnoteRef/>
      </w:r>
      <w:r>
        <w:t xml:space="preserve">JE's text indicates that appropriate phrases and clauses are to complete the rhetorical structure of this section. I have supplied them.</w:t>
      </w:r>
    </w:p>
  </w:footnote>
  <w:footnote w:id="1086">
    <w:p>
      <w:pPr>
        <w:pStyle w:val="FootnoteText"/>
      </w:pPr>
      <w:r>
        <w:rPr>
          <w:rStyle w:val="FootnoteReference"/>
        </w:rPr>
        <w:footnoteRef/>
      </w:r>
      <w:r>
        <w:rPr>
          <w:i/>
          <w:iCs/>
        </w:rPr>
        <w:t xml:space="preserve">5.6v</w:t>
      </w:r>
      <w:r>
        <w:t xml:space="preserve">.</w:t>
      </w:r>
    </w:p>
  </w:footnote>
  <w:footnote w:id="1087">
    <w:p>
      <w:pPr>
        <w:pStyle w:val="FootnoteText"/>
      </w:pPr>
      <w:r>
        <w:rPr>
          <w:rStyle w:val="FootnoteReference"/>
        </w:rPr>
        <w:footnoteRef/>
      </w:r>
      <w:r>
        <w:rPr>
          <w:i/>
          <w:iCs/>
        </w:rPr>
        <w:t xml:space="preserve">(3.)</w:t>
      </w:r>
      <w:r>
        <w:t xml:space="preserve">.</w:t>
      </w:r>
    </w:p>
  </w:footnote>
  <w:footnote w:id="1088">
    <w:p>
      <w:pPr>
        <w:pStyle w:val="FootnoteText"/>
      </w:pPr>
      <w:r>
        <w:rPr>
          <w:rStyle w:val="FootnoteReference"/>
        </w:rPr>
        <w:footnoteRef/>
      </w:r>
      <w:r>
        <w:rPr>
          <w:i/>
          <w:iCs/>
        </w:rPr>
        <w:t xml:space="preserve">5.7r</w:t>
      </w:r>
      <w:r>
        <w:t xml:space="preserve">.</w:t>
      </w:r>
    </w:p>
  </w:footnote>
  <w:footnote w:id="1089">
    <w:p>
      <w:pPr>
        <w:pStyle w:val="FootnoteText"/>
      </w:pPr>
      <w:r>
        <w:rPr>
          <w:rStyle w:val="FootnoteReference"/>
        </w:rPr>
        <w:footnoteRef/>
      </w:r>
      <w:r>
        <w:rPr>
          <w:i/>
          <w:iCs/>
        </w:rPr>
        <w:t xml:space="preserve">(4.)</w:t>
      </w:r>
      <w:r>
        <w:t xml:space="preserve">.</w:t>
      </w:r>
    </w:p>
  </w:footnote>
  <w:footnote w:id="1090">
    <w:p>
      <w:pPr>
        <w:pStyle w:val="FootnoteText"/>
      </w:pPr>
      <w:r>
        <w:rPr>
          <w:rStyle w:val="FootnoteReference"/>
        </w:rPr>
        <w:footnoteRef/>
      </w:r>
      <w:r>
        <w:t xml:space="preserve">For the birth narratives, see especially Matthew 1 and Luke 1:26–2:7.</w:t>
      </w:r>
    </w:p>
  </w:footnote>
  <w:footnote w:id="1091">
    <w:p>
      <w:pPr>
        <w:pStyle w:val="FootnoteText"/>
      </w:pPr>
      <w:r>
        <w:rPr>
          <w:rStyle w:val="FootnoteReference"/>
        </w:rPr>
        <w:footnoteRef/>
      </w:r>
      <w:r>
        <w:t xml:space="preserve">Luke 2:24 reads "And to offer a sacrifice according to that which is said in the law of the Lord, A pair of turtledoves, or two young pigeons," which refers to Leviticus 12:2, Leviticus 12:6, Leviticus 12:8, "And if she be not able to bring a lamb, then she shall bring two turtle[dove]s, or two young pigeons." It is unclear whether JE intended to quote these passages.</w:t>
      </w:r>
    </w:p>
  </w:footnote>
  <w:footnote w:id="1092">
    <w:p>
      <w:pPr>
        <w:pStyle w:val="FootnoteText"/>
      </w:pPr>
      <w:r>
        <w:rPr>
          <w:rStyle w:val="FootnoteReference"/>
        </w:rPr>
        <w:footnoteRef/>
      </w:r>
      <w:r>
        <w:t xml:space="preserve">It is unclear how much of this verse JE intended to quote.</w:t>
      </w:r>
    </w:p>
  </w:footnote>
  <w:footnote w:id="1093">
    <w:p>
      <w:pPr>
        <w:pStyle w:val="FootnoteText"/>
      </w:pPr>
      <w:r>
        <w:rPr>
          <w:rStyle w:val="FootnoteReference"/>
        </w:rPr>
        <w:footnoteRef/>
      </w:r>
      <w:r>
        <w:t xml:space="preserve">A reference to the prophecy in Micah 5:2. JE may have intended to develop this point further, for the manuscript allows sufficient space to do so.</w:t>
      </w:r>
    </w:p>
  </w:footnote>
  <w:footnote w:id="1094">
    <w:p>
      <w:pPr>
        <w:pStyle w:val="FootnoteText"/>
      </w:pPr>
      <w:r>
        <w:rPr>
          <w:rStyle w:val="FootnoteReference"/>
        </w:rPr>
        <w:footnoteRef/>
      </w:r>
      <w:r>
        <w:rPr>
          <w:i/>
          <w:iCs/>
        </w:rPr>
        <w:t xml:space="preserve">5.7v</w:t>
      </w:r>
      <w:r>
        <w:t xml:space="preserve">.</w:t>
      </w:r>
    </w:p>
  </w:footnote>
  <w:footnote w:id="1095">
    <w:p>
      <w:pPr>
        <w:pStyle w:val="FootnoteText"/>
      </w:pPr>
      <w:r>
        <w:rPr>
          <w:rStyle w:val="FootnoteReference"/>
        </w:rPr>
        <w:footnoteRef/>
      </w:r>
      <w:r>
        <w:rPr>
          <w:i/>
          <w:iCs/>
        </w:rPr>
        <w:t xml:space="preserve">(5.)</w:t>
      </w:r>
      <w:r>
        <w:t xml:space="preserve">.</w:t>
      </w:r>
    </w:p>
  </w:footnote>
  <w:footnote w:id="1096">
    <w:p>
      <w:pPr>
        <w:pStyle w:val="FootnoteText"/>
      </w:pPr>
      <w:r>
        <w:rPr>
          <w:rStyle w:val="FootnoteReference"/>
        </w:rPr>
        <w:footnoteRef/>
      </w:r>
      <w:r>
        <w:rPr>
          <w:i/>
          <w:iCs/>
        </w:rPr>
        <w:t xml:space="preserve">(a.)</w:t>
      </w:r>
      <w:r>
        <w:t xml:space="preserve">.</w:t>
      </w:r>
    </w:p>
  </w:footnote>
  <w:footnote w:id="1097">
    <w:p>
      <w:pPr>
        <w:pStyle w:val="FootnoteText"/>
      </w:pPr>
      <w:r>
        <w:rPr>
          <w:rStyle w:val="FootnoteReference"/>
        </w:rPr>
        <w:footnoteRef/>
      </w:r>
      <w:r>
        <w:t xml:space="preserve">Luke 1:5–23.</w:t>
      </w:r>
    </w:p>
  </w:footnote>
  <w:footnote w:id="1098">
    <w:p>
      <w:pPr>
        <w:pStyle w:val="FootnoteText"/>
      </w:pPr>
      <w:r>
        <w:rPr>
          <w:rStyle w:val="FootnoteReference"/>
        </w:rPr>
        <w:footnoteRef/>
      </w:r>
      <w:r>
        <w:rPr>
          <w:i/>
          <w:iCs/>
        </w:rPr>
        <w:t xml:space="preserve">5.8r</w:t>
      </w:r>
      <w:r>
        <w:t xml:space="preserve">. Matthew 1:18–25; Luke 1:26–38.</w:t>
      </w:r>
    </w:p>
  </w:footnote>
  <w:footnote w:id="1099">
    <w:p>
      <w:pPr>
        <w:pStyle w:val="FootnoteText"/>
      </w:pPr>
      <w:r>
        <w:rPr>
          <w:rStyle w:val="FootnoteReference"/>
        </w:rPr>
        <w:footnoteRef/>
      </w:r>
      <w:r>
        <w:t xml:space="preserve">Luke 1:41–56.</w:t>
      </w:r>
    </w:p>
  </w:footnote>
  <w:footnote w:id="1100">
    <w:p>
      <w:pPr>
        <w:pStyle w:val="FootnoteText"/>
      </w:pPr>
      <w:r>
        <w:rPr>
          <w:rStyle w:val="FootnoteReference"/>
        </w:rPr>
        <w:footnoteRef/>
      </w:r>
      <w:r>
        <w:t xml:space="preserve">See also Luke 1:67–79.</w:t>
      </w:r>
    </w:p>
  </w:footnote>
  <w:footnote w:id="1101">
    <w:p>
      <w:pPr>
        <w:pStyle w:val="FootnoteText"/>
      </w:pPr>
      <w:r>
        <w:rPr>
          <w:rStyle w:val="FootnoteReference"/>
        </w:rPr>
        <w:footnoteRef/>
      </w:r>
      <w:r>
        <w:t xml:space="preserve">See also Luke 2:8–12, Luke 2:25–38.</w:t>
      </w:r>
    </w:p>
  </w:footnote>
  <w:footnote w:id="1102">
    <w:p>
      <w:pPr>
        <w:pStyle w:val="FootnoteText"/>
      </w:pPr>
      <w:r>
        <w:rPr>
          <w:rStyle w:val="FootnoteReference"/>
        </w:rPr>
        <w:footnoteRef/>
      </w:r>
      <w:r>
        <w:t xml:space="preserve">Matthew 2:1–11.</w:t>
      </w:r>
    </w:p>
  </w:footnote>
  <w:footnote w:id="1103">
    <w:p>
      <w:pPr>
        <w:pStyle w:val="FootnoteText"/>
      </w:pPr>
      <w:r>
        <w:rPr>
          <w:rStyle w:val="FootnoteReference"/>
        </w:rPr>
        <w:footnoteRef/>
      </w:r>
      <w:r>
        <w:t xml:space="preserve">Matthew 2:13–23.</w:t>
      </w:r>
    </w:p>
  </w:footnote>
  <w:footnote w:id="1104">
    <w:p>
      <w:pPr>
        <w:pStyle w:val="FootnoteText"/>
      </w:pPr>
      <w:r>
        <w:rPr>
          <w:rStyle w:val="FootnoteReference"/>
        </w:rPr>
        <w:footnoteRef/>
      </w:r>
      <w:r>
        <w:rPr>
          <w:i/>
          <w:iCs/>
        </w:rPr>
        <w:t xml:space="preserve">(b.)</w:t>
      </w:r>
      <w:r>
        <w:t xml:space="preserve">.</w:t>
      </w:r>
    </w:p>
  </w:footnote>
  <w:footnote w:id="1105">
    <w:p>
      <w:pPr>
        <w:pStyle w:val="FootnoteText"/>
      </w:pPr>
      <w:r>
        <w:rPr>
          <w:rStyle w:val="FootnoteReference"/>
        </w:rPr>
        <w:footnoteRef/>
      </w:r>
      <w:r>
        <w:rPr>
          <w:i/>
          <w:iCs/>
        </w:rPr>
        <w:t xml:space="preserve">1</w:t>
      </w:r>
      <w:r>
        <w:t xml:space="preserve">.</w:t>
      </w:r>
    </w:p>
  </w:footnote>
  <w:footnote w:id="1106">
    <w:p>
      <w:pPr>
        <w:pStyle w:val="FootnoteText"/>
      </w:pPr>
      <w:r>
        <w:rPr>
          <w:rStyle w:val="FootnoteReference"/>
        </w:rPr>
        <w:footnoteRef/>
      </w:r>
      <w:r>
        <w:t xml:space="preserve">Luke 2:13–18.</w:t>
      </w:r>
    </w:p>
  </w:footnote>
  <w:footnote w:id="1107">
    <w:p>
      <w:pPr>
        <w:pStyle w:val="FootnoteText"/>
      </w:pPr>
      <w:r>
        <w:rPr>
          <w:rStyle w:val="FootnoteReference"/>
        </w:rPr>
        <w:footnoteRef/>
      </w:r>
      <w:r>
        <w:t xml:space="preserve">Unclear whether JE intended to quote.</w:t>
      </w:r>
    </w:p>
  </w:footnote>
  <w:footnote w:id="1108">
    <w:p>
      <w:pPr>
        <w:pStyle w:val="FootnoteText"/>
      </w:pPr>
      <w:r>
        <w:rPr>
          <w:rStyle w:val="FootnoteReference"/>
        </w:rPr>
        <w:footnoteRef/>
      </w:r>
      <w:r>
        <w:rPr>
          <w:i/>
          <w:iCs/>
        </w:rPr>
        <w:t xml:space="preserve">5.8v</w:t>
      </w:r>
      <w:r>
        <w:t xml:space="preserve">.</w:t>
      </w:r>
    </w:p>
  </w:footnote>
  <w:footnote w:id="1109">
    <w:p>
      <w:pPr>
        <w:pStyle w:val="FootnoteText"/>
      </w:pPr>
      <w:r>
        <w:rPr>
          <w:rStyle w:val="FootnoteReference"/>
        </w:rPr>
        <w:footnoteRef/>
      </w:r>
      <w:r>
        <w:rPr>
          <w:i/>
          <w:iCs/>
        </w:rPr>
        <w:t xml:space="preserve">2</w:t>
      </w:r>
      <w:r>
        <w:t xml:space="preserve">.</w:t>
      </w:r>
    </w:p>
  </w:footnote>
  <w:footnote w:id="1110">
    <w:p>
      <w:pPr>
        <w:pStyle w:val="FootnoteText"/>
      </w:pPr>
      <w:r>
        <w:rPr>
          <w:rStyle w:val="FootnoteReference"/>
        </w:rPr>
        <w:footnoteRef/>
      </w:r>
      <w:r>
        <w:rPr>
          <w:i/>
          <w:iCs/>
        </w:rPr>
        <w:t xml:space="preserve">5.9r</w:t>
      </w:r>
      <w:r>
        <w:t xml:space="preserve">.</w:t>
      </w:r>
    </w:p>
  </w:footnote>
  <w:footnote w:id="1111">
    <w:p>
      <w:pPr>
        <w:pStyle w:val="FootnoteText"/>
      </w:pPr>
      <w:r>
        <w:rPr>
          <w:rStyle w:val="FootnoteReference"/>
        </w:rPr>
        <w:footnoteRef/>
      </w:r>
      <w:r>
        <w:t xml:space="preserve">Luke 1:39–56.</w:t>
      </w:r>
    </w:p>
  </w:footnote>
  <w:footnote w:id="1112">
    <w:p>
      <w:pPr>
        <w:pStyle w:val="FootnoteText"/>
      </w:pPr>
      <w:r>
        <w:rPr>
          <w:rStyle w:val="FootnoteReference"/>
        </w:rPr>
        <w:footnoteRef/>
      </w:r>
      <w:r>
        <w:t xml:space="preserve">Luke 1:57–80; Luke 2:15–20, Luke 2:25–38.</w:t>
      </w:r>
    </w:p>
  </w:footnote>
  <w:footnote w:id="1113">
    <w:p>
      <w:pPr>
        <w:pStyle w:val="FootnoteText"/>
      </w:pPr>
      <w:r>
        <w:rPr>
          <w:rStyle w:val="FootnoteReference"/>
        </w:rPr>
        <w:footnoteRef/>
      </w:r>
      <w:r>
        <w:rPr>
          <w:i/>
          <w:iCs/>
        </w:rPr>
        <w:t xml:space="preserve">3</w:t>
      </w:r>
      <w:r>
        <w:t xml:space="preserve">.</w:t>
      </w:r>
    </w:p>
  </w:footnote>
  <w:footnote w:id="1114">
    <w:p>
      <w:pPr>
        <w:pStyle w:val="FootnoteText"/>
      </w:pPr>
      <w:r>
        <w:rPr>
          <w:rStyle w:val="FootnoteReference"/>
        </w:rPr>
        <w:footnoteRef/>
      </w:r>
      <w:r>
        <w:t xml:space="preserve">Matthew 2:1–12.</w:t>
      </w:r>
    </w:p>
  </w:footnote>
  <w:footnote w:id="1115">
    <w:p>
      <w:pPr>
        <w:pStyle w:val="FootnoteText"/>
      </w:pPr>
      <w:r>
        <w:rPr>
          <w:rStyle w:val="FootnoteReference"/>
        </w:rPr>
        <w:footnoteRef/>
      </w:r>
      <w:r>
        <w:rPr>
          <w:i/>
          <w:iCs/>
        </w:rPr>
        <w:t xml:space="preserve">5.9v</w:t>
      </w:r>
      <w:r>
        <w:t xml:space="preserve">.</w:t>
      </w:r>
    </w:p>
  </w:footnote>
  <w:footnote w:id="1116">
    <w:p>
      <w:pPr>
        <w:pStyle w:val="FootnoteText"/>
      </w:pPr>
      <w:r>
        <w:rPr>
          <w:rStyle w:val="FootnoteReference"/>
        </w:rPr>
        <w:footnoteRef/>
      </w:r>
      <w:r>
        <w:t xml:space="preserve">JE uses Revelation 22:16 to comment on Matthew 2:7–11.</w:t>
      </w:r>
    </w:p>
  </w:footnote>
  <w:footnote w:id="1117">
    <w:p>
      <w:pPr>
        <w:pStyle w:val="FootnoteText"/>
      </w:pPr>
      <w:r>
        <w:rPr>
          <w:rStyle w:val="FootnoteReference"/>
        </w:rPr>
        <w:footnoteRef/>
      </w:r>
      <w:r>
        <w:t xml:space="preserve">See Numbers 24:17.</w:t>
      </w:r>
    </w:p>
  </w:footnote>
  <w:footnote w:id="1118">
    <w:p>
      <w:pPr>
        <w:pStyle w:val="FootnoteText"/>
      </w:pPr>
      <w:r>
        <w:rPr>
          <w:rStyle w:val="FootnoteReference"/>
        </w:rPr>
        <w:footnoteRef/>
      </w:r>
      <w:r>
        <w:rPr>
          <w:i/>
          <w:iCs/>
        </w:rPr>
        <w:t xml:space="preserve">(c.)</w:t>
      </w:r>
      <w:r>
        <w:t xml:space="preserve">.</w:t>
      </w:r>
    </w:p>
  </w:footnote>
  <w:footnote w:id="1119">
    <w:p>
      <w:pPr>
        <w:pStyle w:val="FootnoteText"/>
      </w:pPr>
      <w:r>
        <w:rPr>
          <w:rStyle w:val="FootnoteReference"/>
        </w:rPr>
        <w:footnoteRef/>
      </w:r>
      <w:r>
        <w:rPr>
          <w:i/>
          <w:iCs/>
        </w:rPr>
        <w:t xml:space="preserve">(d.)</w:t>
      </w:r>
      <w:r>
        <w:t xml:space="preserve">.</w:t>
      </w:r>
    </w:p>
  </w:footnote>
  <w:footnote w:id="1120">
    <w:p>
      <w:pPr>
        <w:pStyle w:val="FootnoteText"/>
      </w:pPr>
      <w:r>
        <w:rPr>
          <w:rStyle w:val="FootnoteReference"/>
        </w:rPr>
        <w:footnoteRef/>
      </w:r>
      <w:r>
        <w:rPr>
          <w:i/>
          <w:iCs/>
        </w:rPr>
        <w:t xml:space="preserve">5.10r</w:t>
      </w:r>
      <w:r>
        <w:t xml:space="preserve">.</w:t>
      </w:r>
    </w:p>
  </w:footnote>
  <w:footnote w:id="1121">
    <w:p>
      <w:pPr>
        <w:pStyle w:val="FootnoteText"/>
      </w:pPr>
      <w:r>
        <w:rPr>
          <w:rStyle w:val="FootnoteReference"/>
        </w:rPr>
        <w:footnoteRef/>
      </w:r>
      <w:r>
        <w:t xml:space="preserve">Luke 2:22–24.</w:t>
      </w:r>
    </w:p>
  </w:footnote>
  <w:footnote w:id="1122">
    <w:p>
      <w:pPr>
        <w:pStyle w:val="FootnoteText"/>
      </w:pPr>
      <w:r>
        <w:rPr>
          <w:rStyle w:val="FootnoteReference"/>
        </w:rPr>
        <w:footnoteRef/>
      </w:r>
      <w:r>
        <w:rPr>
          <w:i/>
          <w:iCs/>
        </w:rPr>
        <w:t xml:space="preserve">(e.)</w:t>
      </w:r>
      <w:r>
        <w:t xml:space="preserve">.</w:t>
      </w:r>
    </w:p>
  </w:footnote>
  <w:footnote w:id="1123">
    <w:p>
      <w:pPr>
        <w:pStyle w:val="FootnoteText"/>
      </w:pPr>
      <w:r>
        <w:rPr>
          <w:rStyle w:val="FootnoteReference"/>
        </w:rPr>
        <w:footnoteRef/>
      </w:r>
      <w:r>
        <w:t xml:space="preserve">Matthew 2:15, Matthew 2:19, Matthew 2:22.</w:t>
      </w:r>
    </w:p>
  </w:footnote>
  <w:footnote w:id="1124">
    <w:p>
      <w:pPr>
        <w:pStyle w:val="FootnoteText"/>
      </w:pPr>
      <w:r>
        <w:rPr>
          <w:rStyle w:val="FootnoteReference"/>
        </w:rPr>
        <w:footnoteRef/>
      </w:r>
      <w:r>
        <w:t xml:space="preserve">1 Kings 12. See JE's comments in Sermons 9 and 10 above.</w:t>
      </w:r>
    </w:p>
  </w:footnote>
  <w:footnote w:id="1125">
    <w:p>
      <w:pPr>
        <w:pStyle w:val="FootnoteText"/>
      </w:pPr>
      <w:r>
        <w:rPr>
          <w:rStyle w:val="FootnoteReference"/>
        </w:rPr>
        <w:footnoteRef/>
      </w:r>
      <w:r>
        <w:t xml:space="preserve">2 Kings 17. See JE's comments in Sermon 9.</w:t>
      </w:r>
    </w:p>
  </w:footnote>
  <w:footnote w:id="1126">
    <w:p>
      <w:pPr>
        <w:pStyle w:val="FootnoteText"/>
      </w:pPr>
      <w:r>
        <w:rPr>
          <w:rStyle w:val="FootnoteReference"/>
        </w:rPr>
        <w:footnoteRef/>
      </w:r>
      <w:r>
        <w:t xml:space="preserve">See Sermons 8 and 9.</w:t>
      </w:r>
    </w:p>
  </w:footnote>
  <w:footnote w:id="1127">
    <w:p>
      <w:pPr>
        <w:pStyle w:val="FootnoteText"/>
      </w:pPr>
      <w:r>
        <w:rPr>
          <w:rStyle w:val="FootnoteReference"/>
        </w:rPr>
        <w:footnoteRef/>
      </w:r>
      <w:r>
        <w:t xml:space="preserve">See JE's comments on Ezra and Nehemiah in Sermon 11.</w:t>
      </w:r>
    </w:p>
  </w:footnote>
  <w:footnote w:id="1128">
    <w:p>
      <w:pPr>
        <w:pStyle w:val="FootnoteText"/>
      </w:pPr>
      <w:r>
        <w:rPr>
          <w:rStyle w:val="FootnoteReference"/>
        </w:rPr>
        <w:footnoteRef/>
      </w:r>
      <w:r>
        <w:rPr>
          <w:i/>
          <w:iCs/>
        </w:rPr>
        <w:t xml:space="preserve">5.10v</w:t>
      </w:r>
      <w:r>
        <w:t xml:space="preserve">.</w:t>
      </w:r>
    </w:p>
  </w:footnote>
  <w:footnote w:id="1129">
    <w:p>
      <w:pPr>
        <w:pStyle w:val="FootnoteText"/>
      </w:pPr>
      <w:r>
        <w:rPr>
          <w:rStyle w:val="FootnoteReference"/>
        </w:rPr>
        <w:footnoteRef/>
      </w:r>
      <w:r>
        <w:t xml:space="preserve">Phrase from Genesis 49:10. See Sermon 11.</w:t>
      </w:r>
    </w:p>
  </w:footnote>
  <w:footnote w:id="1130">
    <w:p>
      <w:pPr>
        <w:pStyle w:val="FootnoteText"/>
      </w:pPr>
      <w:r>
        <w:rPr>
          <w:rStyle w:val="FootnoteReference"/>
        </w:rPr>
        <w:footnoteRef/>
      </w:r>
      <w:r>
        <w:t xml:space="preserve">See Sermon 12.</w:t>
      </w:r>
    </w:p>
  </w:footnote>
  <w:footnote w:id="1131">
    <w:p>
      <w:pPr>
        <w:pStyle w:val="FootnoteText"/>
      </w:pPr>
      <w:r>
        <w:rPr>
          <w:rStyle w:val="FootnoteReference"/>
        </w:rPr>
        <w:footnoteRef/>
      </w:r>
      <w:r>
        <w:rPr>
          <w:i/>
          <w:iCs/>
        </w:rPr>
        <w:t xml:space="preserve">5.11r</w:t>
      </w:r>
      <w:r>
        <w:t xml:space="preserve">.</w:t>
      </w:r>
    </w:p>
  </w:footnote>
  <w:footnote w:id="1132">
    <w:p>
      <w:pPr>
        <w:pStyle w:val="FootnoteText"/>
      </w:pPr>
      <w:r>
        <w:rPr>
          <w:rStyle w:val="FootnoteReference"/>
        </w:rPr>
        <w:footnoteRef/>
      </w:r>
      <w:r>
        <w:t xml:space="preserve">Fulfilling the prophecy of Genesis 49:10.</w:t>
      </w:r>
    </w:p>
  </w:footnote>
  <w:footnote w:id="1133">
    <w:p>
      <w:pPr>
        <w:pStyle w:val="FootnoteText"/>
      </w:pPr>
      <w:r>
        <w:rPr>
          <w:rStyle w:val="FootnoteReference"/>
        </w:rPr>
        <w:footnoteRef/>
      </w:r>
      <w:r>
        <w:rPr>
          <w:i/>
          <w:iCs/>
        </w:rPr>
        <w:t xml:space="preserve">2</w:t>
      </w:r>
      <w:r>
        <w:t xml:space="preserve">.</w:t>
      </w:r>
    </w:p>
  </w:footnote>
  <w:footnote w:id="1134">
    <w:p>
      <w:pPr>
        <w:pStyle w:val="FootnoteText"/>
      </w:pPr>
      <w:r>
        <w:rPr>
          <w:rStyle w:val="FootnoteReference"/>
        </w:rPr>
        <w:footnoteRef/>
      </w:r>
      <w:r>
        <w:rPr>
          <w:i/>
          <w:iCs/>
        </w:rPr>
        <w:t xml:space="preserve">a</w:t>
      </w:r>
      <w:r>
        <w:t xml:space="preserve">.</w:t>
      </w:r>
    </w:p>
  </w:footnote>
  <w:footnote w:id="1135">
    <w:p>
      <w:pPr>
        <w:pStyle w:val="FootnoteText"/>
      </w:pPr>
      <w:r>
        <w:rPr>
          <w:rStyle w:val="FootnoteReference"/>
        </w:rPr>
        <w:footnoteRef/>
      </w:r>
      <w:r>
        <w:rPr>
          <w:i/>
          <w:iCs/>
        </w:rPr>
        <w:t xml:space="preserve">5.11v</w:t>
      </w:r>
      <w:r>
        <w:t xml:space="preserve">.</w:t>
      </w:r>
    </w:p>
  </w:footnote>
  <w:footnote w:id="1136">
    <w:p>
      <w:pPr>
        <w:pStyle w:val="FootnoteText"/>
      </w:pPr>
      <w:r>
        <w:rPr>
          <w:rStyle w:val="FootnoteReference"/>
        </w:rPr>
        <w:footnoteRef/>
      </w:r>
      <w:r>
        <w:rPr>
          <w:i/>
          <w:iCs/>
        </w:rPr>
        <w:t xml:space="preserve">5.12r</w:t>
      </w:r>
      <w:r>
        <w:t xml:space="preserve">.</w:t>
      </w:r>
    </w:p>
  </w:footnote>
  <w:footnote w:id="1137">
    <w:p>
      <w:pPr>
        <w:pStyle w:val="FootnoteText"/>
      </w:pPr>
      <w:r>
        <w:rPr>
          <w:rStyle w:val="FootnoteReference"/>
        </w:rPr>
        <w:footnoteRef/>
      </w:r>
      <w:r>
        <w:rPr>
          <w:i/>
          <w:iCs/>
        </w:rPr>
        <w:t xml:space="preserve">b</w:t>
      </w:r>
      <w:r>
        <w:t xml:space="preserve">.</w:t>
      </w:r>
    </w:p>
  </w:footnote>
  <w:footnote w:id="1138">
    <w:p>
      <w:pPr>
        <w:pStyle w:val="FootnoteText"/>
      </w:pPr>
      <w:r>
        <w:rPr>
          <w:rStyle w:val="FootnoteReference"/>
        </w:rPr>
        <w:footnoteRef/>
      </w:r>
      <w:r>
        <w:rPr>
          <w:i/>
          <w:iCs/>
        </w:rPr>
        <w:t xml:space="preserve">(1.)</w:t>
      </w:r>
      <w:r>
        <w:t xml:space="preserve">.</w:t>
      </w:r>
    </w:p>
  </w:footnote>
  <w:footnote w:id="1139">
    <w:p>
      <w:pPr>
        <w:pStyle w:val="FootnoteText"/>
      </w:pPr>
      <w:r>
        <w:rPr>
          <w:rStyle w:val="FootnoteReference"/>
        </w:rPr>
        <w:footnoteRef/>
      </w:r>
      <w:r>
        <w:rPr>
          <w:i/>
          <w:iCs/>
        </w:rPr>
        <w:t xml:space="preserve">5.12v</w:t>
      </w:r>
      <w:r>
        <w:t xml:space="preserve">.</w:t>
      </w:r>
    </w:p>
  </w:footnote>
  <w:footnote w:id="1140">
    <w:p>
      <w:pPr>
        <w:pStyle w:val="FootnoteText"/>
      </w:pPr>
      <w:r>
        <w:rPr>
          <w:rStyle w:val="FootnoteReference"/>
        </w:rPr>
        <w:footnoteRef/>
      </w:r>
      <w:r>
        <w:rPr>
          <w:i/>
          <w:iCs/>
        </w:rPr>
        <w:t xml:space="preserve">5.13r</w:t>
      </w:r>
      <w:r>
        <w:t xml:space="preserve">.</w:t>
      </w:r>
    </w:p>
  </w:footnote>
  <w:footnote w:id="1141">
    <w:p>
      <w:pPr>
        <w:pStyle w:val="FootnoteText"/>
      </w:pPr>
      <w:r>
        <w:rPr>
          <w:rStyle w:val="FootnoteReference"/>
        </w:rPr>
        <w:footnoteRef/>
      </w:r>
      <w:r>
        <w:rPr>
          <w:i/>
          <w:iCs/>
        </w:rPr>
        <w:t xml:space="preserve">5.13r</w:t>
      </w:r>
      <w:r>
        <w:t xml:space="preserve">.</w:t>
      </w:r>
    </w:p>
  </w:footnote>
  <w:footnote w:id="1142">
    <w:p>
      <w:pPr>
        <w:pStyle w:val="FootnoteText"/>
      </w:pPr>
      <w:r>
        <w:rPr>
          <w:rStyle w:val="FootnoteReference"/>
        </w:rPr>
        <w:footnoteRef/>
      </w:r>
      <w:r>
        <w:t xml:space="preserve">Sermon 15 gives every appearance of having been composed for the afternoon of the day on which Sermon 14 was delivered in the forenoon. JE does not indicate intent to repeat either text or doctrine, and he does not include either a summary transition or an introduction to his continued analysis of Christ's incarnation. JE reversed the order of several leaves in this sermon booklet. Edwards, Jr., (apparently) recognized the problem, which begins at the bottom of </w:t>
      </w:r>
      <w:r>
        <w:rPr>
          <w:i/>
          <w:iCs/>
        </w:rPr>
        <w:t xml:space="preserve">5.14v</w:t>
      </w:r>
      <w:r>
        <w:t xml:space="preserve">, and indicated the proper order of the leaves, noting this on </w:t>
      </w:r>
      <w:r>
        <w:rPr>
          <w:i/>
          <w:iCs/>
        </w:rPr>
        <w:t xml:space="preserve">5.14v</w:t>
      </w:r>
      <w:r>
        <w:t xml:space="preserve">, </w:t>
      </w:r>
      <w:r>
        <w:rPr>
          <w:i/>
          <w:iCs/>
        </w:rPr>
        <w:t xml:space="preserve">5.16v</w:t>
      </w:r>
      <w:r>
        <w:t xml:space="preserve">, and </w:t>
      </w:r>
      <w:r>
        <w:rPr>
          <w:i/>
          <w:iCs/>
        </w:rPr>
        <w:t xml:space="preserve">5.26v</w:t>
      </w:r>
      <w:r>
        <w:t xml:space="preserve">, the last leaf of the booklet. The leaves currently stand in the correct order; the notations made by Edwards, Jr., are no longer necessary and have not been indicated.</w:t>
      </w:r>
    </w:p>
  </w:footnote>
  <w:footnote w:id="1143">
    <w:p>
      <w:pPr>
        <w:pStyle w:val="FootnoteText"/>
      </w:pPr>
      <w:r>
        <w:rPr>
          <w:rStyle w:val="FootnoteReference"/>
        </w:rPr>
        <w:footnoteRef/>
      </w:r>
      <w:r>
        <w:rPr>
          <w:i/>
          <w:iCs/>
        </w:rPr>
        <w:t xml:space="preserve">(2.)</w:t>
      </w:r>
      <w:r>
        <w:t xml:space="preserve">.</w:t>
      </w:r>
    </w:p>
  </w:footnote>
  <w:footnote w:id="1144">
    <w:p>
      <w:pPr>
        <w:pStyle w:val="FootnoteText"/>
      </w:pPr>
      <w:r>
        <w:rPr>
          <w:rStyle w:val="FootnoteReference"/>
        </w:rPr>
        <w:footnoteRef/>
      </w:r>
      <w:r>
        <w:rPr>
          <w:i/>
          <w:iCs/>
        </w:rPr>
        <w:t xml:space="preserve">5.13v</w:t>
      </w:r>
      <w:r>
        <w:t xml:space="preserve">.</w:t>
      </w:r>
    </w:p>
  </w:footnote>
  <w:footnote w:id="1145">
    <w:p>
      <w:pPr>
        <w:pStyle w:val="FootnoteText"/>
      </w:pPr>
      <w:r>
        <w:rPr>
          <w:rStyle w:val="FootnoteReference"/>
        </w:rPr>
        <w:footnoteRef/>
      </w:r>
      <w:r>
        <w:rPr>
          <w:i/>
          <w:iCs/>
        </w:rPr>
        <w:t xml:space="preserve">5.14r</w:t>
      </w:r>
      <w:r>
        <w:t xml:space="preserve">.</w:t>
      </w:r>
    </w:p>
  </w:footnote>
  <w:footnote w:id="1146">
    <w:p>
      <w:pPr>
        <w:pStyle w:val="FootnoteText"/>
      </w:pPr>
      <w:r>
        <w:rPr>
          <w:rStyle w:val="FootnoteReference"/>
        </w:rPr>
        <w:footnoteRef/>
      </w:r>
      <w:r>
        <w:rPr>
          <w:i/>
          <w:iCs/>
        </w:rPr>
        <w:t xml:space="preserve">(3.)</w:t>
      </w:r>
      <w:r>
        <w:t xml:space="preserve">.</w:t>
      </w:r>
    </w:p>
  </w:footnote>
  <w:footnote w:id="1147">
    <w:p>
      <w:pPr>
        <w:pStyle w:val="FootnoteText"/>
      </w:pPr>
      <w:r>
        <w:rPr>
          <w:rStyle w:val="FootnoteReference"/>
        </w:rPr>
        <w:footnoteRef/>
      </w:r>
      <w:r>
        <w:rPr>
          <w:i/>
          <w:iCs/>
        </w:rPr>
        <w:t xml:space="preserve">5.14v</w:t>
      </w:r>
      <w:r>
        <w:t xml:space="preserve">. Leaf breaks at "happi."</w:t>
      </w:r>
    </w:p>
  </w:footnote>
  <w:footnote w:id="1148">
    <w:p>
      <w:pPr>
        <w:pStyle w:val="FootnoteText"/>
      </w:pPr>
      <w:r>
        <w:rPr>
          <w:rStyle w:val="FootnoteReference"/>
        </w:rPr>
        <w:footnoteRef/>
      </w:r>
      <w:r>
        <w:t xml:space="preserve">Luke 2:21.</w:t>
      </w:r>
    </w:p>
  </w:footnote>
  <w:footnote w:id="1149">
    <w:p>
      <w:pPr>
        <w:pStyle w:val="FootnoteText"/>
      </w:pPr>
      <w:r>
        <w:rPr>
          <w:rStyle w:val="FootnoteReference"/>
        </w:rPr>
        <w:footnoteRef/>
      </w:r>
      <w:r>
        <w:rPr>
          <w:i/>
          <w:iCs/>
        </w:rPr>
        <w:t xml:space="preserve">5.15r</w:t>
      </w:r>
      <w:r>
        <w:t xml:space="preserve">.</w:t>
      </w:r>
    </w:p>
  </w:footnote>
  <w:footnote w:id="1150">
    <w:p>
      <w:pPr>
        <w:pStyle w:val="FootnoteText"/>
      </w:pPr>
      <w:r>
        <w:rPr>
          <w:rStyle w:val="FootnoteReference"/>
        </w:rPr>
        <w:footnoteRef/>
      </w:r>
      <w:r>
        <w:rPr>
          <w:i/>
          <w:iCs/>
        </w:rPr>
        <w:t xml:space="preserve">c</w:t>
      </w:r>
      <w:r>
        <w:t xml:space="preserve">.</w:t>
      </w:r>
    </w:p>
  </w:footnote>
  <w:footnote w:id="1151">
    <w:p>
      <w:pPr>
        <w:pStyle w:val="FootnoteText"/>
      </w:pPr>
      <w:r>
        <w:rPr>
          <w:rStyle w:val="FootnoteReference"/>
        </w:rPr>
        <w:footnoteRef/>
      </w:r>
      <w:r>
        <w:rPr>
          <w:i/>
          <w:iCs/>
        </w:rPr>
        <w:t xml:space="preserve">5.15v</w:t>
      </w:r>
      <w:r>
        <w:t xml:space="preserve">.</w:t>
      </w:r>
    </w:p>
  </w:footnote>
  <w:footnote w:id="1152">
    <w:p>
      <w:pPr>
        <w:pStyle w:val="FootnoteText"/>
      </w:pPr>
      <w:r>
        <w:rPr>
          <w:rStyle w:val="FootnoteReference"/>
        </w:rPr>
        <w:footnoteRef/>
      </w:r>
      <w:r>
        <w:rPr>
          <w:i/>
          <w:iCs/>
        </w:rPr>
        <w:t xml:space="preserve">(1.)</w:t>
      </w:r>
      <w:r>
        <w:t xml:space="preserve">.</w:t>
      </w:r>
    </w:p>
  </w:footnote>
  <w:footnote w:id="1153">
    <w:p>
      <w:pPr>
        <w:pStyle w:val="FootnoteText"/>
      </w:pPr>
      <w:r>
        <w:rPr>
          <w:rStyle w:val="FootnoteReference"/>
        </w:rPr>
        <w:footnoteRef/>
      </w:r>
      <w:r>
        <w:rPr>
          <w:i/>
          <w:iCs/>
        </w:rPr>
        <w:t xml:space="preserve">(a.)</w:t>
      </w:r>
      <w:r>
        <w:t xml:space="preserve">.</w:t>
      </w:r>
    </w:p>
  </w:footnote>
  <w:footnote w:id="1154">
    <w:p>
      <w:pPr>
        <w:pStyle w:val="FootnoteText"/>
      </w:pPr>
      <w:r>
        <w:rPr>
          <w:rStyle w:val="FootnoteReference"/>
        </w:rPr>
        <w:footnoteRef/>
      </w:r>
      <w:r>
        <w:rPr>
          <w:i/>
          <w:iCs/>
        </w:rPr>
        <w:t xml:space="preserve">5.16r</w:t>
      </w:r>
      <w:r>
        <w:t xml:space="preserve">.</w:t>
      </w:r>
    </w:p>
  </w:footnote>
  <w:footnote w:id="1155">
    <w:p>
      <w:pPr>
        <w:pStyle w:val="FootnoteText"/>
      </w:pPr>
      <w:r>
        <w:rPr>
          <w:rStyle w:val="FootnoteReference"/>
        </w:rPr>
        <w:footnoteRef/>
      </w:r>
      <w:r>
        <w:rPr>
          <w:i/>
          <w:iCs/>
        </w:rPr>
        <w:t xml:space="preserve">5.16v</w:t>
      </w:r>
      <w:r>
        <w:t xml:space="preserve">.</w:t>
      </w:r>
    </w:p>
  </w:footnote>
  <w:footnote w:id="1156">
    <w:p>
      <w:pPr>
        <w:pStyle w:val="FootnoteText"/>
      </w:pPr>
      <w:r>
        <w:rPr>
          <w:rStyle w:val="FootnoteReference"/>
        </w:rPr>
        <w:footnoteRef/>
      </w:r>
      <w:r>
        <w:rPr>
          <w:i/>
          <w:iCs/>
        </w:rPr>
        <w:t xml:space="preserve">1</w:t>
      </w:r>
      <w:r>
        <w:t xml:space="preserve">.</w:t>
      </w:r>
    </w:p>
  </w:footnote>
  <w:footnote w:id="1157">
    <w:p>
      <w:pPr>
        <w:pStyle w:val="FootnoteText"/>
      </w:pPr>
      <w:r>
        <w:rPr>
          <w:rStyle w:val="FootnoteReference"/>
        </w:rPr>
        <w:footnoteRef/>
      </w:r>
      <w:r>
        <w:rPr>
          <w:i/>
          <w:iCs/>
        </w:rPr>
        <w:t xml:space="preserve">2</w:t>
      </w:r>
      <w:r>
        <w:t xml:space="preserve">.</w:t>
      </w:r>
    </w:p>
  </w:footnote>
  <w:footnote w:id="1158">
    <w:p>
      <w:pPr>
        <w:pStyle w:val="FootnoteText"/>
      </w:pPr>
      <w:r>
        <w:rPr>
          <w:rStyle w:val="FootnoteReference"/>
        </w:rPr>
        <w:footnoteRef/>
      </w:r>
      <w:r>
        <w:rPr>
          <w:i/>
          <w:iCs/>
        </w:rPr>
        <w:t xml:space="preserve">5.17r</w:t>
      </w:r>
      <w:r>
        <w:t xml:space="preserve">.</w:t>
      </w:r>
    </w:p>
  </w:footnote>
  <w:footnote w:id="1159">
    <w:p>
      <w:pPr>
        <w:pStyle w:val="FootnoteText"/>
      </w:pPr>
      <w:r>
        <w:rPr>
          <w:rStyle w:val="FootnoteReference"/>
        </w:rPr>
        <w:footnoteRef/>
      </w:r>
      <w:r>
        <w:rPr>
          <w:i/>
          <w:iCs/>
        </w:rPr>
        <w:t xml:space="preserve">3</w:t>
      </w:r>
      <w:r>
        <w:t xml:space="preserve">.</w:t>
      </w:r>
    </w:p>
  </w:footnote>
  <w:footnote w:id="1160">
    <w:p>
      <w:pPr>
        <w:pStyle w:val="FootnoteText"/>
      </w:pPr>
      <w:r>
        <w:rPr>
          <w:rStyle w:val="FootnoteReference"/>
        </w:rPr>
        <w:footnoteRef/>
      </w:r>
      <w:r>
        <w:t xml:space="preserve">JE refers to the formulaic conclusions to many of the sayings of Jesus, which point to the divine source of Jesus' words and actions, e.g. John 10:17–18.</w:t>
      </w:r>
    </w:p>
  </w:footnote>
  <w:footnote w:id="1161">
    <w:p>
      <w:pPr>
        <w:pStyle w:val="FootnoteText"/>
      </w:pPr>
      <w:r>
        <w:rPr>
          <w:rStyle w:val="FootnoteReference"/>
        </w:rPr>
        <w:footnoteRef/>
      </w:r>
      <w:r>
        <w:rPr>
          <w:i/>
          <w:iCs/>
        </w:rPr>
        <w:t xml:space="preserve">5.17v</w:t>
      </w:r>
      <w:r>
        <w:t xml:space="preserve">.</w:t>
      </w:r>
    </w:p>
  </w:footnote>
  <w:footnote w:id="1162">
    <w:p>
      <w:pPr>
        <w:pStyle w:val="FootnoteText"/>
      </w:pPr>
      <w:r>
        <w:rPr>
          <w:rStyle w:val="FootnoteReference"/>
        </w:rPr>
        <w:footnoteRef/>
      </w:r>
      <w:r>
        <w:t xml:space="preserve">I.e. the four Gospels.</w:t>
      </w:r>
    </w:p>
  </w:footnote>
  <w:footnote w:id="1163">
    <w:p>
      <w:pPr>
        <w:pStyle w:val="FootnoteText"/>
      </w:pPr>
      <w:r>
        <w:rPr>
          <w:rStyle w:val="FootnoteReference"/>
        </w:rPr>
        <w:footnoteRef/>
      </w:r>
      <w:r>
        <w:rPr>
          <w:i/>
          <w:iCs/>
        </w:rPr>
        <w:t xml:space="preserve">5.18r</w:t>
      </w:r>
      <w:r>
        <w:t xml:space="preserve">.</w:t>
      </w:r>
    </w:p>
  </w:footnote>
  <w:footnote w:id="1164">
    <w:p>
      <w:pPr>
        <w:pStyle w:val="FootnoteText"/>
      </w:pPr>
      <w:r>
        <w:rPr>
          <w:rStyle w:val="FootnoteReference"/>
        </w:rPr>
        <w:footnoteRef/>
      </w:r>
      <w:r>
        <w:t xml:space="preserve">For Paul's classic expression of Christ as the "second Adam," see Romans 5:14–21. See also JE's comments on this issue in </w:t>
      </w:r>
      <w:r>
        <w:rPr>
          <w:i/>
          <w:iCs/>
        </w:rPr>
        <w:t xml:space="preserve">Works</w:t>
      </w:r>
      <w:r>
        <w:t xml:space="preserve"> (Yale ed.), </w:t>
      </w:r>
      <w:r>
        <w:rPr>
          <w:i/>
          <w:iCs/>
        </w:rPr>
        <w:t xml:space="preserve">3</w:t>
      </w:r>
      <w:r>
        <w:t xml:space="preserve"> (1970), </w:t>
      </w:r>
      <w:r>
        <w:rPr>
          <w:i/>
          <w:iCs/>
        </w:rPr>
        <w:t xml:space="preserve">Original Sin</w:t>
      </w:r>
      <w:r>
        <w:t xml:space="preserve">, ed. Clyde A. Holbrook, Pt. II, ch. 4, §2, pp. 335–49.</w:t>
      </w:r>
    </w:p>
  </w:footnote>
  <w:footnote w:id="1165">
    <w:p>
      <w:pPr>
        <w:pStyle w:val="FootnoteText"/>
      </w:pPr>
      <w:r>
        <w:rPr>
          <w:rStyle w:val="FootnoteReference"/>
        </w:rPr>
        <w:footnoteRef/>
      </w:r>
      <w:r>
        <w:rPr>
          <w:i/>
          <w:iCs/>
        </w:rPr>
        <w:t xml:space="preserve">4</w:t>
      </w:r>
      <w:r>
        <w:t xml:space="preserve">.</w:t>
      </w:r>
    </w:p>
  </w:footnote>
  <w:footnote w:id="1166">
    <w:p>
      <w:pPr>
        <w:pStyle w:val="FootnoteText"/>
      </w:pPr>
      <w:r>
        <w:rPr>
          <w:rStyle w:val="FootnoteReference"/>
        </w:rPr>
        <w:footnoteRef/>
      </w:r>
      <w:r>
        <w:rPr>
          <w:i/>
          <w:iCs/>
        </w:rPr>
        <w:t xml:space="preserve">a</w:t>
      </w:r>
      <w:r>
        <w:t xml:space="preserve">.</w:t>
      </w:r>
    </w:p>
  </w:footnote>
  <w:footnote w:id="1167">
    <w:p>
      <w:pPr>
        <w:pStyle w:val="FootnoteText"/>
      </w:pPr>
      <w:r>
        <w:rPr>
          <w:rStyle w:val="FootnoteReference"/>
        </w:rPr>
        <w:footnoteRef/>
      </w:r>
      <w:r>
        <w:rPr>
          <w:i/>
          <w:iCs/>
        </w:rPr>
        <w:t xml:space="preserve">5.18v</w:t>
      </w:r>
      <w:r>
        <w:t xml:space="preserve">.</w:t>
      </w:r>
    </w:p>
  </w:footnote>
  <w:footnote w:id="1168">
    <w:p>
      <w:pPr>
        <w:pStyle w:val="FootnoteText"/>
      </w:pPr>
      <w:r>
        <w:rPr>
          <w:rStyle w:val="FootnoteReference"/>
        </w:rPr>
        <w:footnoteRef/>
      </w:r>
      <w:r>
        <w:rPr>
          <w:i/>
          <w:iCs/>
        </w:rPr>
        <w:t xml:space="preserve">5.19r</w:t>
      </w:r>
      <w:r>
        <w:t xml:space="preserve">.</w:t>
      </w:r>
    </w:p>
  </w:footnote>
  <w:footnote w:id="1169">
    <w:p>
      <w:pPr>
        <w:pStyle w:val="FootnoteText"/>
      </w:pPr>
      <w:r>
        <w:rPr>
          <w:rStyle w:val="FootnoteReference"/>
        </w:rPr>
        <w:footnoteRef/>
      </w:r>
      <w:r>
        <w:t xml:space="preserve">JE echoes the Pauline argument in Galatians 3:10.</w:t>
      </w:r>
    </w:p>
  </w:footnote>
  <w:footnote w:id="1170">
    <w:p>
      <w:pPr>
        <w:pStyle w:val="FootnoteText"/>
      </w:pPr>
      <w:r>
        <w:rPr>
          <w:rStyle w:val="FootnoteReference"/>
        </w:rPr>
        <w:footnoteRef/>
      </w:r>
      <w:r>
        <w:rPr>
          <w:i/>
          <w:iCs/>
        </w:rPr>
        <w:t xml:space="preserve">b</w:t>
      </w:r>
      <w:r>
        <w:t xml:space="preserve">.</w:t>
      </w:r>
    </w:p>
  </w:footnote>
  <w:footnote w:id="1171">
    <w:p>
      <w:pPr>
        <w:pStyle w:val="FootnoteText"/>
      </w:pPr>
      <w:r>
        <w:rPr>
          <w:rStyle w:val="FootnoteReference"/>
        </w:rPr>
        <w:footnoteRef/>
      </w:r>
      <w:r>
        <w:rPr>
          <w:i/>
          <w:iCs/>
        </w:rPr>
        <w:t xml:space="preserve">c</w:t>
      </w:r>
      <w:r>
        <w:t xml:space="preserve">.</w:t>
      </w:r>
    </w:p>
  </w:footnote>
  <w:footnote w:id="1172">
    <w:p>
      <w:pPr>
        <w:pStyle w:val="FootnoteText"/>
      </w:pPr>
      <w:r>
        <w:rPr>
          <w:rStyle w:val="FootnoteReference"/>
        </w:rPr>
        <w:footnoteRef/>
      </w:r>
      <w:r>
        <w:rPr>
          <w:i/>
          <w:iCs/>
        </w:rPr>
        <w:t xml:space="preserve">5.19v</w:t>
      </w:r>
      <w:r>
        <w:t xml:space="preserve">. Leaf breaks at "in."</w:t>
      </w:r>
    </w:p>
  </w:footnote>
  <w:footnote w:id="1173">
    <w:p>
      <w:pPr>
        <w:pStyle w:val="FootnoteText"/>
      </w:pPr>
      <w:r>
        <w:rPr>
          <w:rStyle w:val="FootnoteReference"/>
        </w:rPr>
        <w:footnoteRef/>
      </w:r>
      <w:r>
        <w:rPr>
          <w:i/>
          <w:iCs/>
        </w:rPr>
        <w:t xml:space="preserve">(b.)</w:t>
      </w:r>
      <w:r>
        <w:t xml:space="preserve">.</w:t>
      </w:r>
    </w:p>
  </w:footnote>
  <w:footnote w:id="1174">
    <w:p>
      <w:pPr>
        <w:pStyle w:val="FootnoteText"/>
      </w:pPr>
      <w:r>
        <w:rPr>
          <w:rStyle w:val="FootnoteReference"/>
        </w:rPr>
        <w:footnoteRef/>
      </w:r>
      <w:r>
        <w:rPr>
          <w:i/>
          <w:iCs/>
        </w:rPr>
        <w:t xml:space="preserve">1</w:t>
      </w:r>
      <w:r>
        <w:t xml:space="preserve">.</w:t>
      </w:r>
    </w:p>
  </w:footnote>
  <w:footnote w:id="1175">
    <w:p>
      <w:pPr>
        <w:pStyle w:val="FootnoteText"/>
      </w:pPr>
      <w:r>
        <w:rPr>
          <w:rStyle w:val="FootnoteReference"/>
        </w:rPr>
        <w:footnoteRef/>
      </w:r>
      <w:r>
        <w:rPr>
          <w:i/>
          <w:iCs/>
        </w:rPr>
        <w:t xml:space="preserve">5.20r</w:t>
      </w:r>
      <w:r>
        <w:t xml:space="preserve">.</w:t>
      </w:r>
    </w:p>
  </w:footnote>
  <w:footnote w:id="1176">
    <w:p>
      <w:pPr>
        <w:pStyle w:val="FootnoteText"/>
      </w:pPr>
      <w:r>
        <w:rPr>
          <w:rStyle w:val="FootnoteReference"/>
        </w:rPr>
        <w:footnoteRef/>
      </w:r>
      <w:r>
        <w:t xml:space="preserve">This episode continues through Luke 2:49.</w:t>
      </w:r>
    </w:p>
  </w:footnote>
  <w:footnote w:id="1177">
    <w:p>
      <w:pPr>
        <w:pStyle w:val="FootnoteText"/>
      </w:pPr>
      <w:r>
        <w:rPr>
          <w:rStyle w:val="FootnoteReference"/>
        </w:rPr>
        <w:footnoteRef/>
      </w:r>
      <w:r>
        <w:rPr>
          <w:i/>
          <w:iCs/>
        </w:rPr>
        <w:t xml:space="preserve">2</w:t>
      </w:r>
      <w:r>
        <w:t xml:space="preserve">.</w:t>
      </w:r>
    </w:p>
  </w:footnote>
  <w:footnote w:id="1178">
    <w:p>
      <w:pPr>
        <w:pStyle w:val="FootnoteText"/>
      </w:pPr>
      <w:r>
        <w:rPr>
          <w:rStyle w:val="FootnoteReference"/>
        </w:rPr>
        <w:footnoteRef/>
      </w:r>
      <w:r>
        <w:t xml:space="preserve">See Numbers 4:3, Numbers 4:23, Numbers 4:35, Numbers 4:47.</w:t>
      </w:r>
    </w:p>
  </w:footnote>
  <w:footnote w:id="1179">
    <w:p>
      <w:pPr>
        <w:pStyle w:val="FootnoteText"/>
      </w:pPr>
      <w:r>
        <w:rPr>
          <w:rStyle w:val="FootnoteReference"/>
        </w:rPr>
        <w:footnoteRef/>
      </w:r>
      <w:r>
        <w:rPr>
          <w:i/>
          <w:iCs/>
        </w:rPr>
        <w:t xml:space="preserve">5.20v</w:t>
      </w:r>
      <w:r>
        <w:t xml:space="preserve">.</w:t>
      </w:r>
    </w:p>
  </w:footnote>
  <w:footnote w:id="1180">
    <w:p>
      <w:pPr>
        <w:pStyle w:val="FootnoteText"/>
      </w:pPr>
      <w:r>
        <w:rPr>
          <w:rStyle w:val="FootnoteReference"/>
        </w:rPr>
        <w:footnoteRef/>
      </w:r>
      <w:r>
        <w:t xml:space="preserve">JE has deleted the following sentence with vertical lines: "This is what is called the coming of the messiah in Daniel's prophecy of the seventy weeks."</w:t>
      </w:r>
    </w:p>
  </w:footnote>
  <w:footnote w:id="1181">
    <w:p>
      <w:pPr>
        <w:pStyle w:val="FootnoteText"/>
      </w:pPr>
      <w:r>
        <w:rPr>
          <w:rStyle w:val="FootnoteReference"/>
        </w:rPr>
        <w:footnoteRef/>
      </w:r>
      <w:r>
        <w:t xml:space="preserve">E.g. Matthew 3:11–12; Mark 1:7–8; Luke 3:15–17.</w:t>
      </w:r>
    </w:p>
  </w:footnote>
  <w:footnote w:id="1182">
    <w:p>
      <w:pPr>
        <w:pStyle w:val="FootnoteText"/>
      </w:pPr>
      <w:r>
        <w:rPr>
          <w:rStyle w:val="FootnoteReference"/>
        </w:rPr>
        <w:footnoteRef/>
      </w:r>
      <w:r>
        <w:t xml:space="preserve">JE repeats the numeral 3 at this point; emended to 4.</w:t>
      </w:r>
    </w:p>
  </w:footnote>
  <w:footnote w:id="1183">
    <w:p>
      <w:pPr>
        <w:pStyle w:val="FootnoteText"/>
      </w:pPr>
      <w:r>
        <w:rPr>
          <w:rStyle w:val="FootnoteReference"/>
        </w:rPr>
        <w:footnoteRef/>
      </w:r>
      <w:r>
        <w:rPr>
          <w:i/>
          <w:iCs/>
        </w:rPr>
        <w:t xml:space="preserve">a</w:t>
      </w:r>
      <w:r>
        <w:t xml:space="preserve">.</w:t>
      </w:r>
    </w:p>
  </w:footnote>
  <w:footnote w:id="1184">
    <w:p>
      <w:pPr>
        <w:pStyle w:val="FootnoteText"/>
      </w:pPr>
      <w:r>
        <w:rPr>
          <w:rStyle w:val="FootnoteReference"/>
        </w:rPr>
        <w:footnoteRef/>
      </w:r>
      <w:r>
        <w:rPr>
          <w:i/>
          <w:iCs/>
        </w:rPr>
        <w:t xml:space="preserve">5.21r</w:t>
      </w:r>
      <w:r>
        <w:t xml:space="preserve">.</w:t>
      </w:r>
    </w:p>
  </w:footnote>
  <w:footnote w:id="1185">
    <w:p>
      <w:pPr>
        <w:pStyle w:val="FootnoteText"/>
      </w:pPr>
      <w:r>
        <w:rPr>
          <w:rStyle w:val="FootnoteReference"/>
        </w:rPr>
        <w:footnoteRef/>
      </w:r>
      <w:r>
        <w:t xml:space="preserve">E.g. Matthew 3:1–12; Mark 1:4–5; Luke 3:3–9.</w:t>
      </w:r>
    </w:p>
  </w:footnote>
  <w:footnote w:id="1186">
    <w:p>
      <w:pPr>
        <w:pStyle w:val="FootnoteText"/>
      </w:pPr>
      <w:r>
        <w:rPr>
          <w:rStyle w:val="FootnoteReference"/>
        </w:rPr>
        <w:footnoteRef/>
      </w:r>
      <w:r>
        <w:rPr>
          <w:i/>
          <w:iCs/>
        </w:rPr>
        <w:t xml:space="preserve">5.21v</w:t>
      </w:r>
      <w:r>
        <w:t xml:space="preserve">.</w:t>
      </w:r>
    </w:p>
  </w:footnote>
  <w:footnote w:id="1187">
    <w:p>
      <w:pPr>
        <w:pStyle w:val="FootnoteText"/>
      </w:pPr>
      <w:r>
        <w:rPr>
          <w:rStyle w:val="FootnoteReference"/>
        </w:rPr>
        <w:footnoteRef/>
      </w:r>
      <w:r>
        <w:t xml:space="preserve">JE does not quote the full verse nor does he indicate intent to do so, but the context seems to require it for the modern reader.</w:t>
      </w:r>
    </w:p>
  </w:footnote>
  <w:footnote w:id="1188">
    <w:p>
      <w:pPr>
        <w:pStyle w:val="FootnoteText"/>
      </w:pPr>
      <w:r>
        <w:rPr>
          <w:rStyle w:val="FootnoteReference"/>
        </w:rPr>
        <w:footnoteRef/>
      </w:r>
      <w:r>
        <w:rPr>
          <w:i/>
          <w:iCs/>
        </w:rPr>
        <w:t xml:space="preserve">5.22r</w:t>
      </w:r>
      <w:r>
        <w:t xml:space="preserve">.</w:t>
      </w:r>
    </w:p>
  </w:footnote>
  <w:footnote w:id="1189">
    <w:p>
      <w:pPr>
        <w:pStyle w:val="FootnoteText"/>
      </w:pPr>
      <w:r>
        <w:rPr>
          <w:rStyle w:val="FootnoteReference"/>
        </w:rPr>
        <w:footnoteRef/>
      </w:r>
      <w:r>
        <w:rPr>
          <w:i/>
          <w:iCs/>
        </w:rPr>
        <w:t xml:space="preserve">b</w:t>
      </w:r>
      <w:r>
        <w:t xml:space="preserve">.</w:t>
      </w:r>
    </w:p>
  </w:footnote>
  <w:footnote w:id="1190">
    <w:p>
      <w:pPr>
        <w:pStyle w:val="FootnoteText"/>
      </w:pPr>
      <w:r>
        <w:rPr>
          <w:rStyle w:val="FootnoteReference"/>
        </w:rPr>
        <w:footnoteRef/>
      </w:r>
      <w:r>
        <w:t xml:space="preserve">JE indicates intent to quote the scriptural account.</w:t>
      </w:r>
    </w:p>
  </w:footnote>
  <w:footnote w:id="1191">
    <w:p>
      <w:pPr>
        <w:pStyle w:val="FootnoteText"/>
      </w:pPr>
      <w:r>
        <w:rPr>
          <w:rStyle w:val="FootnoteReference"/>
        </w:rPr>
        <w:footnoteRef/>
      </w:r>
      <w:r>
        <w:t xml:space="preserve">JE seems to have intended to complete this quotation.</w:t>
      </w:r>
    </w:p>
  </w:footnote>
  <w:footnote w:id="1192">
    <w:p>
      <w:pPr>
        <w:pStyle w:val="FootnoteText"/>
      </w:pPr>
      <w:r>
        <w:rPr>
          <w:rStyle w:val="FootnoteReference"/>
        </w:rPr>
        <w:footnoteRef/>
      </w:r>
      <w:r>
        <w:t xml:space="preserve">Matthew 4:1–11; Mark 1:12–13; Luke 4:1–13.</w:t>
      </w:r>
    </w:p>
  </w:footnote>
  <w:footnote w:id="1193">
    <w:p>
      <w:pPr>
        <w:pStyle w:val="FootnoteText"/>
      </w:pPr>
      <w:r>
        <w:rPr>
          <w:rStyle w:val="FootnoteReference"/>
        </w:rPr>
        <w:footnoteRef/>
      </w:r>
      <w:r>
        <w:rPr>
          <w:i/>
          <w:iCs/>
        </w:rPr>
        <w:t xml:space="preserve">5.22v</w:t>
      </w:r>
      <w:r>
        <w:t xml:space="preserve">.</w:t>
      </w:r>
    </w:p>
  </w:footnote>
  <w:footnote w:id="1194">
    <w:p>
      <w:pPr>
        <w:pStyle w:val="FootnoteText"/>
      </w:pPr>
      <w:r>
        <w:rPr>
          <w:rStyle w:val="FootnoteReference"/>
        </w:rPr>
        <w:footnoteRef/>
      </w:r>
      <w:r>
        <w:rPr>
          <w:i/>
          <w:iCs/>
        </w:rPr>
        <w:t xml:space="preserve">c</w:t>
      </w:r>
      <w:r>
        <w:t xml:space="preserve">.</w:t>
      </w:r>
    </w:p>
  </w:footnote>
  <w:footnote w:id="1195">
    <w:p>
      <w:pPr>
        <w:pStyle w:val="FootnoteText"/>
      </w:pPr>
      <w:r>
        <w:rPr>
          <w:rStyle w:val="FootnoteReference"/>
        </w:rPr>
        <w:footnoteRef/>
      </w:r>
      <w:r>
        <w:rPr>
          <w:i/>
          <w:iCs/>
        </w:rPr>
        <w:t xml:space="preserve">(1.)</w:t>
      </w:r>
      <w:r>
        <w:t xml:space="preserve">.</w:t>
      </w:r>
    </w:p>
  </w:footnote>
  <w:footnote w:id="1196">
    <w:p>
      <w:pPr>
        <w:pStyle w:val="FootnoteText"/>
      </w:pPr>
      <w:r>
        <w:rPr>
          <w:rStyle w:val="FootnoteReference"/>
        </w:rPr>
        <w:footnoteRef/>
      </w:r>
      <w:r>
        <w:t xml:space="preserve">John 1:18.</w:t>
      </w:r>
    </w:p>
  </w:footnote>
  <w:footnote w:id="1197">
    <w:p>
      <w:pPr>
        <w:pStyle w:val="FootnoteText"/>
      </w:pPr>
      <w:r>
        <w:rPr>
          <w:rStyle w:val="FootnoteReference"/>
        </w:rPr>
        <w:footnoteRef/>
      </w:r>
      <w:r>
        <w:rPr>
          <w:i/>
          <w:iCs/>
        </w:rPr>
        <w:t xml:space="preserve">5.23r</w:t>
      </w:r>
      <w:r>
        <w:t xml:space="preserve">.</w:t>
      </w:r>
    </w:p>
  </w:footnote>
  <w:footnote w:id="1198">
    <w:p>
      <w:pPr>
        <w:pStyle w:val="FootnoteText"/>
      </w:pPr>
      <w:r>
        <w:rPr>
          <w:rStyle w:val="FootnoteReference"/>
        </w:rPr>
        <w:footnoteRef/>
      </w:r>
      <w:r>
        <w:t xml:space="preserve">Thus the Sermon on the Mount, and particularly the Beatitudes, is counterpart to the Decalogue, echoing a traditional Christian interpretation. In reworking his text, JE failed to complete his deletions.</w:t>
      </w:r>
    </w:p>
  </w:footnote>
  <w:footnote w:id="1199">
    <w:p>
      <w:pPr>
        <w:pStyle w:val="FootnoteText"/>
      </w:pPr>
      <w:r>
        <w:rPr>
          <w:rStyle w:val="FootnoteReference"/>
        </w:rPr>
        <w:footnoteRef/>
      </w:r>
      <w:r>
        <w:t xml:space="preserve">Matthew 7:28–29; Mark 1:21–22; Luke 4:31–32.</w:t>
      </w:r>
    </w:p>
  </w:footnote>
  <w:footnote w:id="1200">
    <w:p>
      <w:pPr>
        <w:pStyle w:val="FootnoteText"/>
      </w:pPr>
      <w:r>
        <w:rPr>
          <w:rStyle w:val="FootnoteReference"/>
        </w:rPr>
        <w:footnoteRef/>
      </w:r>
      <w:r>
        <w:t xml:space="preserve">These formulaic openings are frequently attributed to Jesus in the Gospels (e.g. Matthew 5:21–22, Matthew 5:27–28; Mark 3:28; Luke 12:37; John 8:34) and stand out against the prophetic style in the Old Testament of speaking in the name of a higher authority (e.g. Isaiah 7:7).</w:t>
      </w:r>
    </w:p>
  </w:footnote>
  <w:footnote w:id="1201">
    <w:p>
      <w:pPr>
        <w:pStyle w:val="FootnoteText"/>
      </w:pPr>
      <w:r>
        <w:rPr>
          <w:rStyle w:val="FootnoteReference"/>
        </w:rPr>
        <w:footnoteRef/>
      </w:r>
      <w:r>
        <w:rPr>
          <w:i/>
          <w:iCs/>
        </w:rPr>
        <w:t xml:space="preserve">5.23v</w:t>
      </w:r>
      <w:r>
        <w:t xml:space="preserve">.</w:t>
      </w:r>
    </w:p>
  </w:footnote>
  <w:footnote w:id="1202">
    <w:p>
      <w:pPr>
        <w:pStyle w:val="FootnoteText"/>
      </w:pPr>
      <w:r>
        <w:rPr>
          <w:rStyle w:val="FootnoteReference"/>
        </w:rPr>
        <w:footnoteRef/>
      </w:r>
      <w:r>
        <w:t xml:space="preserve">JE's text says John 15:1, but he quotes John 15:12. I have changed the text accordingly.</w:t>
      </w:r>
    </w:p>
  </w:footnote>
  <w:footnote w:id="1203">
    <w:p>
      <w:pPr>
        <w:pStyle w:val="FootnoteText"/>
      </w:pPr>
      <w:r>
        <w:rPr>
          <w:rStyle w:val="FootnoteReference"/>
        </w:rPr>
        <w:footnoteRef/>
      </w:r>
      <w:r>
        <w:t xml:space="preserve">JE paraphrases this verse, substituting "disciples" for "friends."</w:t>
      </w:r>
    </w:p>
  </w:footnote>
  <w:footnote w:id="1204">
    <w:p>
      <w:pPr>
        <w:pStyle w:val="FootnoteText"/>
      </w:pPr>
      <w:r>
        <w:rPr>
          <w:rStyle w:val="FootnoteReference"/>
        </w:rPr>
        <w:footnoteRef/>
      </w:r>
      <w:r>
        <w:rPr>
          <w:i/>
          <w:iCs/>
        </w:rPr>
        <w:t xml:space="preserve">(2.)</w:t>
      </w:r>
      <w:r>
        <w:t xml:space="preserve">.</w:t>
      </w:r>
    </w:p>
  </w:footnote>
  <w:footnote w:id="1205">
    <w:p>
      <w:pPr>
        <w:pStyle w:val="FootnoteText"/>
      </w:pPr>
      <w:r>
        <w:rPr>
          <w:rStyle w:val="FootnoteReference"/>
        </w:rPr>
        <w:footnoteRef/>
      </w:r>
      <w:r>
        <w:rPr>
          <w:i/>
          <w:iCs/>
        </w:rPr>
        <w:t xml:space="preserve">(a.)</w:t>
      </w:r>
      <w:r>
        <w:t xml:space="preserve">.</w:t>
      </w:r>
    </w:p>
  </w:footnote>
  <w:footnote w:id="1206">
    <w:p>
      <w:pPr>
        <w:pStyle w:val="FootnoteText"/>
      </w:pPr>
      <w:r>
        <w:rPr>
          <w:rStyle w:val="FootnoteReference"/>
        </w:rPr>
        <w:footnoteRef/>
      </w:r>
      <w:r>
        <w:rPr>
          <w:i/>
          <w:iCs/>
        </w:rPr>
        <w:t xml:space="preserve">(b.)</w:t>
      </w:r>
      <w:r>
        <w:t xml:space="preserve">.</w:t>
      </w:r>
    </w:p>
  </w:footnote>
  <w:footnote w:id="1207">
    <w:p>
      <w:pPr>
        <w:pStyle w:val="FootnoteText"/>
      </w:pPr>
      <w:r>
        <w:rPr>
          <w:rStyle w:val="FootnoteReference"/>
        </w:rPr>
        <w:footnoteRef/>
      </w:r>
      <w:r>
        <w:rPr>
          <w:i/>
          <w:iCs/>
        </w:rPr>
        <w:t xml:space="preserve">(c.)</w:t>
      </w:r>
      <w:r>
        <w:t xml:space="preserve">.</w:t>
      </w:r>
    </w:p>
  </w:footnote>
  <w:footnote w:id="1208">
    <w:p>
      <w:pPr>
        <w:pStyle w:val="FootnoteText"/>
      </w:pPr>
      <w:r>
        <w:rPr>
          <w:rStyle w:val="FootnoteReference"/>
        </w:rPr>
        <w:footnoteRef/>
      </w:r>
      <w:r>
        <w:rPr>
          <w:i/>
          <w:iCs/>
        </w:rPr>
        <w:t xml:space="preserve">5.24r</w:t>
      </w:r>
      <w:r>
        <w:t xml:space="preserve">.</w:t>
      </w:r>
    </w:p>
  </w:footnote>
  <w:footnote w:id="1209">
    <w:p>
      <w:pPr>
        <w:pStyle w:val="FootnoteText"/>
      </w:pPr>
      <w:r>
        <w:rPr>
          <w:rStyle w:val="FootnoteReference"/>
        </w:rPr>
        <w:footnoteRef/>
      </w:r>
      <w:r>
        <w:t xml:space="preserve">Matthew 8:23–26; Mark 4:35–39; Luke 8:22–24.</w:t>
      </w:r>
    </w:p>
  </w:footnote>
  <w:footnote w:id="1210">
    <w:p>
      <w:pPr>
        <w:pStyle w:val="FootnoteText"/>
      </w:pPr>
      <w:r>
        <w:rPr>
          <w:rStyle w:val="FootnoteReference"/>
        </w:rPr>
        <w:footnoteRef/>
      </w:r>
      <w:r>
        <w:t xml:space="preserve">Matthew 14:22–33; Mark 6:45–52; John 6:16–21.</w:t>
      </w:r>
    </w:p>
  </w:footnote>
  <w:footnote w:id="1211">
    <w:p>
      <w:pPr>
        <w:pStyle w:val="FootnoteText"/>
      </w:pPr>
      <w:r>
        <w:rPr>
          <w:rStyle w:val="FootnoteReference"/>
        </w:rPr>
        <w:footnoteRef/>
      </w:r>
      <w:r>
        <w:t xml:space="preserve">E.g. Matthew 9:32–33; Mark 5:1–15; Luke 4:40–41.</w:t>
      </w:r>
    </w:p>
  </w:footnote>
  <w:footnote w:id="1212">
    <w:p>
      <w:pPr>
        <w:pStyle w:val="FootnoteText"/>
      </w:pPr>
      <w:r>
        <w:rPr>
          <w:rStyle w:val="FootnoteReference"/>
        </w:rPr>
        <w:footnoteRef/>
      </w:r>
      <w:r>
        <w:t xml:space="preserve">Matthew 15:32–39; Mark 6:31–44; Mark 8:1–9; Luke 9:10–17; John 6:5–14.</w:t>
      </w:r>
    </w:p>
  </w:footnote>
  <w:footnote w:id="1213">
    <w:p>
      <w:pPr>
        <w:pStyle w:val="FootnoteText"/>
      </w:pPr>
      <w:r>
        <w:rPr>
          <w:rStyle w:val="FootnoteReference"/>
        </w:rPr>
        <w:footnoteRef/>
      </w:r>
      <w:r>
        <w:t xml:space="preserve">E.g. Matthew 9:4.</w:t>
      </w:r>
    </w:p>
  </w:footnote>
  <w:footnote w:id="1214">
    <w:p>
      <w:pPr>
        <w:pStyle w:val="FootnoteText"/>
      </w:pPr>
      <w:r>
        <w:rPr>
          <w:rStyle w:val="FootnoteReference"/>
        </w:rPr>
        <w:footnoteRef/>
      </w:r>
      <w:r>
        <w:t xml:space="preserve">E.g. John 11:1–44.</w:t>
      </w:r>
    </w:p>
  </w:footnote>
  <w:footnote w:id="1215">
    <w:p>
      <w:pPr>
        <w:pStyle w:val="FootnoteText"/>
      </w:pPr>
      <w:r>
        <w:rPr>
          <w:rStyle w:val="FootnoteReference"/>
        </w:rPr>
        <w:footnoteRef/>
      </w:r>
      <w:r>
        <w:t xml:space="preserve">E.g. Matthew 9:27–31; Mark 8:22–26.</w:t>
      </w:r>
    </w:p>
  </w:footnote>
  <w:footnote w:id="1216">
    <w:p>
      <w:pPr>
        <w:pStyle w:val="FootnoteText"/>
      </w:pPr>
      <w:r>
        <w:rPr>
          <w:rStyle w:val="FootnoteReference"/>
        </w:rPr>
        <w:footnoteRef/>
      </w:r>
      <w:r>
        <w:t xml:space="preserve">E.g. Matthew 8:7–17.</w:t>
      </w:r>
    </w:p>
  </w:footnote>
  <w:footnote w:id="1217">
    <w:p>
      <w:pPr>
        <w:pStyle w:val="FootnoteText"/>
      </w:pPr>
      <w:r>
        <w:rPr>
          <w:rStyle w:val="FootnoteReference"/>
        </w:rPr>
        <w:footnoteRef/>
      </w:r>
      <w:r>
        <w:t xml:space="preserve">The explicit reference is somewhat unclear; but see, for possbilities, Matthew 9:1–6; Mark 5:1–13; John 11:44.</w:t>
      </w:r>
    </w:p>
  </w:footnote>
  <w:footnote w:id="1218">
    <w:p>
      <w:pPr>
        <w:pStyle w:val="FootnoteText"/>
      </w:pPr>
      <w:r>
        <w:rPr>
          <w:rStyle w:val="FootnoteReference"/>
        </w:rPr>
        <w:footnoteRef/>
      </w:r>
      <w:r>
        <w:t xml:space="preserve">JE cites Psalms 146:8–9 but paraphrases Psalms 146:7–8. I have changed the text accordingly.</w:t>
      </w:r>
    </w:p>
  </w:footnote>
  <w:footnote w:id="1219">
    <w:p>
      <w:pPr>
        <w:pStyle w:val="FootnoteText"/>
      </w:pPr>
      <w:r>
        <w:rPr>
          <w:rStyle w:val="FootnoteReference"/>
        </w:rPr>
        <w:footnoteRef/>
      </w:r>
      <w:r>
        <w:rPr>
          <w:i/>
          <w:iCs/>
        </w:rPr>
        <w:t xml:space="preserve">(d.)</w:t>
      </w:r>
      <w:r>
        <w:t xml:space="preserve">.</w:t>
      </w:r>
    </w:p>
  </w:footnote>
  <w:footnote w:id="1220">
    <w:p>
      <w:pPr>
        <w:pStyle w:val="FootnoteText"/>
      </w:pPr>
      <w:r>
        <w:rPr>
          <w:rStyle w:val="FootnoteReference"/>
        </w:rPr>
        <w:footnoteRef/>
      </w:r>
      <w:r>
        <w:rPr>
          <w:i/>
          <w:iCs/>
        </w:rPr>
        <w:t xml:space="preserve">(e.)</w:t>
      </w:r>
      <w:r>
        <w:t xml:space="preserve">.</w:t>
      </w:r>
    </w:p>
  </w:footnote>
  <w:footnote w:id="1221">
    <w:p>
      <w:pPr>
        <w:pStyle w:val="FootnoteText"/>
      </w:pPr>
      <w:r>
        <w:rPr>
          <w:rStyle w:val="FootnoteReference"/>
        </w:rPr>
        <w:footnoteRef/>
      </w:r>
      <w:r>
        <w:rPr>
          <w:i/>
          <w:iCs/>
        </w:rPr>
        <w:t xml:space="preserve">5.24v</w:t>
      </w:r>
      <w:r>
        <w:t xml:space="preserve">.</w:t>
      </w:r>
    </w:p>
  </w:footnote>
  <w:footnote w:id="1222">
    <w:p>
      <w:pPr>
        <w:pStyle w:val="FootnoteText"/>
      </w:pPr>
      <w:r>
        <w:rPr>
          <w:rStyle w:val="FootnoteReference"/>
        </w:rPr>
        <w:footnoteRef/>
      </w:r>
      <w:r>
        <w:t xml:space="preserve">JE indicates intent to complete thought. This is a reference to the incident described in Numbers 20 concerning the waters of Meribah at Kadesh, where Moses was judged to have provided water for Israel without acknowledging the Lord's agency. This is the reason given for prohibiting Moses from entering the promised land, and it was the occasion of Aaron's death. See also Deuteronomy 32:49–52. The remainder of this section is sketched in very loosely.</w:t>
      </w:r>
    </w:p>
  </w:footnote>
  <w:footnote w:id="1223">
    <w:p>
      <w:pPr>
        <w:pStyle w:val="FootnoteText"/>
      </w:pPr>
      <w:r>
        <w:rPr>
          <w:rStyle w:val="FootnoteReference"/>
        </w:rPr>
        <w:footnoteRef/>
      </w:r>
      <w:r>
        <w:rPr>
          <w:i/>
          <w:iCs/>
        </w:rPr>
        <w:t xml:space="preserve">(3.)</w:t>
      </w:r>
      <w:r>
        <w:t xml:space="preserve">.</w:t>
      </w:r>
    </w:p>
  </w:footnote>
  <w:footnote w:id="1224">
    <w:p>
      <w:pPr>
        <w:pStyle w:val="FootnoteText"/>
      </w:pPr>
      <w:r>
        <w:rPr>
          <w:rStyle w:val="FootnoteReference"/>
        </w:rPr>
        <w:footnoteRef/>
      </w:r>
      <w:r>
        <w:rPr>
          <w:i/>
          <w:iCs/>
        </w:rPr>
        <w:t xml:space="preserve">5.25r</w:t>
      </w:r>
      <w:r>
        <w:t xml:space="preserve">. Luke 6:13; Luke 10:1; Matthew 10:1–5; Mark 3:13–19.</w:t>
      </w:r>
    </w:p>
  </w:footnote>
  <w:footnote w:id="1225">
    <w:p>
      <w:pPr>
        <w:pStyle w:val="FootnoteText"/>
      </w:pPr>
      <w:r>
        <w:rPr>
          <w:rStyle w:val="FootnoteReference"/>
        </w:rPr>
        <w:footnoteRef/>
      </w:r>
      <w:r>
        <w:rPr>
          <w:i/>
          <w:iCs/>
        </w:rPr>
        <w:t xml:space="preserve">d</w:t>
      </w:r>
      <w:r>
        <w:t xml:space="preserve">. JE sketched the outline of a fourth point and then deleted it before developing this one. The outline reads as follows: "4. Here another thing: appointing ordinances. Some of these [were] done immediately by him before his crucifixion; so baptism [was] confirmed after his resurrection. Lord's supper. Thus [we] have observed how Christ was employed doing the Work."</w:t>
      </w:r>
    </w:p>
  </w:footnote>
  <w:footnote w:id="1226">
    <w:p>
      <w:pPr>
        <w:pStyle w:val="FootnoteText"/>
      </w:pPr>
      <w:r>
        <w:rPr>
          <w:rStyle w:val="FootnoteReference"/>
        </w:rPr>
        <w:footnoteRef/>
      </w:r>
      <w:r>
        <w:rPr>
          <w:i/>
          <w:iCs/>
        </w:rPr>
        <w:t xml:space="preserve">5.25v</w:t>
      </w:r>
      <w:r>
        <w:t xml:space="preserve">. See Luke 22:24–38; John 14–16.</w:t>
      </w:r>
    </w:p>
  </w:footnote>
  <w:footnote w:id="1227">
    <w:p>
      <w:pPr>
        <w:pStyle w:val="FootnoteText"/>
      </w:pPr>
      <w:r>
        <w:rPr>
          <w:rStyle w:val="FootnoteReference"/>
        </w:rPr>
        <w:footnoteRef/>
      </w:r>
      <w:r>
        <w:t xml:space="preserve">Matthew 26:20–29; Mark 14:17–25; Luke 22:14–20.</w:t>
      </w:r>
    </w:p>
  </w:footnote>
  <w:footnote w:id="1228">
    <w:p>
      <w:pPr>
        <w:pStyle w:val="FootnoteText"/>
      </w:pPr>
      <w:r>
        <w:rPr>
          <w:rStyle w:val="FootnoteReference"/>
        </w:rPr>
        <w:footnoteRef/>
      </w:r>
      <w:r>
        <w:t xml:space="preserve">See Sermon 16 for a full exposition of the passion narratives.</w:t>
      </w:r>
    </w:p>
  </w:footnote>
  <w:footnote w:id="1229">
    <w:p>
      <w:pPr>
        <w:pStyle w:val="FootnoteText"/>
      </w:pPr>
      <w:r>
        <w:rPr>
          <w:rStyle w:val="FootnoteReference"/>
        </w:rPr>
        <w:footnoteRef/>
      </w:r>
      <w:r>
        <w:rPr>
          <w:i/>
          <w:iCs/>
        </w:rPr>
        <w:t xml:space="preserve">5.26r</w:t>
      </w:r>
      <w:r>
        <w:t xml:space="preserve">. This language is from Hebrews 7:27. JE indicates intent to complete the thought.</w:t>
      </w:r>
    </w:p>
  </w:footnote>
  <w:footnote w:id="1230">
    <w:p>
      <w:pPr>
        <w:pStyle w:val="FootnoteText"/>
      </w:pPr>
      <w:r>
        <w:rPr>
          <w:rStyle w:val="FootnoteReference"/>
        </w:rPr>
        <w:footnoteRef/>
      </w:r>
      <w:r>
        <w:rPr>
          <w:i/>
          <w:iCs/>
        </w:rPr>
        <w:t xml:space="preserve">6.1r</w:t>
      </w:r>
      <w:r>
        <w:t xml:space="preserve">.</w:t>
      </w:r>
    </w:p>
  </w:footnote>
  <w:footnote w:id="1231">
    <w:p>
      <w:pPr>
        <w:pStyle w:val="FootnoteText"/>
      </w:pPr>
      <w:r>
        <w:rPr>
          <w:rStyle w:val="FootnoteReference"/>
        </w:rPr>
        <w:footnoteRef/>
      </w:r>
      <w:r>
        <w:t xml:space="preserve">Inscribed by JE. Presumably the date of the sermon's delivery.</w:t>
      </w:r>
    </w:p>
  </w:footnote>
  <w:footnote w:id="1232">
    <w:p>
      <w:pPr>
        <w:pStyle w:val="FootnoteText"/>
      </w:pPr>
      <w:r>
        <w:rPr>
          <w:rStyle w:val="FootnoteReference"/>
        </w:rPr>
        <w:footnoteRef/>
      </w:r>
      <w:r>
        <w:t xml:space="preserve">JE explicitly indicates intent to give his scriptural text only.</w:t>
      </w:r>
    </w:p>
  </w:footnote>
  <w:footnote w:id="1233">
    <w:p>
      <w:pPr>
        <w:pStyle w:val="FootnoteText"/>
      </w:pPr>
      <w:r>
        <w:rPr>
          <w:rStyle w:val="FootnoteReference"/>
        </w:rPr>
        <w:footnoteRef/>
      </w:r>
      <w:r>
        <w:t xml:space="preserve">JE indicates intent to reiterate the "proposition" or specification of the doctrine that controls the development of this section.</w:t>
      </w:r>
    </w:p>
  </w:footnote>
  <w:footnote w:id="1234">
    <w:p>
      <w:pPr>
        <w:pStyle w:val="FootnoteText"/>
      </w:pPr>
      <w:r>
        <w:rPr>
          <w:rStyle w:val="FootnoteReference"/>
        </w:rPr>
        <w:footnoteRef/>
      </w:r>
      <w:r>
        <w:rPr>
          <w:i/>
          <w:iCs/>
        </w:rPr>
        <w:t xml:space="preserve">6.1v</w:t>
      </w:r>
      <w:r>
        <w:t xml:space="preserve">.</w:t>
      </w:r>
    </w:p>
  </w:footnote>
  <w:footnote w:id="1235">
    <w:p>
      <w:pPr>
        <w:pStyle w:val="FootnoteText"/>
      </w:pPr>
      <w:r>
        <w:rPr>
          <w:rStyle w:val="FootnoteReference"/>
        </w:rPr>
        <w:footnoteRef/>
      </w:r>
      <w:r>
        <w:rPr>
          <w:i/>
          <w:iCs/>
        </w:rPr>
        <w:t xml:space="preserve">(c.)</w:t>
      </w:r>
      <w:r>
        <w:t xml:space="preserve">.</w:t>
      </w:r>
    </w:p>
  </w:footnote>
  <w:footnote w:id="1236">
    <w:p>
      <w:pPr>
        <w:pStyle w:val="FootnoteText"/>
      </w:pPr>
      <w:r>
        <w:rPr>
          <w:rStyle w:val="FootnoteReference"/>
        </w:rPr>
        <w:footnoteRef/>
      </w:r>
      <w:r>
        <w:rPr>
          <w:i/>
          <w:iCs/>
        </w:rPr>
        <w:t xml:space="preserve">6.2r</w:t>
      </w:r>
      <w:r>
        <w:t xml:space="preserve">.</w:t>
      </w:r>
    </w:p>
  </w:footnote>
  <w:footnote w:id="1237">
    <w:p>
      <w:pPr>
        <w:pStyle w:val="FootnoteText"/>
      </w:pPr>
      <w:r>
        <w:rPr>
          <w:rStyle w:val="FootnoteReference"/>
        </w:rPr>
        <w:footnoteRef/>
      </w:r>
      <w:r>
        <w:rPr>
          <w:i/>
          <w:iCs/>
        </w:rPr>
        <w:t xml:space="preserve">1</w:t>
      </w:r>
      <w:r>
        <w:t xml:space="preserve">.</w:t>
      </w:r>
    </w:p>
  </w:footnote>
  <w:footnote w:id="1238">
    <w:p>
      <w:pPr>
        <w:pStyle w:val="FootnoteText"/>
      </w:pPr>
      <w:r>
        <w:rPr>
          <w:rStyle w:val="FootnoteReference"/>
        </w:rPr>
        <w:footnoteRef/>
      </w:r>
      <w:r>
        <w:rPr>
          <w:i/>
          <w:iCs/>
        </w:rPr>
        <w:t xml:space="preserve">6.2v</w:t>
      </w:r>
      <w:r>
        <w:t xml:space="preserve">.</w:t>
      </w:r>
    </w:p>
  </w:footnote>
  <w:footnote w:id="1239">
    <w:p>
      <w:pPr>
        <w:pStyle w:val="FootnoteText"/>
      </w:pPr>
      <w:r>
        <w:rPr>
          <w:rStyle w:val="FootnoteReference"/>
        </w:rPr>
        <w:footnoteRef/>
      </w:r>
      <w:r>
        <w:rPr>
          <w:i/>
          <w:iCs/>
        </w:rPr>
        <w:t xml:space="preserve">2</w:t>
      </w:r>
      <w:r>
        <w:t xml:space="preserve">.</w:t>
      </w:r>
    </w:p>
  </w:footnote>
  <w:footnote w:id="1240">
    <w:p>
      <w:pPr>
        <w:pStyle w:val="FootnoteText"/>
      </w:pPr>
      <w:r>
        <w:rPr>
          <w:rStyle w:val="FootnoteReference"/>
        </w:rPr>
        <w:footnoteRef/>
      </w:r>
      <w:r>
        <w:rPr>
          <w:i/>
          <w:iCs/>
        </w:rPr>
        <w:t xml:space="preserve">6.3r</w:t>
      </w:r>
      <w:r>
        <w:t xml:space="preserve">.</w:t>
      </w:r>
    </w:p>
  </w:footnote>
  <w:footnote w:id="1241">
    <w:p>
      <w:pPr>
        <w:pStyle w:val="FootnoteText"/>
      </w:pPr>
      <w:r>
        <w:rPr>
          <w:rStyle w:val="FootnoteReference"/>
        </w:rPr>
        <w:footnoteRef/>
      </w:r>
      <w:r>
        <w:t xml:space="preserve">This language is from Philippians 2:6.</w:t>
      </w:r>
    </w:p>
  </w:footnote>
  <w:footnote w:id="1242">
    <w:p>
      <w:pPr>
        <w:pStyle w:val="FootnoteText"/>
      </w:pPr>
      <w:r>
        <w:rPr>
          <w:rStyle w:val="FootnoteReference"/>
        </w:rPr>
        <w:footnoteRef/>
      </w:r>
      <w:r>
        <w:rPr>
          <w:i/>
          <w:iCs/>
        </w:rPr>
        <w:t xml:space="preserve">6.3v</w:t>
      </w:r>
      <w:r>
        <w:t xml:space="preserve">.</w:t>
      </w:r>
    </w:p>
  </w:footnote>
  <w:footnote w:id="1243">
    <w:p>
      <w:pPr>
        <w:pStyle w:val="FootnoteText"/>
      </w:pPr>
      <w:r>
        <w:rPr>
          <w:rStyle w:val="FootnoteReference"/>
        </w:rPr>
        <w:footnoteRef/>
      </w:r>
      <w:r>
        <w:t xml:space="preserve">JE's text repeats "and crowned with thorns."</w:t>
      </w:r>
    </w:p>
  </w:footnote>
  <w:footnote w:id="1244">
    <w:p>
      <w:pPr>
        <w:pStyle w:val="FootnoteText"/>
      </w:pPr>
      <w:r>
        <w:rPr>
          <w:rStyle w:val="FootnoteReference"/>
        </w:rPr>
        <w:footnoteRef/>
      </w:r>
      <w:r>
        <w:rPr>
          <w:i/>
          <w:iCs/>
        </w:rPr>
        <w:t xml:space="preserve">6.4r</w:t>
      </w:r>
      <w:r>
        <w:t xml:space="preserve">.</w:t>
      </w:r>
    </w:p>
  </w:footnote>
  <w:footnote w:id="1245">
    <w:p>
      <w:pPr>
        <w:pStyle w:val="FootnoteText"/>
      </w:pPr>
      <w:r>
        <w:rPr>
          <w:rStyle w:val="FootnoteReference"/>
        </w:rPr>
        <w:footnoteRef/>
      </w:r>
      <w:r>
        <w:t xml:space="preserve">An obvious reference to Isaiah 53:7.</w:t>
      </w:r>
    </w:p>
  </w:footnote>
  <w:footnote w:id="1246">
    <w:p>
      <w:pPr>
        <w:pStyle w:val="FootnoteText"/>
      </w:pPr>
      <w:r>
        <w:rPr>
          <w:rStyle w:val="FootnoteReference"/>
        </w:rPr>
        <w:footnoteRef/>
      </w:r>
      <w:r>
        <w:t xml:space="preserve">E.g. John 6:15; cf. John 18:36.</w:t>
      </w:r>
    </w:p>
  </w:footnote>
  <w:footnote w:id="1247">
    <w:p>
      <w:pPr>
        <w:pStyle w:val="FootnoteText"/>
      </w:pPr>
      <w:r>
        <w:rPr>
          <w:rStyle w:val="FootnoteReference"/>
        </w:rPr>
        <w:footnoteRef/>
      </w:r>
      <w:r>
        <w:rPr>
          <w:i/>
          <w:iCs/>
        </w:rPr>
        <w:t xml:space="preserve">3</w:t>
      </w:r>
      <w:r>
        <w:t xml:space="preserve">.</w:t>
      </w:r>
    </w:p>
  </w:footnote>
  <w:footnote w:id="1248">
    <w:p>
      <w:pPr>
        <w:pStyle w:val="FootnoteText"/>
      </w:pPr>
      <w:r>
        <w:rPr>
          <w:rStyle w:val="FootnoteReference"/>
        </w:rPr>
        <w:footnoteRef/>
      </w:r>
      <w:r>
        <w:rPr>
          <w:i/>
          <w:iCs/>
        </w:rPr>
        <w:t xml:space="preserve">6.4v</w:t>
      </w:r>
      <w:r>
        <w:t xml:space="preserve">.</w:t>
      </w:r>
    </w:p>
  </w:footnote>
  <w:footnote w:id="1249">
    <w:p>
      <w:pPr>
        <w:pStyle w:val="FootnoteText"/>
      </w:pPr>
      <w:r>
        <w:rPr>
          <w:rStyle w:val="FootnoteReference"/>
        </w:rPr>
        <w:footnoteRef/>
      </w:r>
      <w:r>
        <w:rPr>
          <w:i/>
          <w:iCs/>
        </w:rPr>
        <w:t xml:space="preserve">6.5r</w:t>
      </w:r>
      <w:r>
        <w:t xml:space="preserve">.</w:t>
      </w:r>
    </w:p>
  </w:footnote>
  <w:footnote w:id="1250">
    <w:p>
      <w:pPr>
        <w:pStyle w:val="FootnoteText"/>
      </w:pPr>
      <w:r>
        <w:rPr>
          <w:rStyle w:val="FootnoteReference"/>
        </w:rPr>
        <w:footnoteRef/>
      </w:r>
      <w:r>
        <w:t xml:space="preserve">It is unclear whether JE intends to quote further from this verse, in which Christ says, "Father, forgive them; for they know not what they do."</w:t>
      </w:r>
    </w:p>
  </w:footnote>
  <w:footnote w:id="1251">
    <w:p>
      <w:pPr>
        <w:pStyle w:val="FootnoteText"/>
      </w:pPr>
      <w:r>
        <w:rPr>
          <w:rStyle w:val="FootnoteReference"/>
        </w:rPr>
        <w:footnoteRef/>
      </w:r>
      <w:r>
        <w:rPr>
          <w:i/>
          <w:iCs/>
        </w:rPr>
        <w:t xml:space="preserve">6.5v</w:t>
      </w:r>
      <w:r>
        <w:t xml:space="preserve">.</w:t>
      </w:r>
    </w:p>
  </w:footnote>
  <w:footnote w:id="1252">
    <w:p>
      <w:pPr>
        <w:pStyle w:val="FootnoteText"/>
      </w:pPr>
      <w:r>
        <w:rPr>
          <w:rStyle w:val="FootnoteReference"/>
        </w:rPr>
        <w:footnoteRef/>
      </w:r>
      <w:r>
        <w:rPr>
          <w:i/>
          <w:iCs/>
        </w:rPr>
        <w:t xml:space="preserve">(2.)</w:t>
      </w:r>
      <w:r>
        <w:t xml:space="preserve">.</w:t>
      </w:r>
    </w:p>
  </w:footnote>
  <w:footnote w:id="1253">
    <w:p>
      <w:pPr>
        <w:pStyle w:val="FootnoteText"/>
      </w:pPr>
      <w:r>
        <w:rPr>
          <w:rStyle w:val="FootnoteReference"/>
        </w:rPr>
        <w:footnoteRef/>
      </w:r>
      <w:r>
        <w:rPr>
          <w:i/>
          <w:iCs/>
        </w:rPr>
        <w:t xml:space="preserve">(a.)</w:t>
      </w:r>
      <w:r>
        <w:t xml:space="preserve">.</w:t>
      </w:r>
    </w:p>
  </w:footnote>
  <w:footnote w:id="1254">
    <w:p>
      <w:pPr>
        <w:pStyle w:val="FootnoteText"/>
      </w:pPr>
      <w:r>
        <w:rPr>
          <w:rStyle w:val="FootnoteReference"/>
        </w:rPr>
        <w:footnoteRef/>
      </w:r>
      <w:r>
        <w:rPr>
          <w:i/>
          <w:iCs/>
        </w:rPr>
        <w:t xml:space="preserve">6.6r</w:t>
      </w:r>
      <w:r>
        <w:t xml:space="preserve">.</w:t>
      </w:r>
    </w:p>
  </w:footnote>
  <w:footnote w:id="1255">
    <w:p>
      <w:pPr>
        <w:pStyle w:val="FootnoteText"/>
      </w:pPr>
      <w:r>
        <w:rPr>
          <w:rStyle w:val="FootnoteReference"/>
        </w:rPr>
        <w:footnoteRef/>
      </w:r>
      <w:r>
        <w:t xml:space="preserve">Matthew 2:16–18.</w:t>
      </w:r>
    </w:p>
  </w:footnote>
  <w:footnote w:id="1256">
    <w:p>
      <w:pPr>
        <w:pStyle w:val="FootnoteText"/>
      </w:pPr>
      <w:r>
        <w:rPr>
          <w:rStyle w:val="FootnoteReference"/>
        </w:rPr>
        <w:footnoteRef/>
      </w:r>
      <w:r>
        <w:rPr>
          <w:i/>
          <w:iCs/>
        </w:rPr>
        <w:t xml:space="preserve">6.6v</w:t>
      </w:r>
      <w:r>
        <w:t xml:space="preserve">.</w:t>
      </w:r>
    </w:p>
  </w:footnote>
  <w:footnote w:id="1257">
    <w:p>
      <w:pPr>
        <w:pStyle w:val="FootnoteText"/>
      </w:pPr>
      <w:r>
        <w:rPr>
          <w:rStyle w:val="FootnoteReference"/>
        </w:rPr>
        <w:footnoteRef/>
      </w:r>
      <w:r>
        <w:t xml:space="preserve">In this paragraph, JE emphasizes the typological, connection between Christ's journey into Egypt and Israel's sojourn in that "strange land" (Exodus 2:22). This was a motif which the Puritans frequently applied to themselves and New England.</w:t>
      </w:r>
    </w:p>
  </w:footnote>
  <w:footnote w:id="1258">
    <w:p>
      <w:pPr>
        <w:pStyle w:val="FootnoteText"/>
      </w:pPr>
      <w:r>
        <w:rPr>
          <w:rStyle w:val="FootnoteReference"/>
        </w:rPr>
        <w:footnoteRef/>
      </w:r>
      <w:r>
        <w:rPr>
          <w:i/>
          <w:iCs/>
        </w:rPr>
        <w:t xml:space="preserve">(b.)</w:t>
      </w:r>
      <w:r>
        <w:t xml:space="preserve">.</w:t>
      </w:r>
    </w:p>
  </w:footnote>
  <w:footnote w:id="1259">
    <w:p>
      <w:pPr>
        <w:pStyle w:val="FootnoteText"/>
      </w:pPr>
      <w:r>
        <w:rPr>
          <w:rStyle w:val="FootnoteReference"/>
        </w:rPr>
        <w:footnoteRef/>
      </w:r>
      <w:r>
        <w:t xml:space="preserve">JE abridges slightly.</w:t>
      </w:r>
    </w:p>
  </w:footnote>
  <w:footnote w:id="1260">
    <w:p>
      <w:pPr>
        <w:pStyle w:val="FootnoteText"/>
      </w:pPr>
      <w:r>
        <w:rPr>
          <w:rStyle w:val="FootnoteReference"/>
        </w:rPr>
        <w:footnoteRef/>
      </w:r>
      <w:r>
        <w:rPr>
          <w:i/>
          <w:iCs/>
        </w:rPr>
        <w:t xml:space="preserve">6.7r</w:t>
      </w:r>
      <w:r>
        <w:t xml:space="preserve">.</w:t>
      </w:r>
    </w:p>
  </w:footnote>
  <w:footnote w:id="1261">
    <w:p>
      <w:pPr>
        <w:pStyle w:val="FootnoteText"/>
      </w:pPr>
      <w:r>
        <w:rPr>
          <w:rStyle w:val="FootnoteReference"/>
        </w:rPr>
        <w:footnoteRef/>
      </w:r>
      <w:r>
        <w:rPr>
          <w:i/>
          <w:iCs/>
        </w:rPr>
        <w:t xml:space="preserve">(c.)</w:t>
      </w:r>
      <w:r>
        <w:t xml:space="preserve">.</w:t>
      </w:r>
    </w:p>
  </w:footnote>
  <w:footnote w:id="1262">
    <w:p>
      <w:pPr>
        <w:pStyle w:val="FootnoteText"/>
      </w:pPr>
      <w:r>
        <w:rPr>
          <w:rStyle w:val="FootnoteReference"/>
        </w:rPr>
        <w:footnoteRef/>
      </w:r>
      <w:r>
        <w:rPr>
          <w:i/>
          <w:iCs/>
        </w:rPr>
        <w:t xml:space="preserve">1</w:t>
      </w:r>
      <w:r>
        <w:t xml:space="preserve">.</w:t>
      </w:r>
    </w:p>
  </w:footnote>
  <w:footnote w:id="1263">
    <w:p>
      <w:pPr>
        <w:pStyle w:val="FootnoteText"/>
      </w:pPr>
      <w:r>
        <w:rPr>
          <w:rStyle w:val="FootnoteReference"/>
        </w:rPr>
        <w:footnoteRef/>
      </w:r>
      <w:r>
        <w:rPr>
          <w:i/>
          <w:iCs/>
        </w:rPr>
        <w:t xml:space="preserve">6.7v</w:t>
      </w:r>
      <w:r>
        <w:t xml:space="preserve">.</w:t>
      </w:r>
    </w:p>
  </w:footnote>
  <w:footnote w:id="1264">
    <w:p>
      <w:pPr>
        <w:pStyle w:val="FootnoteText"/>
      </w:pPr>
      <w:r>
        <w:rPr>
          <w:rStyle w:val="FootnoteReference"/>
        </w:rPr>
        <w:footnoteRef/>
      </w:r>
      <w:r>
        <w:t xml:space="preserve">JE notes in an interlineation, "hunger Matthew 4:2; Matthew 21:18."</w:t>
      </w:r>
    </w:p>
  </w:footnote>
  <w:footnote w:id="1265">
    <w:p>
      <w:pPr>
        <w:pStyle w:val="FootnoteText"/>
      </w:pPr>
      <w:r>
        <w:rPr>
          <w:rStyle w:val="FootnoteReference"/>
        </w:rPr>
        <w:footnoteRef/>
      </w:r>
      <w:r>
        <w:t xml:space="preserve">Luke 8:3.</w:t>
      </w:r>
    </w:p>
  </w:footnote>
  <w:footnote w:id="1266">
    <w:p>
      <w:pPr>
        <w:pStyle w:val="FootnoteText"/>
      </w:pPr>
      <w:r>
        <w:rPr>
          <w:rStyle w:val="FootnoteReference"/>
        </w:rPr>
        <w:footnoteRef/>
      </w:r>
      <w:r>
        <w:t xml:space="preserve">Luke 22:7–12.</w:t>
      </w:r>
    </w:p>
  </w:footnote>
  <w:footnote w:id="1267">
    <w:p>
      <w:pPr>
        <w:pStyle w:val="FootnoteText"/>
      </w:pPr>
      <w:r>
        <w:rPr>
          <w:rStyle w:val="FootnoteReference"/>
        </w:rPr>
        <w:footnoteRef/>
      </w:r>
      <w:r>
        <w:t xml:space="preserve">Matthew 27:57–60; Mark 15:42–46; Luke 23:50–56; John 19:38–42.</w:t>
      </w:r>
    </w:p>
  </w:footnote>
  <w:footnote w:id="1268">
    <w:p>
      <w:pPr>
        <w:pStyle w:val="FootnoteText"/>
      </w:pPr>
      <w:r>
        <w:rPr>
          <w:rStyle w:val="FootnoteReference"/>
        </w:rPr>
        <w:footnoteRef/>
      </w:r>
      <w:r>
        <w:rPr>
          <w:i/>
          <w:iCs/>
        </w:rPr>
        <w:t xml:space="preserve">2</w:t>
      </w:r>
      <w:r>
        <w:t xml:space="preserve">.</w:t>
      </w:r>
    </w:p>
  </w:footnote>
  <w:footnote w:id="1269">
    <w:p>
      <w:pPr>
        <w:pStyle w:val="FootnoteText"/>
      </w:pPr>
      <w:r>
        <w:rPr>
          <w:rStyle w:val="FootnoteReference"/>
        </w:rPr>
        <w:footnoteRef/>
      </w:r>
      <w:r>
        <w:t xml:space="preserve">See Isaiah 53:3, from which JE takes much of the language of this section.</w:t>
      </w:r>
    </w:p>
  </w:footnote>
  <w:footnote w:id="1270">
    <w:p>
      <w:pPr>
        <w:pStyle w:val="FootnoteText"/>
      </w:pPr>
      <w:r>
        <w:rPr>
          <w:rStyle w:val="FootnoteReference"/>
        </w:rPr>
        <w:footnoteRef/>
      </w:r>
      <w:r>
        <w:rPr>
          <w:i/>
          <w:iCs/>
        </w:rPr>
        <w:t xml:space="preserve">6.8r</w:t>
      </w:r>
      <w:r>
        <w:t xml:space="preserve">.</w:t>
      </w:r>
    </w:p>
  </w:footnote>
  <w:footnote w:id="1271">
    <w:p>
      <w:pPr>
        <w:pStyle w:val="FootnoteText"/>
      </w:pPr>
      <w:r>
        <w:rPr>
          <w:rStyle w:val="FootnoteReference"/>
        </w:rPr>
        <w:footnoteRef/>
      </w:r>
      <w:r>
        <w:t xml:space="preserve">E.g. Matthew 13:55–57; Mark 6:3; Luke 4:22; John 1:46; John 6:42.</w:t>
      </w:r>
    </w:p>
  </w:footnote>
  <w:footnote w:id="1272">
    <w:p>
      <w:pPr>
        <w:pStyle w:val="FootnoteText"/>
      </w:pPr>
      <w:r>
        <w:rPr>
          <w:rStyle w:val="FootnoteReference"/>
        </w:rPr>
        <w:footnoteRef/>
      </w:r>
      <w:r>
        <w:t xml:space="preserve">E.g. Matthew 11:19; Luke 7:34.</w:t>
      </w:r>
    </w:p>
  </w:footnote>
  <w:footnote w:id="1273">
    <w:p>
      <w:pPr>
        <w:pStyle w:val="FootnoteText"/>
      </w:pPr>
      <w:r>
        <w:rPr>
          <w:rStyle w:val="FootnoteReference"/>
        </w:rPr>
        <w:footnoteRef/>
      </w:r>
      <w:r>
        <w:t xml:space="preserve">E.g. Matthew 9:11; Luke 3:12–13.</w:t>
      </w:r>
    </w:p>
  </w:footnote>
  <w:footnote w:id="1274">
    <w:p>
      <w:pPr>
        <w:pStyle w:val="FootnoteText"/>
      </w:pPr>
      <w:r>
        <w:rPr>
          <w:rStyle w:val="FootnoteReference"/>
        </w:rPr>
        <w:footnoteRef/>
      </w:r>
      <w:r>
        <w:t xml:space="preserve">Matthew 9:3; John 10:36.</w:t>
      </w:r>
    </w:p>
  </w:footnote>
  <w:footnote w:id="1275">
    <w:p>
      <w:pPr>
        <w:pStyle w:val="FootnoteText"/>
      </w:pPr>
      <w:r>
        <w:rPr>
          <w:rStyle w:val="FootnoteReference"/>
        </w:rPr>
        <w:footnoteRef/>
      </w:r>
      <w:r>
        <w:t xml:space="preserve">Matthew 12:24; Mark 3:22; Luke 11:15.</w:t>
      </w:r>
    </w:p>
  </w:footnote>
  <w:footnote w:id="1276">
    <w:p>
      <w:pPr>
        <w:pStyle w:val="FootnoteText"/>
      </w:pPr>
      <w:r>
        <w:rPr>
          <w:rStyle w:val="FootnoteReference"/>
        </w:rPr>
        <w:footnoteRef/>
      </w:r>
      <w:r>
        <w:t xml:space="preserve">Luke 4:28–30; John 8:59. See also John 5:18.</w:t>
      </w:r>
    </w:p>
  </w:footnote>
  <w:footnote w:id="1277">
    <w:p>
      <w:pPr>
        <w:pStyle w:val="FootnoteText"/>
      </w:pPr>
      <w:r>
        <w:rPr>
          <w:rStyle w:val="FootnoteReference"/>
        </w:rPr>
        <w:footnoteRef/>
      </w:r>
      <w:r>
        <w:rPr>
          <w:i/>
          <w:iCs/>
        </w:rPr>
        <w:t xml:space="preserve">6.8v</w:t>
      </w:r>
      <w:r>
        <w:t xml:space="preserve">.</w:t>
      </w:r>
    </w:p>
  </w:footnote>
  <w:footnote w:id="1278">
    <w:p>
      <w:pPr>
        <w:pStyle w:val="FootnoteText"/>
      </w:pPr>
      <w:r>
        <w:rPr>
          <w:rStyle w:val="FootnoteReference"/>
        </w:rPr>
        <w:footnoteRef/>
      </w:r>
      <w:r>
        <w:rPr>
          <w:i/>
          <w:iCs/>
        </w:rPr>
        <w:t xml:space="preserve">3</w:t>
      </w:r>
      <w:r>
        <w:t xml:space="preserve">.</w:t>
      </w:r>
    </w:p>
  </w:footnote>
  <w:footnote w:id="1279">
    <w:p>
      <w:pPr>
        <w:pStyle w:val="FootnoteText"/>
      </w:pPr>
      <w:r>
        <w:rPr>
          <w:rStyle w:val="FootnoteReference"/>
        </w:rPr>
        <w:footnoteRef/>
      </w:r>
      <w:r>
        <w:t xml:space="preserve">Matthew 4:1–11; Mark 1:12–13; Luke 4:1–13.</w:t>
      </w:r>
    </w:p>
  </w:footnote>
  <w:footnote w:id="1280">
    <w:p>
      <w:pPr>
        <w:pStyle w:val="FootnoteText"/>
      </w:pPr>
      <w:r>
        <w:rPr>
          <w:rStyle w:val="FootnoteReference"/>
        </w:rPr>
        <w:footnoteRef/>
      </w:r>
      <w:r>
        <w:rPr>
          <w:i/>
          <w:iCs/>
        </w:rPr>
        <w:t xml:space="preserve">6.9r</w:t>
      </w:r>
      <w:r>
        <w:t xml:space="preserve">.</w:t>
      </w:r>
    </w:p>
  </w:footnote>
  <w:footnote w:id="1281">
    <w:p>
      <w:pPr>
        <w:pStyle w:val="FootnoteText"/>
      </w:pPr>
      <w:r>
        <w:rPr>
          <w:rStyle w:val="FootnoteReference"/>
        </w:rPr>
        <w:footnoteRef/>
      </w:r>
      <w:r>
        <w:rPr>
          <w:i/>
          <w:iCs/>
        </w:rPr>
        <w:t xml:space="preserve">4</w:t>
      </w:r>
      <w:r>
        <w:t xml:space="preserve">.</w:t>
      </w:r>
    </w:p>
  </w:footnote>
  <w:footnote w:id="1282">
    <w:p>
      <w:pPr>
        <w:pStyle w:val="FootnoteText"/>
      </w:pPr>
      <w:r>
        <w:rPr>
          <w:rStyle w:val="FootnoteReference"/>
        </w:rPr>
        <w:footnoteRef/>
      </w:r>
      <w:r>
        <w:t xml:space="preserve">Matthew 26:14–16; Mark 14:10–11; Luke 22:3–6.</w:t>
      </w:r>
    </w:p>
  </w:footnote>
  <w:footnote w:id="1283">
    <w:p>
      <w:pPr>
        <w:pStyle w:val="FootnoteText"/>
      </w:pPr>
      <w:r>
        <w:rPr>
          <w:rStyle w:val="FootnoteReference"/>
        </w:rPr>
        <w:footnoteRef/>
      </w:r>
      <w:r>
        <w:t xml:space="preserve">JE conflates clauses from Mark 14, Mark 14:33 and Mark 14:34.</w:t>
      </w:r>
    </w:p>
  </w:footnote>
  <w:footnote w:id="1284">
    <w:p>
      <w:pPr>
        <w:pStyle w:val="FootnoteText"/>
      </w:pPr>
      <w:r>
        <w:rPr>
          <w:rStyle w:val="FootnoteReference"/>
        </w:rPr>
        <w:footnoteRef/>
      </w:r>
      <w:r>
        <w:t xml:space="preserve">Luke 22:44.</w:t>
      </w:r>
    </w:p>
  </w:footnote>
  <w:footnote w:id="1285">
    <w:p>
      <w:pPr>
        <w:pStyle w:val="FootnoteText"/>
      </w:pPr>
      <w:r>
        <w:rPr>
          <w:rStyle w:val="FootnoteReference"/>
        </w:rPr>
        <w:footnoteRef/>
      </w:r>
      <w:r>
        <w:rPr>
          <w:i/>
          <w:iCs/>
        </w:rPr>
        <w:t xml:space="preserve">6.9v</w:t>
      </w:r>
      <w:r>
        <w:t xml:space="preserve">.</w:t>
      </w:r>
    </w:p>
  </w:footnote>
  <w:footnote w:id="1286">
    <w:p>
      <w:pPr>
        <w:pStyle w:val="FootnoteText"/>
      </w:pPr>
      <w:r>
        <w:rPr>
          <w:rStyle w:val="FootnoteReference"/>
        </w:rPr>
        <w:footnoteRef/>
      </w:r>
      <w:r>
        <w:t xml:space="preserve">Matthew 26:47–50; Mark 14:43–46; Luke 22:47–48; John 18:2–8.</w:t>
      </w:r>
    </w:p>
  </w:footnote>
  <w:footnote w:id="1287">
    <w:p>
      <w:pPr>
        <w:pStyle w:val="FootnoteText"/>
      </w:pPr>
      <w:r>
        <w:rPr>
          <w:rStyle w:val="FootnoteReference"/>
        </w:rPr>
        <w:footnoteRef/>
      </w:r>
      <w:r>
        <w:t xml:space="preserve">Matthew 26:57; Mark 14:46; Luke 22:54; John 18:12.</w:t>
      </w:r>
    </w:p>
  </w:footnote>
  <w:footnote w:id="1288">
    <w:p>
      <w:pPr>
        <w:pStyle w:val="FootnoteText"/>
      </w:pPr>
      <w:r>
        <w:rPr>
          <w:rStyle w:val="FootnoteReference"/>
        </w:rPr>
        <w:footnoteRef/>
      </w:r>
      <w:r>
        <w:t xml:space="preserve">Matthew 26:56; Mark 14:50.</w:t>
      </w:r>
    </w:p>
  </w:footnote>
  <w:footnote w:id="1289">
    <w:p>
      <w:pPr>
        <w:pStyle w:val="FootnoteText"/>
      </w:pPr>
      <w:r>
        <w:rPr>
          <w:rStyle w:val="FootnoteReference"/>
        </w:rPr>
        <w:footnoteRef/>
      </w:r>
      <w:r>
        <w:t xml:space="preserve">Matthew 26:57–68; Mark 14:53–65; Luke 22:63–65; John 18:19–24.</w:t>
      </w:r>
    </w:p>
  </w:footnote>
  <w:footnote w:id="1290">
    <w:p>
      <w:pPr>
        <w:pStyle w:val="FootnoteText"/>
      </w:pPr>
      <w:r>
        <w:rPr>
          <w:rStyle w:val="FootnoteReference"/>
        </w:rPr>
        <w:footnoteRef/>
      </w:r>
      <w:r>
        <w:t xml:space="preserve">JE uses in the sense of "pretext," "excuse," or "cover up."</w:t>
      </w:r>
    </w:p>
  </w:footnote>
  <w:footnote w:id="1291">
    <w:p>
      <w:pPr>
        <w:pStyle w:val="FootnoteText"/>
      </w:pPr>
      <w:r>
        <w:rPr>
          <w:rStyle w:val="FootnoteReference"/>
        </w:rPr>
        <w:footnoteRef/>
      </w:r>
      <w:r>
        <w:t xml:space="preserve">Matthew 26:59; Mark 14:55.</w:t>
      </w:r>
    </w:p>
  </w:footnote>
  <w:footnote w:id="1292">
    <w:p>
      <w:pPr>
        <w:pStyle w:val="FootnoteText"/>
      </w:pPr>
      <w:r>
        <w:rPr>
          <w:rStyle w:val="FootnoteReference"/>
        </w:rPr>
        <w:footnoteRef/>
      </w:r>
      <w:r>
        <w:rPr>
          <w:i/>
          <w:iCs/>
        </w:rPr>
        <w:t xml:space="preserve">6.10r</w:t>
      </w:r>
      <w:r>
        <w:t xml:space="preserve">.</w:t>
      </w:r>
    </w:p>
  </w:footnote>
  <w:footnote w:id="1293">
    <w:p>
      <w:pPr>
        <w:pStyle w:val="FootnoteText"/>
      </w:pPr>
      <w:r>
        <w:rPr>
          <w:rStyle w:val="FootnoteReference"/>
        </w:rPr>
        <w:footnoteRef/>
      </w:r>
      <w:r>
        <w:t xml:space="preserve">Matthew 26:60–63; Mark 14:56–61.</w:t>
      </w:r>
    </w:p>
  </w:footnote>
  <w:footnote w:id="1294">
    <w:p>
      <w:pPr>
        <w:pStyle w:val="FootnoteText"/>
      </w:pPr>
      <w:r>
        <w:rPr>
          <w:rStyle w:val="FootnoteReference"/>
        </w:rPr>
        <w:footnoteRef/>
      </w:r>
      <w:r>
        <w:t xml:space="preserve">JE's text reads: "they were not like to obtain it from it without they then." Evidently JE intended to write "him" for the second "it," and he may have meant to follow "without" with a phrase such as "killing him" or "giving him over to the Romans." In the absence of further textual evidence, this version deletes "without" and substitutes "him" for "it."</w:t>
      </w:r>
    </w:p>
  </w:footnote>
  <w:footnote w:id="1295">
    <w:p>
      <w:pPr>
        <w:pStyle w:val="FootnoteText"/>
      </w:pPr>
      <w:r>
        <w:rPr>
          <w:rStyle w:val="FootnoteReference"/>
        </w:rPr>
        <w:footnoteRef/>
      </w:r>
      <w:r>
        <w:t xml:space="preserve">See Matthew 26:63.</w:t>
      </w:r>
    </w:p>
  </w:footnote>
  <w:footnote w:id="1296">
    <w:p>
      <w:pPr>
        <w:pStyle w:val="FootnoteText"/>
      </w:pPr>
      <w:r>
        <w:rPr>
          <w:rStyle w:val="FootnoteReference"/>
        </w:rPr>
        <w:footnoteRef/>
      </w:r>
      <w:r>
        <w:t xml:space="preserve">See also Matthew 26:67; Luke 22:63–65.</w:t>
      </w:r>
    </w:p>
  </w:footnote>
  <w:footnote w:id="1297">
    <w:p>
      <w:pPr>
        <w:pStyle w:val="FootnoteText"/>
      </w:pPr>
      <w:r>
        <w:rPr>
          <w:rStyle w:val="FootnoteReference"/>
        </w:rPr>
        <w:footnoteRef/>
      </w:r>
      <w:r>
        <w:t xml:space="preserve">Matthew 26:69–75; Mark 14:66–72; Luke 22:54–62; John 18:15–18.</w:t>
      </w:r>
    </w:p>
  </w:footnote>
  <w:footnote w:id="1298">
    <w:p>
      <w:pPr>
        <w:pStyle w:val="FootnoteText"/>
      </w:pPr>
      <w:r>
        <w:rPr>
          <w:rStyle w:val="FootnoteReference"/>
        </w:rPr>
        <w:footnoteRef/>
      </w:r>
      <w:r>
        <w:rPr>
          <w:i/>
          <w:iCs/>
        </w:rPr>
        <w:t xml:space="preserve">6.10v</w:t>
      </w:r>
      <w:r>
        <w:t xml:space="preserve">.</w:t>
      </w:r>
    </w:p>
  </w:footnote>
  <w:footnote w:id="1299">
    <w:p>
      <w:pPr>
        <w:pStyle w:val="FootnoteText"/>
      </w:pPr>
      <w:r>
        <w:rPr>
          <w:rStyle w:val="FootnoteReference"/>
        </w:rPr>
        <w:footnoteRef/>
      </w:r>
      <w:r>
        <w:t xml:space="preserve">In the Gospels, the trials and events before the crucifixion do not clearly fall into the sequence which JE creates by conflating passages from the separate accounts. For the trial before Pilate, see Matthew 27:1–2, Matthew 27:11–14; Mark 15:1–5; Luke 23:1–25; and John 18:28–38.</w:t>
      </w:r>
    </w:p>
  </w:footnote>
  <w:footnote w:id="1300">
    <w:p>
      <w:pPr>
        <w:pStyle w:val="FootnoteText"/>
      </w:pPr>
      <w:r>
        <w:rPr>
          <w:rStyle w:val="FootnoteReference"/>
        </w:rPr>
        <w:footnoteRef/>
      </w:r>
      <w:r>
        <w:t xml:space="preserve">It is unclear what this "second" trial refers to as opposed to the "first." JE may have viewed John 18:28–32 as the first trial and John 18:33–38 as the second; or John 18:28–38 as the first and John 19:6–12 as the second. For the vehemence of the Jews and Pilate's attitude, see Luke 23:13–16; John 19:6–12.</w:t>
      </w:r>
    </w:p>
  </w:footnote>
  <w:footnote w:id="1301">
    <w:p>
      <w:pPr>
        <w:pStyle w:val="FootnoteText"/>
      </w:pPr>
      <w:r>
        <w:rPr>
          <w:rStyle w:val="FootnoteReference"/>
        </w:rPr>
        <w:footnoteRef/>
      </w:r>
      <w:r>
        <w:rPr>
          <w:i/>
          <w:iCs/>
        </w:rPr>
        <w:t xml:space="preserve">6.11r</w:t>
      </w:r>
      <w:r>
        <w:t xml:space="preserve">.</w:t>
      </w:r>
    </w:p>
  </w:footnote>
  <w:footnote w:id="1302">
    <w:p>
      <w:pPr>
        <w:pStyle w:val="FootnoteText"/>
      </w:pPr>
      <w:r>
        <w:rPr>
          <w:rStyle w:val="FootnoteReference"/>
        </w:rPr>
        <w:footnoteRef/>
      </w:r>
      <w:r>
        <w:t xml:space="preserve">Luke 23:6–11. The verbs in this sentence have been brought into agreement.</w:t>
      </w:r>
    </w:p>
  </w:footnote>
  <w:footnote w:id="1303">
    <w:p>
      <w:pPr>
        <w:pStyle w:val="FootnoteText"/>
      </w:pPr>
      <w:r>
        <w:rPr>
          <w:rStyle w:val="FootnoteReference"/>
        </w:rPr>
        <w:footnoteRef/>
      </w:r>
      <w:r>
        <w:t xml:space="preserve">Again, the reference to the "third" trial before Pilate is unclear; the probable reference, to John 19:12–16, seems to put the scourging out of sequence. See nn. 7 and 8, above. On Barabbas, see Matthew 27:15–23; Mark 15:6–15; Luke 23:13–25.</w:t>
      </w:r>
    </w:p>
  </w:footnote>
  <w:footnote w:id="1304">
    <w:p>
      <w:pPr>
        <w:pStyle w:val="FootnoteText"/>
      </w:pPr>
      <w:r>
        <w:rPr>
          <w:rStyle w:val="FootnoteReference"/>
        </w:rPr>
        <w:footnoteRef/>
      </w:r>
      <w:r>
        <w:t xml:space="preserve">Quotation is from Isaiah 50:6. See Matthew 27:26; Mark 15:15; John 19:1–3.</w:t>
      </w:r>
    </w:p>
  </w:footnote>
  <w:footnote w:id="1305">
    <w:p>
      <w:pPr>
        <w:pStyle w:val="FootnoteText"/>
      </w:pPr>
      <w:r>
        <w:rPr>
          <w:rStyle w:val="FootnoteReference"/>
        </w:rPr>
        <w:footnoteRef/>
      </w:r>
      <w:r>
        <w:t xml:space="preserve">Matthew 27:24–26; Mark 15:15; Luke 23:23–25; John 19:12–16.</w:t>
      </w:r>
    </w:p>
  </w:footnote>
  <w:footnote w:id="1306">
    <w:p>
      <w:pPr>
        <w:pStyle w:val="FootnoteText"/>
      </w:pPr>
      <w:r>
        <w:rPr>
          <w:rStyle w:val="FootnoteReference"/>
        </w:rPr>
        <w:footnoteRef/>
      </w:r>
      <w:r>
        <w:t xml:space="preserve">"Another" is crossed out, as is the "of" following "spate," and the word "agape" is interlineated in a different ink, undoubtedly by another and later hand.</w:t>
      </w:r>
    </w:p>
  </w:footnote>
  <w:footnote w:id="1307">
    <w:p>
      <w:pPr>
        <w:pStyle w:val="FootnoteText"/>
      </w:pPr>
      <w:r>
        <w:rPr>
          <w:rStyle w:val="FootnoteReference"/>
        </w:rPr>
        <w:footnoteRef/>
      </w:r>
      <w:r>
        <w:t xml:space="preserve">JE offers this and the following phrases without clear indication of how he intended to develop them. The remainder of the sermon is given in rough form only.</w:t>
      </w:r>
    </w:p>
  </w:footnote>
  <w:footnote w:id="1308">
    <w:p>
      <w:pPr>
        <w:pStyle w:val="FootnoteText"/>
      </w:pPr>
      <w:r>
        <w:rPr>
          <w:rStyle w:val="FootnoteReference"/>
        </w:rPr>
        <w:footnoteRef/>
      </w:r>
      <w:r>
        <w:rPr>
          <w:i/>
          <w:iCs/>
        </w:rPr>
        <w:t xml:space="preserve">6.11v</w:t>
      </w:r>
      <w:r>
        <w:t xml:space="preserve">.</w:t>
      </w:r>
    </w:p>
  </w:footnote>
  <w:footnote w:id="1309">
    <w:p>
      <w:pPr>
        <w:pStyle w:val="FootnoteText"/>
      </w:pPr>
      <w:r>
        <w:rPr>
          <w:rStyle w:val="FootnoteReference"/>
        </w:rPr>
        <w:footnoteRef/>
      </w:r>
      <w:r>
        <w:t xml:space="preserve">Matthew 27:27–31; Mark 15:16–20.</w:t>
      </w:r>
    </w:p>
  </w:footnote>
  <w:footnote w:id="1310">
    <w:p>
      <w:pPr>
        <w:pStyle w:val="FootnoteText"/>
      </w:pPr>
      <w:r>
        <w:rPr>
          <w:rStyle w:val="FootnoteReference"/>
        </w:rPr>
        <w:footnoteRef/>
      </w:r>
      <w:r>
        <w:t xml:space="preserve">Matthew 27:32–35; Mark 15:21–25; Luke 23:26, Luke 23:33; John 19:17–18.</w:t>
      </w:r>
    </w:p>
  </w:footnote>
  <w:footnote w:id="1311">
    <w:p>
      <w:pPr>
        <w:pStyle w:val="FootnoteText"/>
      </w:pPr>
      <w:r>
        <w:rPr>
          <w:rStyle w:val="FootnoteReference"/>
        </w:rPr>
        <w:footnoteRef/>
      </w:r>
      <w:r>
        <w:t xml:space="preserve">"Cup" is frequently used to refer to Christ's appointed sufferings, especially in Matthew 26:39; Mark 14:36; Luke 22:42. See also John 18:11; Matthew 26:27–28; Mark 14:23–24.</w:t>
      </w:r>
    </w:p>
  </w:footnote>
  <w:footnote w:id="1312">
    <w:p>
      <w:pPr>
        <w:pStyle w:val="FootnoteText"/>
      </w:pPr>
      <w:r>
        <w:rPr>
          <w:rStyle w:val="FootnoteReference"/>
        </w:rPr>
        <w:footnoteRef/>
      </w:r>
      <w:r>
        <w:t xml:space="preserve">JE's text at this point is a series of phrases awaiting elaboration.</w:t>
      </w:r>
    </w:p>
  </w:footnote>
  <w:footnote w:id="1313">
    <w:p>
      <w:pPr>
        <w:pStyle w:val="FootnoteText"/>
      </w:pPr>
      <w:r>
        <w:rPr>
          <w:rStyle w:val="FootnoteReference"/>
        </w:rPr>
        <w:footnoteRef/>
      </w:r>
      <w:r>
        <w:rPr>
          <w:i/>
          <w:iCs/>
        </w:rPr>
        <w:t xml:space="preserve">6.12r</w:t>
      </w:r>
      <w:r>
        <w:t xml:space="preserve">.</w:t>
      </w:r>
    </w:p>
  </w:footnote>
  <w:footnote w:id="1314">
    <w:p>
      <w:pPr>
        <w:pStyle w:val="FootnoteText"/>
      </w:pPr>
      <w:r>
        <w:rPr>
          <w:rStyle w:val="FootnoteReference"/>
        </w:rPr>
        <w:footnoteRef/>
      </w:r>
      <w:r>
        <w:t xml:space="preserve">Isaiah 53:10, Isaiah 53:12.</w:t>
      </w:r>
    </w:p>
  </w:footnote>
  <w:footnote w:id="1315">
    <w:p>
      <w:pPr>
        <w:pStyle w:val="FootnoteText"/>
      </w:pPr>
      <w:r>
        <w:rPr>
          <w:rStyle w:val="FootnoteReference"/>
        </w:rPr>
        <w:footnoteRef/>
      </w:r>
      <w:r>
        <w:t xml:space="preserve">The verse continues "and the power of darkness."</w:t>
      </w:r>
    </w:p>
  </w:footnote>
  <w:footnote w:id="1316">
    <w:p>
      <w:pPr>
        <w:pStyle w:val="FootnoteText"/>
      </w:pPr>
      <w:r>
        <w:rPr>
          <w:rStyle w:val="FootnoteReference"/>
        </w:rPr>
        <w:footnoteRef/>
      </w:r>
      <w:r>
        <w:rPr>
          <w:i/>
          <w:iCs/>
        </w:rPr>
        <w:t xml:space="preserve">6.12v</w:t>
      </w:r>
      <w:r>
        <w:t xml:space="preserve">. A reference to Christ's last words on the cross: Matthew 27:46, Matthew 27:50; Mark 15:34, Mark 15:37; Luke 23:46; John 19:28.</w:t>
      </w:r>
    </w:p>
  </w:footnote>
  <w:footnote w:id="1317">
    <w:p>
      <w:pPr>
        <w:pStyle w:val="FootnoteText"/>
      </w:pPr>
      <w:r>
        <w:rPr>
          <w:rStyle w:val="FootnoteReference"/>
        </w:rPr>
        <w:footnoteRef/>
      </w:r>
      <w:r>
        <w:rPr>
          <w:i/>
          <w:iCs/>
        </w:rPr>
        <w:t xml:space="preserve">6.13r</w:t>
      </w:r>
      <w:r>
        <w:t xml:space="preserve">.</w:t>
      </w:r>
    </w:p>
  </w:footnote>
  <w:footnote w:id="1318">
    <w:p>
      <w:pPr>
        <w:pStyle w:val="FootnoteText"/>
      </w:pPr>
      <w:r>
        <w:rPr>
          <w:rStyle w:val="FootnoteReference"/>
        </w:rPr>
        <w:footnoteRef/>
      </w:r>
      <w:r>
        <w:t xml:space="preserve">JE cites the biblical verse at the head of this sermon but does not indicate that he intends to repeat the doctrine, possibly because he reiterates its specification in his second proposition in the first paragraph. The whole sermon is devoted to an application or improvement of his construction of the second main period of the Work of Redemption, during which redemption was purchased by Christ.</w:t>
      </w:r>
    </w:p>
  </w:footnote>
  <w:footnote w:id="1319">
    <w:p>
      <w:pPr>
        <w:pStyle w:val="FootnoteText"/>
      </w:pPr>
      <w:r>
        <w:rPr>
          <w:rStyle w:val="FootnoteReference"/>
        </w:rPr>
        <w:footnoteRef/>
      </w:r>
      <w:r>
        <w:t xml:space="preserve">At this point JE's text breaks off. He leaves the remainder of this, the recto side, as well as the verso side, blank. The sermon resumes with the next leaf, recto.</w:t>
      </w:r>
    </w:p>
  </w:footnote>
  <w:footnote w:id="1320">
    <w:p>
      <w:pPr>
        <w:pStyle w:val="FootnoteText"/>
      </w:pPr>
      <w:r>
        <w:rPr>
          <w:rStyle w:val="FootnoteReference"/>
        </w:rPr>
        <w:footnoteRef/>
      </w:r>
      <w:r>
        <w:rPr>
          <w:i/>
          <w:iCs/>
        </w:rPr>
        <w:t xml:space="preserve">6.14r</w:t>
      </w:r>
      <w:r>
        <w:t xml:space="preserve">.</w:t>
      </w:r>
    </w:p>
  </w:footnote>
  <w:footnote w:id="1321">
    <w:p>
      <w:pPr>
        <w:pStyle w:val="FootnoteText"/>
      </w:pPr>
      <w:r>
        <w:rPr>
          <w:rStyle w:val="FootnoteReference"/>
        </w:rPr>
        <w:footnoteRef/>
      </w:r>
      <w:r>
        <w:rPr>
          <w:i/>
          <w:iCs/>
        </w:rPr>
        <w:t xml:space="preserve">1</w:t>
      </w:r>
      <w:r>
        <w:t xml:space="preserve">.</w:t>
      </w:r>
    </w:p>
  </w:footnote>
  <w:footnote w:id="1322">
    <w:p>
      <w:pPr>
        <w:pStyle w:val="FootnoteText"/>
      </w:pPr>
      <w:r>
        <w:rPr>
          <w:rStyle w:val="FootnoteReference"/>
        </w:rPr>
        <w:footnoteRef/>
      </w:r>
      <w:r>
        <w:rPr>
          <w:i/>
          <w:iCs/>
        </w:rPr>
        <w:t xml:space="preserve">First</w:t>
      </w:r>
      <w:r>
        <w:t xml:space="preserve">.</w:t>
      </w:r>
    </w:p>
  </w:footnote>
  <w:footnote w:id="1323">
    <w:p>
      <w:pPr>
        <w:pStyle w:val="FootnoteText"/>
      </w:pPr>
      <w:r>
        <w:rPr>
          <w:rStyle w:val="FootnoteReference"/>
        </w:rPr>
        <w:footnoteRef/>
      </w:r>
      <w:r>
        <w:rPr>
          <w:i/>
          <w:iCs/>
        </w:rPr>
        <w:t xml:space="preserve">6.14v</w:t>
      </w:r>
      <w:r>
        <w:t xml:space="preserve">.</w:t>
      </w:r>
    </w:p>
  </w:footnote>
  <w:footnote w:id="1324">
    <w:p>
      <w:pPr>
        <w:pStyle w:val="FootnoteText"/>
      </w:pPr>
      <w:r>
        <w:rPr>
          <w:rStyle w:val="FootnoteReference"/>
        </w:rPr>
        <w:footnoteRef/>
      </w:r>
      <w:r>
        <w:rPr>
          <w:i/>
          <w:iCs/>
        </w:rPr>
        <w:t xml:space="preserve">6.15r</w:t>
      </w:r>
      <w:r>
        <w:t xml:space="preserve">.</w:t>
      </w:r>
    </w:p>
  </w:footnote>
  <w:footnote w:id="1325">
    <w:p>
      <w:pPr>
        <w:pStyle w:val="FootnoteText"/>
      </w:pPr>
      <w:r>
        <w:rPr>
          <w:rStyle w:val="FootnoteReference"/>
        </w:rPr>
        <w:footnoteRef/>
      </w:r>
      <w:r>
        <w:rPr>
          <w:i/>
          <w:iCs/>
        </w:rPr>
        <w:t xml:space="preserve">6.15v</w:t>
      </w:r>
      <w:r>
        <w:t xml:space="preserve">. Phrases are taken from 1 Peter 2:6 and Acts 4:11.</w:t>
      </w:r>
    </w:p>
  </w:footnote>
  <w:footnote w:id="1326">
    <w:p>
      <w:pPr>
        <w:pStyle w:val="FootnoteText"/>
      </w:pPr>
      <w:r>
        <w:rPr>
          <w:rStyle w:val="FootnoteReference"/>
        </w:rPr>
        <w:footnoteRef/>
      </w:r>
      <w:r>
        <w:t xml:space="preserve">See John 3:36; John 12:47–48; Hebrews 10:26–27.</w:t>
      </w:r>
    </w:p>
  </w:footnote>
  <w:footnote w:id="1327">
    <w:p>
      <w:pPr>
        <w:pStyle w:val="FootnoteText"/>
      </w:pPr>
      <w:r>
        <w:rPr>
          <w:rStyle w:val="FootnoteReference"/>
        </w:rPr>
        <w:footnoteRef/>
      </w:r>
      <w:r>
        <w:rPr>
          <w:i/>
          <w:iCs/>
        </w:rPr>
        <w:t xml:space="preserve">Second</w:t>
      </w:r>
      <w:r>
        <w:t xml:space="preserve">.</w:t>
      </w:r>
    </w:p>
  </w:footnote>
  <w:footnote w:id="1328">
    <w:p>
      <w:pPr>
        <w:pStyle w:val="FootnoteText"/>
      </w:pPr>
      <w:r>
        <w:rPr>
          <w:rStyle w:val="FootnoteReference"/>
        </w:rPr>
        <w:footnoteRef/>
      </w:r>
      <w:r>
        <w:rPr>
          <w:i/>
          <w:iCs/>
        </w:rPr>
        <w:t xml:space="preserve">6.16r</w:t>
      </w:r>
      <w:r>
        <w:t xml:space="preserve">.</w:t>
      </w:r>
    </w:p>
  </w:footnote>
  <w:footnote w:id="1329">
    <w:p>
      <w:pPr>
        <w:pStyle w:val="FootnoteText"/>
      </w:pPr>
      <w:r>
        <w:rPr>
          <w:rStyle w:val="FootnoteReference"/>
        </w:rPr>
        <w:footnoteRef/>
      </w:r>
      <w:r>
        <w:t xml:space="preserve">JE's text reads "two," but he develops three points, and the text has been changed accordingly.</w:t>
      </w:r>
    </w:p>
  </w:footnote>
  <w:footnote w:id="1330">
    <w:p>
      <w:pPr>
        <w:pStyle w:val="FootnoteText"/>
      </w:pPr>
      <w:r>
        <w:rPr>
          <w:rStyle w:val="FootnoteReference"/>
        </w:rPr>
        <w:footnoteRef/>
      </w:r>
      <w:r>
        <w:rPr>
          <w:i/>
          <w:iCs/>
        </w:rPr>
        <w:t xml:space="preserve">I</w:t>
      </w:r>
      <w:r>
        <w:t xml:space="preserve">.</w:t>
      </w:r>
    </w:p>
  </w:footnote>
  <w:footnote w:id="1331">
    <w:p>
      <w:pPr>
        <w:pStyle w:val="FootnoteText"/>
      </w:pPr>
      <w:r>
        <w:rPr>
          <w:rStyle w:val="FootnoteReference"/>
        </w:rPr>
        <w:footnoteRef/>
      </w:r>
      <w:r>
        <w:t xml:space="preserve">JE revised this long and complex sentence extensively. The final phrase originally read, "in this world." He deleted the "in," but failed to change "world" to "work," which is required by the sentence and the context.</w:t>
      </w:r>
    </w:p>
  </w:footnote>
  <w:footnote w:id="1332">
    <w:p>
      <w:pPr>
        <w:pStyle w:val="FootnoteText"/>
      </w:pPr>
      <w:r>
        <w:rPr>
          <w:rStyle w:val="FootnoteReference"/>
        </w:rPr>
        <w:footnoteRef/>
      </w:r>
      <w:r>
        <w:rPr>
          <w:i/>
          <w:iCs/>
        </w:rPr>
        <w:t xml:space="preserve">6.16v</w:t>
      </w:r>
      <w:r>
        <w:t xml:space="preserve">.</w:t>
      </w:r>
    </w:p>
  </w:footnote>
  <w:footnote w:id="1333">
    <w:p>
      <w:pPr>
        <w:pStyle w:val="FootnoteText"/>
      </w:pPr>
      <w:r>
        <w:rPr>
          <w:rStyle w:val="FootnoteReference"/>
        </w:rPr>
        <w:footnoteRef/>
      </w:r>
      <w:r>
        <w:t xml:space="preserve">These phrases recall the sacrifice of Christ on the cross by using images from the redemptive acts in Egypt (Exodus 7:20; Exodus 14:10–14), and in Daniel's time (Daniel 3:23–27).</w:t>
      </w:r>
    </w:p>
  </w:footnote>
  <w:footnote w:id="1334">
    <w:p>
      <w:pPr>
        <w:pStyle w:val="FootnoteText"/>
      </w:pPr>
      <w:r>
        <w:rPr>
          <w:rStyle w:val="FootnoteReference"/>
        </w:rPr>
        <w:footnoteRef/>
      </w:r>
      <w:r>
        <w:t xml:space="preserve">Probable reading of "Rig."</w:t>
      </w:r>
    </w:p>
  </w:footnote>
  <w:footnote w:id="1335">
    <w:p>
      <w:pPr>
        <w:pStyle w:val="FootnoteText"/>
      </w:pPr>
      <w:r>
        <w:rPr>
          <w:rStyle w:val="FootnoteReference"/>
        </w:rPr>
        <w:footnoteRef/>
      </w:r>
      <w:r>
        <w:rPr>
          <w:i/>
          <w:iCs/>
        </w:rPr>
        <w:t xml:space="preserve">2</w:t>
      </w:r>
      <w:r>
        <w:t xml:space="preserve">.</w:t>
      </w:r>
    </w:p>
  </w:footnote>
  <w:footnote w:id="1336">
    <w:p>
      <w:pPr>
        <w:pStyle w:val="FootnoteText"/>
      </w:pPr>
      <w:r>
        <w:rPr>
          <w:rStyle w:val="FootnoteReference"/>
        </w:rPr>
        <w:footnoteRef/>
      </w:r>
      <w:r>
        <w:rPr>
          <w:i/>
          <w:iCs/>
        </w:rPr>
        <w:t xml:space="preserve">6.17r</w:t>
      </w:r>
      <w:r>
        <w:t xml:space="preserve">.</w:t>
      </w:r>
    </w:p>
  </w:footnote>
  <w:footnote w:id="1337">
    <w:p>
      <w:pPr>
        <w:pStyle w:val="FootnoteText"/>
      </w:pPr>
      <w:r>
        <w:rPr>
          <w:rStyle w:val="FootnoteReference"/>
        </w:rPr>
        <w:footnoteRef/>
      </w:r>
      <w:r>
        <w:rPr>
          <w:i/>
          <w:iCs/>
        </w:rPr>
        <w:t xml:space="preserve">6.17v</w:t>
      </w:r>
      <w:r>
        <w:t xml:space="preserve">.</w:t>
      </w:r>
    </w:p>
  </w:footnote>
  <w:footnote w:id="1338">
    <w:p>
      <w:pPr>
        <w:pStyle w:val="FootnoteText"/>
      </w:pPr>
      <w:r>
        <w:rPr>
          <w:rStyle w:val="FootnoteReference"/>
        </w:rPr>
        <w:footnoteRef/>
      </w:r>
      <w:r>
        <w:rPr>
          <w:i/>
          <w:iCs/>
        </w:rPr>
        <w:t xml:space="preserve">3</w:t>
      </w:r>
      <w:r>
        <w:t xml:space="preserve">.</w:t>
      </w:r>
    </w:p>
  </w:footnote>
  <w:footnote w:id="1339">
    <w:p>
      <w:pPr>
        <w:pStyle w:val="FootnoteText"/>
      </w:pPr>
      <w:r>
        <w:rPr>
          <w:rStyle w:val="FootnoteReference"/>
        </w:rPr>
        <w:footnoteRef/>
      </w:r>
      <w:r>
        <w:rPr>
          <w:i/>
          <w:iCs/>
        </w:rPr>
        <w:t xml:space="preserve">6.18r</w:t>
      </w:r>
      <w:r>
        <w:t xml:space="preserve">. Leaf breaks at "accom."</w:t>
      </w:r>
    </w:p>
  </w:footnote>
  <w:footnote w:id="1340">
    <w:p>
      <w:pPr>
        <w:pStyle w:val="FootnoteText"/>
      </w:pPr>
      <w:r>
        <w:rPr>
          <w:rStyle w:val="FootnoteReference"/>
        </w:rPr>
        <w:footnoteRef/>
      </w:r>
      <w:r>
        <w:t xml:space="preserve">In revising his text JE failed to complete this sentence. He deleted with two large X's the following: "And the very greatest part of this Work of Redemption is making the purchase of redemption. This is a far greater part than———."</w:t>
      </w:r>
    </w:p>
  </w:footnote>
  <w:footnote w:id="1341">
    <w:p>
      <w:pPr>
        <w:pStyle w:val="FootnoteText"/>
      </w:pPr>
      <w:r>
        <w:rPr>
          <w:rStyle w:val="FootnoteReference"/>
        </w:rPr>
        <w:footnoteRef/>
      </w:r>
      <w:r>
        <w:rPr>
          <w:i/>
          <w:iCs/>
        </w:rPr>
        <w:t xml:space="preserve">6.18v</w:t>
      </w:r>
      <w:r>
        <w:t xml:space="preserve">.</w:t>
      </w:r>
    </w:p>
  </w:footnote>
  <w:footnote w:id="1342">
    <w:p>
      <w:pPr>
        <w:pStyle w:val="FootnoteText"/>
      </w:pPr>
      <w:r>
        <w:rPr>
          <w:rStyle w:val="FootnoteReference"/>
        </w:rPr>
        <w:footnoteRef/>
      </w:r>
      <w:r>
        <w:t xml:space="preserve">Genesis 1:3, Genesis 1:6, 9.</w:t>
      </w:r>
    </w:p>
  </w:footnote>
  <w:footnote w:id="1343">
    <w:p>
      <w:pPr>
        <w:pStyle w:val="FootnoteText"/>
      </w:pPr>
      <w:r>
        <w:rPr>
          <w:rStyle w:val="FootnoteReference"/>
        </w:rPr>
        <w:footnoteRef/>
      </w:r>
      <w:r>
        <w:rPr>
          <w:i/>
          <w:iCs/>
        </w:rPr>
        <w:t xml:space="preserve">6.19r</w:t>
      </w:r>
      <w:r>
        <w:t xml:space="preserve">.</w:t>
      </w:r>
    </w:p>
  </w:footnote>
  <w:footnote w:id="1344">
    <w:p>
      <w:pPr>
        <w:pStyle w:val="FootnoteText"/>
      </w:pPr>
      <w:r>
        <w:rPr>
          <w:rStyle w:val="FootnoteReference"/>
        </w:rPr>
        <w:footnoteRef/>
      </w:r>
      <w:r>
        <w:rPr>
          <w:i/>
          <w:iCs/>
        </w:rPr>
        <w:t xml:space="preserve">6.19v</w:t>
      </w:r>
      <w:r>
        <w:t xml:space="preserve">.</w:t>
      </w:r>
    </w:p>
  </w:footnote>
  <w:footnote w:id="1345">
    <w:p>
      <w:pPr>
        <w:pStyle w:val="FootnoteText"/>
      </w:pPr>
      <w:r>
        <w:rPr>
          <w:rStyle w:val="FootnoteReference"/>
        </w:rPr>
        <w:footnoteRef/>
      </w:r>
      <w:r>
        <w:rPr>
          <w:i/>
          <w:iCs/>
        </w:rPr>
        <w:t xml:space="preserve">6.20r</w:t>
      </w:r>
      <w:r>
        <w:t xml:space="preserve">.</w:t>
      </w:r>
    </w:p>
  </w:footnote>
  <w:footnote w:id="1346">
    <w:p>
      <w:pPr>
        <w:pStyle w:val="FootnoteText"/>
      </w:pPr>
      <w:r>
        <w:rPr>
          <w:rStyle w:val="FootnoteReference"/>
        </w:rPr>
        <w:footnoteRef/>
      </w:r>
      <w:r>
        <w:rPr>
          <w:i/>
          <w:iCs/>
        </w:rPr>
        <w:t xml:space="preserve">Third</w:t>
      </w:r>
      <w:r>
        <w:t xml:space="preserve">. In drafting this section, JE failed to delete a repetition of "salvation."</w:t>
      </w:r>
    </w:p>
  </w:footnote>
  <w:footnote w:id="1347">
    <w:p>
      <w:pPr>
        <w:pStyle w:val="FootnoteText"/>
      </w:pPr>
      <w:r>
        <w:rPr>
          <w:rStyle w:val="FootnoteReference"/>
        </w:rPr>
        <w:footnoteRef/>
      </w:r>
      <w:r>
        <w:rPr>
          <w:i/>
          <w:iCs/>
        </w:rPr>
        <w:t xml:space="preserve">6.20v</w:t>
      </w:r>
      <w:r>
        <w:t xml:space="preserve">.</w:t>
      </w:r>
    </w:p>
  </w:footnote>
  <w:footnote w:id="1348">
    <w:p>
      <w:pPr>
        <w:pStyle w:val="FootnoteText"/>
      </w:pPr>
      <w:r>
        <w:rPr>
          <w:rStyle w:val="FootnoteReference"/>
        </w:rPr>
        <w:footnoteRef/>
      </w:r>
      <w:r>
        <w:rPr>
          <w:i/>
          <w:iCs/>
        </w:rPr>
        <w:t xml:space="preserve">I</w:t>
      </w:r>
      <w:r>
        <w:t xml:space="preserve">.</w:t>
      </w:r>
    </w:p>
  </w:footnote>
  <w:footnote w:id="1349">
    <w:p>
      <w:pPr>
        <w:pStyle w:val="FootnoteText"/>
      </w:pPr>
      <w:r>
        <w:rPr>
          <w:rStyle w:val="FootnoteReference"/>
        </w:rPr>
        <w:footnoteRef/>
      </w:r>
      <w:r>
        <w:rPr>
          <w:i/>
          <w:iCs/>
        </w:rPr>
        <w:t xml:space="preserve">6.21r</w:t>
      </w:r>
      <w:r>
        <w:t xml:space="preserve">.</w:t>
      </w:r>
    </w:p>
  </w:footnote>
  <w:footnote w:id="1350">
    <w:p>
      <w:pPr>
        <w:pStyle w:val="FootnoteText"/>
      </w:pPr>
      <w:r>
        <w:rPr>
          <w:rStyle w:val="FootnoteReference"/>
        </w:rPr>
        <w:footnoteRef/>
      </w:r>
      <w:r>
        <w:t xml:space="preserve">This verse tells of David's rejoicing in the covenant with God, although David's temple was as yet unfinished.</w:t>
      </w:r>
    </w:p>
  </w:footnote>
  <w:footnote w:id="1351">
    <w:p>
      <w:pPr>
        <w:pStyle w:val="FootnoteText"/>
      </w:pPr>
      <w:r>
        <w:rPr>
          <w:rStyle w:val="FootnoteReference"/>
        </w:rPr>
        <w:footnoteRef/>
      </w:r>
      <w:r>
        <w:t xml:space="preserve">JE's text incomplete; no editorial insertion offered.</w:t>
      </w:r>
    </w:p>
  </w:footnote>
  <w:footnote w:id="1352">
    <w:p>
      <w:pPr>
        <w:pStyle w:val="FootnoteText"/>
      </w:pPr>
      <w:r>
        <w:rPr>
          <w:rStyle w:val="FootnoteReference"/>
        </w:rPr>
        <w:footnoteRef/>
      </w:r>
      <w:r>
        <w:rPr>
          <w:i/>
          <w:iCs/>
        </w:rPr>
        <w:t xml:space="preserve">6.21v</w:t>
      </w:r>
      <w:r>
        <w:t xml:space="preserve">.</w:t>
      </w:r>
    </w:p>
  </w:footnote>
  <w:footnote w:id="1353">
    <w:p>
      <w:pPr>
        <w:pStyle w:val="FootnoteText"/>
      </w:pPr>
      <w:r>
        <w:rPr>
          <w:rStyle w:val="FootnoteReference"/>
        </w:rPr>
        <w:footnoteRef/>
      </w:r>
      <w:r>
        <w:t xml:space="preserve">The verse continues, as JE expected his hearers to know, "and righteous men have desired to see those things which ye see.…"</w:t>
      </w:r>
    </w:p>
  </w:footnote>
  <w:footnote w:id="1354">
    <w:p>
      <w:pPr>
        <w:pStyle w:val="FootnoteText"/>
      </w:pPr>
      <w:r>
        <w:rPr>
          <w:rStyle w:val="FootnoteReference"/>
        </w:rPr>
        <w:footnoteRef/>
      </w:r>
      <w:r>
        <w:t xml:space="preserve">JE probably intended to conclude this section with some such formulation as "and yet you neglect.…"</w:t>
      </w:r>
    </w:p>
  </w:footnote>
  <w:footnote w:id="1355">
    <w:p>
      <w:pPr>
        <w:pStyle w:val="FootnoteText"/>
      </w:pPr>
      <w:r>
        <w:rPr>
          <w:rStyle w:val="FootnoteReference"/>
        </w:rPr>
        <w:footnoteRef/>
      </w:r>
      <w:r>
        <w:rPr>
          <w:i/>
          <w:iCs/>
        </w:rPr>
        <w:t xml:space="preserve">2</w:t>
      </w:r>
      <w:r>
        <w:t xml:space="preserve">.</w:t>
      </w:r>
    </w:p>
  </w:footnote>
  <w:footnote w:id="1356">
    <w:p>
      <w:pPr>
        <w:pStyle w:val="FootnoteText"/>
      </w:pPr>
      <w:r>
        <w:rPr>
          <w:rStyle w:val="FootnoteReference"/>
        </w:rPr>
        <w:footnoteRef/>
      </w:r>
      <w:r>
        <w:rPr>
          <w:i/>
          <w:iCs/>
        </w:rPr>
        <w:t xml:space="preserve">6.22r</w:t>
      </w:r>
      <w:r>
        <w:t xml:space="preserve">.</w:t>
      </w:r>
    </w:p>
  </w:footnote>
  <w:footnote w:id="1357">
    <w:p>
      <w:pPr>
        <w:pStyle w:val="FootnoteText"/>
      </w:pPr>
      <w:r>
        <w:rPr>
          <w:rStyle w:val="FootnoteReference"/>
        </w:rPr>
        <w:footnoteRef/>
      </w:r>
      <w:r>
        <w:t xml:space="preserve">JE may have intended to amplify these references to the birth narratives.</w:t>
      </w:r>
    </w:p>
  </w:footnote>
  <w:footnote w:id="1358">
    <w:p>
      <w:pPr>
        <w:pStyle w:val="FootnoteText"/>
      </w:pPr>
      <w:r>
        <w:rPr>
          <w:rStyle w:val="FootnoteReference"/>
        </w:rPr>
        <w:footnoteRef/>
      </w:r>
      <w:r>
        <w:rPr>
          <w:i/>
          <w:iCs/>
        </w:rPr>
        <w:t xml:space="preserve">6.22v</w:t>
      </w:r>
      <w:r>
        <w:t xml:space="preserve">.</w:t>
      </w:r>
    </w:p>
  </w:footnote>
  <w:footnote w:id="1359">
    <w:p>
      <w:pPr>
        <w:pStyle w:val="FootnoteText"/>
      </w:pPr>
      <w:r>
        <w:rPr>
          <w:rStyle w:val="FootnoteReference"/>
        </w:rPr>
        <w:footnoteRef/>
      </w:r>
      <w:r>
        <w:t xml:space="preserve">E.g. Revelation 5:11–14.</w:t>
      </w:r>
    </w:p>
  </w:footnote>
  <w:footnote w:id="1360">
    <w:p>
      <w:pPr>
        <w:pStyle w:val="FootnoteText"/>
      </w:pPr>
      <w:r>
        <w:rPr>
          <w:rStyle w:val="FootnoteReference"/>
        </w:rPr>
        <w:footnoteRef/>
      </w:r>
      <w:r>
        <w:rPr>
          <w:i/>
          <w:iCs/>
        </w:rPr>
        <w:t xml:space="preserve">3</w:t>
      </w:r>
      <w:r>
        <w:t xml:space="preserve">.</w:t>
      </w:r>
    </w:p>
  </w:footnote>
  <w:footnote w:id="1361">
    <w:p>
      <w:pPr>
        <w:pStyle w:val="FootnoteText"/>
      </w:pPr>
      <w:r>
        <w:rPr>
          <w:rStyle w:val="FootnoteReference"/>
        </w:rPr>
        <w:footnoteRef/>
      </w:r>
      <w:r>
        <w:rPr>
          <w:i/>
          <w:iCs/>
        </w:rPr>
        <w:t xml:space="preserve">6.23r</w:t>
      </w:r>
      <w:r>
        <w:t xml:space="preserve">.</w:t>
      </w:r>
    </w:p>
  </w:footnote>
  <w:footnote w:id="1362">
    <w:p>
      <w:pPr>
        <w:pStyle w:val="FootnoteText"/>
      </w:pPr>
      <w:r>
        <w:rPr>
          <w:rStyle w:val="FootnoteReference"/>
        </w:rPr>
        <w:footnoteRef/>
      </w:r>
      <w:r>
        <w:rPr>
          <w:i/>
          <w:iCs/>
        </w:rPr>
        <w:t xml:space="preserve">4</w:t>
      </w:r>
      <w:r>
        <w:t xml:space="preserve">.</w:t>
      </w:r>
    </w:p>
  </w:footnote>
  <w:footnote w:id="1363">
    <w:p>
      <w:pPr>
        <w:pStyle w:val="FootnoteText"/>
      </w:pPr>
      <w:r>
        <w:rPr>
          <w:rStyle w:val="FootnoteReference"/>
        </w:rPr>
        <w:footnoteRef/>
      </w:r>
      <w:r>
        <w:rPr>
          <w:i/>
          <w:iCs/>
        </w:rPr>
        <w:t xml:space="preserve">6.23v</w:t>
      </w:r>
      <w:r>
        <w:t xml:space="preserve">.</w:t>
      </w:r>
    </w:p>
  </w:footnote>
  <w:footnote w:id="1364">
    <w:p>
      <w:pPr>
        <w:pStyle w:val="FootnoteText"/>
      </w:pPr>
      <w:r>
        <w:rPr>
          <w:rStyle w:val="FootnoteReference"/>
        </w:rPr>
        <w:footnoteRef/>
      </w:r>
      <w:r>
        <w:t xml:space="preserve">Probable reading; the language of this passage reflects Jonah 2:3, 5.</w:t>
      </w:r>
    </w:p>
  </w:footnote>
  <w:footnote w:id="1365">
    <w:p>
      <w:pPr>
        <w:pStyle w:val="FootnoteText"/>
      </w:pPr>
      <w:r>
        <w:rPr>
          <w:rStyle w:val="FootnoteReference"/>
        </w:rPr>
        <w:footnoteRef/>
      </w:r>
      <w:r>
        <w:rPr>
          <w:i/>
          <w:iCs/>
        </w:rPr>
        <w:t xml:space="preserve">6.24r</w:t>
      </w:r>
      <w:r>
        <w:t xml:space="preserve">.</w:t>
      </w:r>
    </w:p>
  </w:footnote>
  <w:footnote w:id="1366">
    <w:p>
      <w:pPr>
        <w:pStyle w:val="FootnoteText"/>
      </w:pPr>
      <w:r>
        <w:rPr>
          <w:rStyle w:val="FootnoteReference"/>
        </w:rPr>
        <w:footnoteRef/>
      </w:r>
      <w:r>
        <w:t xml:space="preserve">Jeremiah 19:11; Isaiah 10:6.</w:t>
      </w:r>
    </w:p>
  </w:footnote>
  <w:footnote w:id="1367">
    <w:p>
      <w:pPr>
        <w:pStyle w:val="FootnoteText"/>
      </w:pPr>
      <w:r>
        <w:rPr>
          <w:rStyle w:val="FootnoteReference"/>
        </w:rPr>
        <w:footnoteRef/>
      </w:r>
      <w:r>
        <w:rPr>
          <w:i/>
          <w:iCs/>
        </w:rPr>
        <w:t xml:space="preserve">II</w:t>
      </w:r>
      <w:r>
        <w:t xml:space="preserve">.</w:t>
      </w:r>
    </w:p>
  </w:footnote>
  <w:footnote w:id="1368">
    <w:p>
      <w:pPr>
        <w:pStyle w:val="FootnoteText"/>
      </w:pPr>
      <w:r>
        <w:rPr>
          <w:rStyle w:val="FootnoteReference"/>
        </w:rPr>
        <w:footnoteRef/>
      </w:r>
      <w:r>
        <w:rPr>
          <w:i/>
          <w:iCs/>
        </w:rPr>
        <w:t xml:space="preserve">6.24v</w:t>
      </w:r>
      <w:r>
        <w:t xml:space="preserve">.</w:t>
      </w:r>
    </w:p>
  </w:footnote>
  <w:footnote w:id="1369">
    <w:p>
      <w:pPr>
        <w:pStyle w:val="FootnoteText"/>
      </w:pPr>
      <w:r>
        <w:rPr>
          <w:rStyle w:val="FootnoteReference"/>
        </w:rPr>
        <w:footnoteRef/>
      </w:r>
      <w:r>
        <w:rPr>
          <w:i/>
          <w:iCs/>
        </w:rPr>
        <w:t xml:space="preserve">First</w:t>
      </w:r>
      <w:r>
        <w:t xml:space="preserve">.</w:t>
      </w:r>
    </w:p>
  </w:footnote>
  <w:footnote w:id="1370">
    <w:p>
      <w:pPr>
        <w:pStyle w:val="FootnoteText"/>
      </w:pPr>
      <w:r>
        <w:rPr>
          <w:rStyle w:val="FootnoteReference"/>
        </w:rPr>
        <w:footnoteRef/>
      </w:r>
      <w:r>
        <w:t xml:space="preserve">JE leaves space for several lines at this point; his sentence requires completion.</w:t>
      </w:r>
    </w:p>
  </w:footnote>
  <w:footnote w:id="1371">
    <w:p>
      <w:pPr>
        <w:pStyle w:val="FootnoteText"/>
      </w:pPr>
      <w:r>
        <w:rPr>
          <w:rStyle w:val="FootnoteReference"/>
        </w:rPr>
        <w:footnoteRef/>
      </w:r>
      <w:r>
        <w:rPr>
          <w:i/>
          <w:iCs/>
        </w:rPr>
        <w:t xml:space="preserve">6.25r</w:t>
      </w:r>
      <w:r>
        <w:t xml:space="preserve">.</w:t>
      </w:r>
    </w:p>
  </w:footnote>
  <w:footnote w:id="1372">
    <w:p>
      <w:pPr>
        <w:pStyle w:val="FootnoteText"/>
      </w:pPr>
      <w:r>
        <w:rPr>
          <w:rStyle w:val="FootnoteReference"/>
        </w:rPr>
        <w:footnoteRef/>
      </w:r>
      <w:r>
        <w:rPr>
          <w:i/>
          <w:iCs/>
        </w:rPr>
        <w:t xml:space="preserve">Second</w:t>
      </w:r>
      <w:r>
        <w:t xml:space="preserve">.</w:t>
      </w:r>
    </w:p>
  </w:footnote>
  <w:footnote w:id="1373">
    <w:p>
      <w:pPr>
        <w:pStyle w:val="FootnoteText"/>
      </w:pPr>
      <w:r>
        <w:rPr>
          <w:rStyle w:val="FootnoteReference"/>
        </w:rPr>
        <w:footnoteRef/>
      </w:r>
      <w:r>
        <w:rPr>
          <w:i/>
          <w:iCs/>
        </w:rPr>
        <w:t xml:space="preserve">6.25v</w:t>
      </w:r>
      <w:r>
        <w:t xml:space="preserve">.</w:t>
      </w:r>
    </w:p>
  </w:footnote>
  <w:footnote w:id="1374">
    <w:p>
      <w:pPr>
        <w:pStyle w:val="FootnoteText"/>
      </w:pPr>
      <w:r>
        <w:rPr>
          <w:rStyle w:val="FootnoteReference"/>
        </w:rPr>
        <w:footnoteRef/>
      </w:r>
      <w:r>
        <w:t xml:space="preserve">JE leaves both sides of a leaf blank at the end of this booklet.</w:t>
      </w:r>
    </w:p>
  </w:footnote>
  <w:footnote w:id="1375">
    <w:p>
      <w:pPr>
        <w:pStyle w:val="FootnoteText"/>
      </w:pPr>
      <w:r>
        <w:rPr>
          <w:rStyle w:val="FootnoteReference"/>
        </w:rPr>
        <w:footnoteRef/>
      </w:r>
      <w:r>
        <w:rPr>
          <w:i/>
          <w:iCs/>
        </w:rPr>
        <w:t xml:space="preserve">7.1r</w:t>
      </w:r>
      <w:r>
        <w:t xml:space="preserve">.</w:t>
      </w:r>
    </w:p>
  </w:footnote>
  <w:footnote w:id="1376">
    <w:p>
      <w:pPr>
        <w:pStyle w:val="FootnoteText"/>
      </w:pPr>
      <w:r>
        <w:rPr>
          <w:rStyle w:val="FootnoteReference"/>
        </w:rPr>
        <w:footnoteRef/>
      </w:r>
      <w:r>
        <w:t xml:space="preserve">References at the outset of Sermon 19 indicate that Sermon 18 was to be delivers in the forenoon of the day on which Sermon 19 would be given in the afternoon. This is a clear instance of a linked pair of sermons.</w:t>
      </w:r>
    </w:p>
  </w:footnote>
  <w:footnote w:id="1377">
    <w:p>
      <w:pPr>
        <w:pStyle w:val="FootnoteText"/>
      </w:pPr>
      <w:r>
        <w:rPr>
          <w:rStyle w:val="FootnoteReference"/>
        </w:rPr>
        <w:footnoteRef/>
      </w:r>
      <w:r>
        <w:rPr>
          <w:i/>
          <w:iCs/>
        </w:rPr>
        <w:t xml:space="preserve">Third</w:t>
      </w:r>
      <w:r>
        <w:t xml:space="preserve">.</w:t>
      </w:r>
    </w:p>
  </w:footnote>
  <w:footnote w:id="1378">
    <w:p>
      <w:pPr>
        <w:pStyle w:val="FootnoteText"/>
      </w:pPr>
      <w:r>
        <w:rPr>
          <w:rStyle w:val="FootnoteReference"/>
        </w:rPr>
        <w:footnoteRef/>
      </w:r>
      <w:r>
        <w:rPr>
          <w:i/>
          <w:iCs/>
        </w:rPr>
        <w:t xml:space="preserve">7.1v</w:t>
      </w:r>
      <w:r>
        <w:t xml:space="preserve">.</w:t>
      </w:r>
    </w:p>
  </w:footnote>
  <w:footnote w:id="1379">
    <w:p>
      <w:pPr>
        <w:pStyle w:val="FootnoteText"/>
      </w:pPr>
      <w:r>
        <w:rPr>
          <w:rStyle w:val="FootnoteReference"/>
        </w:rPr>
        <w:footnoteRef/>
      </w:r>
      <w:r>
        <w:t xml:space="preserve">An elaboration of this image has been removed by a vertical line, characteristic of JE's editing. It reads. "All the success that was before Christ came was as nothing in comparison of that which is after, as the reflected light of the sun before the day is nothing in comparison of what it is afterward."</w:t>
      </w:r>
    </w:p>
  </w:footnote>
  <w:footnote w:id="1380">
    <w:p>
      <w:pPr>
        <w:pStyle w:val="FootnoteText"/>
      </w:pPr>
      <w:r>
        <w:rPr>
          <w:rStyle w:val="FootnoteReference"/>
        </w:rPr>
        <w:footnoteRef/>
      </w:r>
      <w:r>
        <w:rPr>
          <w:i/>
          <w:iCs/>
        </w:rPr>
        <w:t xml:space="preserve">7.2r</w:t>
      </w:r>
      <w:r>
        <w:t xml:space="preserve">.</w:t>
      </w:r>
    </w:p>
  </w:footnote>
  <w:footnote w:id="1381">
    <w:p>
      <w:pPr>
        <w:pStyle w:val="FootnoteText"/>
      </w:pPr>
      <w:r>
        <w:rPr>
          <w:rStyle w:val="FootnoteReference"/>
        </w:rPr>
        <w:footnoteRef/>
      </w:r>
      <w:r>
        <w:t xml:space="preserve">A reference to Hebrews 12:2.</w:t>
      </w:r>
    </w:p>
  </w:footnote>
  <w:footnote w:id="1382">
    <w:p>
      <w:pPr>
        <w:pStyle w:val="FootnoteText"/>
      </w:pPr>
      <w:r>
        <w:rPr>
          <w:rStyle w:val="FootnoteReference"/>
        </w:rPr>
        <w:footnoteRef/>
      </w:r>
      <w:r>
        <w:t xml:space="preserve">A reference to Isaiah 53:10, Isaiah 53:12.</w:t>
      </w:r>
    </w:p>
  </w:footnote>
  <w:footnote w:id="1383">
    <w:p>
      <w:pPr>
        <w:pStyle w:val="FootnoteText"/>
      </w:pPr>
      <w:r>
        <w:rPr>
          <w:rStyle w:val="FootnoteReference"/>
        </w:rPr>
        <w:footnoteRef/>
      </w:r>
      <w:r>
        <w:t xml:space="preserve">This quotation is slightly paraphrased.</w:t>
      </w:r>
    </w:p>
  </w:footnote>
  <w:footnote w:id="1384">
    <w:p>
      <w:pPr>
        <w:pStyle w:val="FootnoteText"/>
      </w:pPr>
      <w:r>
        <w:rPr>
          <w:rStyle w:val="FootnoteReference"/>
        </w:rPr>
        <w:footnoteRef/>
      </w:r>
      <w:r>
        <w:rPr>
          <w:i/>
          <w:iCs/>
        </w:rPr>
        <w:t xml:space="preserve">7.2v</w:t>
      </w:r>
      <w:r>
        <w:t xml:space="preserve">.</w:t>
      </w:r>
    </w:p>
  </w:footnote>
  <w:footnote w:id="1385">
    <w:p>
      <w:pPr>
        <w:pStyle w:val="FootnoteText"/>
      </w:pPr>
      <w:r>
        <w:rPr>
          <w:rStyle w:val="FootnoteReference"/>
        </w:rPr>
        <w:footnoteRef/>
      </w:r>
      <w:r>
        <w:t xml:space="preserve">The rhetorical structure of the paragraph needs this clause and the biblical reference. JE appears to have considered reversing the position of this and the preceding allusion, but he left them in the order given here.</w:t>
      </w:r>
    </w:p>
  </w:footnote>
  <w:footnote w:id="1386">
    <w:p>
      <w:pPr>
        <w:pStyle w:val="FootnoteText"/>
      </w:pPr>
      <w:r>
        <w:rPr>
          <w:rStyle w:val="FootnoteReference"/>
        </w:rPr>
        <w:footnoteRef/>
      </w:r>
      <w:r>
        <w:t xml:space="preserve">Reference to Hebrews 12:2.</w:t>
      </w:r>
    </w:p>
  </w:footnote>
  <w:footnote w:id="1387">
    <w:p>
      <w:pPr>
        <w:pStyle w:val="FootnoteText"/>
      </w:pPr>
      <w:r>
        <w:rPr>
          <w:rStyle w:val="FootnoteReference"/>
        </w:rPr>
        <w:footnoteRef/>
      </w:r>
      <w:r>
        <w:rPr>
          <w:i/>
          <w:iCs/>
        </w:rPr>
        <w:t xml:space="preserve">1</w:t>
      </w:r>
      <w:r>
        <w:t xml:space="preserve">.</w:t>
      </w:r>
    </w:p>
  </w:footnote>
  <w:footnote w:id="1388">
    <w:p>
      <w:pPr>
        <w:pStyle w:val="FootnoteText"/>
      </w:pPr>
      <w:r>
        <w:rPr>
          <w:rStyle w:val="FootnoteReference"/>
        </w:rPr>
        <w:footnoteRef/>
      </w:r>
      <w:r>
        <w:rPr>
          <w:i/>
          <w:iCs/>
        </w:rPr>
        <w:t xml:space="preserve">a</w:t>
      </w:r>
      <w:r>
        <w:t xml:space="preserve">.</w:t>
      </w:r>
    </w:p>
  </w:footnote>
  <w:footnote w:id="1389">
    <w:p>
      <w:pPr>
        <w:pStyle w:val="FootnoteText"/>
      </w:pPr>
      <w:r>
        <w:rPr>
          <w:rStyle w:val="FootnoteReference"/>
        </w:rPr>
        <w:footnoteRef/>
      </w:r>
      <w:r>
        <w:rPr>
          <w:i/>
          <w:iCs/>
        </w:rPr>
        <w:t xml:space="preserve">7.3r</w:t>
      </w:r>
      <w:r>
        <w:t xml:space="preserve">.</w:t>
      </w:r>
    </w:p>
  </w:footnote>
  <w:footnote w:id="1390">
    <w:p>
      <w:pPr>
        <w:pStyle w:val="FootnoteText"/>
      </w:pPr>
      <w:r>
        <w:rPr>
          <w:rStyle w:val="FootnoteReference"/>
        </w:rPr>
        <w:footnoteRef/>
      </w:r>
      <w:r>
        <w:t xml:space="preserve">See e.g. Isaiah 2:2; Jeremiah 30:24; Hosea 3:5.</w:t>
      </w:r>
    </w:p>
  </w:footnote>
  <w:footnote w:id="1391">
    <w:p>
      <w:pPr>
        <w:pStyle w:val="FootnoteText"/>
      </w:pPr>
      <w:r>
        <w:rPr>
          <w:rStyle w:val="FootnoteReference"/>
        </w:rPr>
        <w:footnoteRef/>
      </w:r>
      <w:r>
        <w:t xml:space="preserve">See e.g. Acts 2:16–17.</w:t>
      </w:r>
    </w:p>
  </w:footnote>
  <w:footnote w:id="1392">
    <w:p>
      <w:pPr>
        <w:pStyle w:val="FootnoteText"/>
      </w:pPr>
      <w:r>
        <w:rPr>
          <w:rStyle w:val="FootnoteReference"/>
        </w:rPr>
        <w:footnoteRef/>
      </w:r>
      <w:r>
        <w:rPr>
          <w:i/>
          <w:iCs/>
        </w:rPr>
        <w:t xml:space="preserve">b</w:t>
      </w:r>
      <w:r>
        <w:t xml:space="preserve">.</w:t>
      </w:r>
    </w:p>
  </w:footnote>
  <w:footnote w:id="1393">
    <w:p>
      <w:pPr>
        <w:pStyle w:val="FootnoteText"/>
      </w:pPr>
      <w:r>
        <w:rPr>
          <w:rStyle w:val="FootnoteReference"/>
        </w:rPr>
        <w:footnoteRef/>
      </w:r>
      <w:r>
        <w:rPr>
          <w:i/>
          <w:iCs/>
        </w:rPr>
        <w:t xml:space="preserve">7.3v</w:t>
      </w:r>
      <w:r>
        <w:t xml:space="preserve">.</w:t>
      </w:r>
    </w:p>
  </w:footnote>
  <w:footnote w:id="1394">
    <w:p>
      <w:pPr>
        <w:pStyle w:val="FootnoteText"/>
      </w:pPr>
      <w:r>
        <w:rPr>
          <w:rStyle w:val="FootnoteReference"/>
        </w:rPr>
        <w:footnoteRef/>
      </w:r>
      <w:r>
        <w:rPr>
          <w:i/>
          <w:iCs/>
        </w:rPr>
        <w:t xml:space="preserve">7.4r</w:t>
      </w:r>
      <w:r>
        <w:t xml:space="preserve">.</w:t>
      </w:r>
    </w:p>
  </w:footnote>
  <w:footnote w:id="1395">
    <w:p>
      <w:pPr>
        <w:pStyle w:val="FootnoteText"/>
      </w:pPr>
      <w:r>
        <w:rPr>
          <w:rStyle w:val="FootnoteReference"/>
        </w:rPr>
        <w:footnoteRef/>
      </w:r>
      <w:r>
        <w:t xml:space="preserve">See Haggai 2:5–7.</w:t>
      </w:r>
    </w:p>
  </w:footnote>
  <w:footnote w:id="1396">
    <w:p>
      <w:pPr>
        <w:pStyle w:val="FootnoteText"/>
      </w:pPr>
      <w:r>
        <w:rPr>
          <w:rStyle w:val="FootnoteReference"/>
        </w:rPr>
        <w:footnoteRef/>
      </w:r>
      <w:r>
        <w:rPr>
          <w:i/>
          <w:iCs/>
        </w:rPr>
        <w:t xml:space="preserve">7.4v</w:t>
      </w:r>
      <w:r>
        <w:t xml:space="preserve">.</w:t>
      </w:r>
    </w:p>
  </w:footnote>
  <w:footnote w:id="1397">
    <w:p>
      <w:pPr>
        <w:pStyle w:val="FootnoteText"/>
      </w:pPr>
      <w:r>
        <w:rPr>
          <w:rStyle w:val="FootnoteReference"/>
        </w:rPr>
        <w:footnoteRef/>
      </w:r>
      <w:r>
        <w:rPr>
          <w:i/>
          <w:iCs/>
        </w:rPr>
        <w:t xml:space="preserve">7.5r</w:t>
      </w:r>
      <w:r>
        <w:t xml:space="preserve">.</w:t>
      </w:r>
    </w:p>
  </w:footnote>
  <w:footnote w:id="1398">
    <w:p>
      <w:pPr>
        <w:pStyle w:val="FootnoteText"/>
      </w:pPr>
      <w:r>
        <w:rPr>
          <w:rStyle w:val="FootnoteReference"/>
        </w:rPr>
        <w:footnoteRef/>
      </w:r>
      <w:r>
        <w:rPr>
          <w:i/>
          <w:iCs/>
        </w:rPr>
        <w:t xml:space="preserve">c</w:t>
      </w:r>
      <w:r>
        <w:t xml:space="preserve">.</w:t>
      </w:r>
    </w:p>
  </w:footnote>
  <w:footnote w:id="1399">
    <w:p>
      <w:pPr>
        <w:pStyle w:val="FootnoteText"/>
      </w:pPr>
      <w:r>
        <w:rPr>
          <w:rStyle w:val="FootnoteReference"/>
        </w:rPr>
        <w:footnoteRef/>
      </w:r>
      <w:r>
        <w:rPr>
          <w:i/>
          <w:iCs/>
        </w:rPr>
        <w:t xml:space="preserve">7.5v</w:t>
      </w:r>
      <w:r>
        <w:t xml:space="preserve">.</w:t>
      </w:r>
    </w:p>
  </w:footnote>
  <w:footnote w:id="1400">
    <w:p>
      <w:pPr>
        <w:pStyle w:val="FootnoteText"/>
      </w:pPr>
      <w:r>
        <w:rPr>
          <w:rStyle w:val="FootnoteReference"/>
        </w:rPr>
        <w:footnoteRef/>
      </w:r>
      <w:r>
        <w:t xml:space="preserve">JE indicates intention to follow the rhetorical structure of this paragraph with references to various endings, but does not specify them.</w:t>
      </w:r>
    </w:p>
  </w:footnote>
  <w:footnote w:id="1401">
    <w:p>
      <w:pPr>
        <w:pStyle w:val="FootnoteText"/>
      </w:pPr>
      <w:r>
        <w:rPr>
          <w:rStyle w:val="FootnoteReference"/>
        </w:rPr>
        <w:footnoteRef/>
      </w:r>
      <w:r>
        <w:rPr>
          <w:i/>
          <w:iCs/>
        </w:rPr>
        <w:t xml:space="preserve">7.6r</w:t>
      </w:r>
      <w:r>
        <w:t xml:space="preserve">.</w:t>
      </w:r>
    </w:p>
  </w:footnote>
  <w:footnote w:id="1402">
    <w:p>
      <w:pPr>
        <w:pStyle w:val="FootnoteText"/>
      </w:pPr>
      <w:r>
        <w:rPr>
          <w:rStyle w:val="FootnoteReference"/>
        </w:rPr>
        <w:footnoteRef/>
      </w:r>
      <w:r>
        <w:rPr>
          <w:i/>
          <w:iCs/>
        </w:rPr>
        <w:t xml:space="preserve">7.6v</w:t>
      </w:r>
      <w:r>
        <w:t xml:space="preserve">.</w:t>
      </w:r>
    </w:p>
  </w:footnote>
  <w:footnote w:id="1403">
    <w:p>
      <w:pPr>
        <w:pStyle w:val="FootnoteText"/>
      </w:pPr>
      <w:r>
        <w:rPr>
          <w:rStyle w:val="FootnoteReference"/>
        </w:rPr>
        <w:footnoteRef/>
      </w:r>
      <w:r>
        <w:rPr>
          <w:i/>
          <w:iCs/>
        </w:rPr>
        <w:t xml:space="preserve">d</w:t>
      </w:r>
      <w:r>
        <w:t xml:space="preserve">.</w:t>
      </w:r>
    </w:p>
  </w:footnote>
  <w:footnote w:id="1404">
    <w:p>
      <w:pPr>
        <w:pStyle w:val="FootnoteText"/>
      </w:pPr>
      <w:r>
        <w:rPr>
          <w:rStyle w:val="FootnoteReference"/>
        </w:rPr>
        <w:footnoteRef/>
      </w:r>
      <w:r>
        <w:t xml:space="preserve">E.g. Matthew 3:2; Mark 1:14–15; Acts 8:12.</w:t>
      </w:r>
    </w:p>
  </w:footnote>
  <w:footnote w:id="1405">
    <w:p>
      <w:pPr>
        <w:pStyle w:val="FootnoteText"/>
      </w:pPr>
      <w:r>
        <w:rPr>
          <w:rStyle w:val="FootnoteReference"/>
        </w:rPr>
        <w:footnoteRef/>
      </w:r>
      <w:r>
        <w:t xml:space="preserve">E.g. Luke 17:20; Luke 19:11.</w:t>
      </w:r>
    </w:p>
  </w:footnote>
  <w:footnote w:id="1406">
    <w:p>
      <w:pPr>
        <w:pStyle w:val="FootnoteText"/>
      </w:pPr>
      <w:r>
        <w:rPr>
          <w:rStyle w:val="FootnoteReference"/>
        </w:rPr>
        <w:footnoteRef/>
      </w:r>
      <w:r>
        <w:t xml:space="preserve">JE adds "Lord" to the verse.</w:t>
      </w:r>
    </w:p>
  </w:footnote>
  <w:footnote w:id="1407">
    <w:p>
      <w:pPr>
        <w:pStyle w:val="FootnoteText"/>
      </w:pPr>
      <w:r>
        <w:rPr>
          <w:rStyle w:val="FootnoteReference"/>
        </w:rPr>
        <w:footnoteRef/>
      </w:r>
      <w:r>
        <w:rPr>
          <w:i/>
          <w:iCs/>
        </w:rPr>
        <w:t xml:space="preserve">7.7r</w:t>
      </w:r>
      <w:r>
        <w:t xml:space="preserve">.</w:t>
      </w:r>
    </w:p>
  </w:footnote>
  <w:footnote w:id="1408">
    <w:p>
      <w:pPr>
        <w:pStyle w:val="FootnoteText"/>
      </w:pPr>
      <w:r>
        <w:rPr>
          <w:rStyle w:val="FootnoteReference"/>
        </w:rPr>
        <w:footnoteRef/>
      </w:r>
      <w:r>
        <w:t xml:space="preserve">JE paraphrases.</w:t>
      </w:r>
    </w:p>
  </w:footnote>
  <w:footnote w:id="1409">
    <w:p>
      <w:pPr>
        <w:pStyle w:val="FootnoteText"/>
      </w:pPr>
      <w:r>
        <w:rPr>
          <w:rStyle w:val="FootnoteReference"/>
        </w:rPr>
        <w:footnoteRef/>
      </w:r>
      <w:r>
        <w:t xml:space="preserve">There is space for four or so lines in text, suggesting that JE may have considered expanding this section.</w:t>
      </w:r>
    </w:p>
  </w:footnote>
  <w:footnote w:id="1410">
    <w:p>
      <w:pPr>
        <w:pStyle w:val="FootnoteText"/>
      </w:pPr>
      <w:r>
        <w:rPr>
          <w:rStyle w:val="FootnoteReference"/>
        </w:rPr>
        <w:footnoteRef/>
      </w:r>
      <w:r>
        <w:t xml:space="preserve">JE paraphrases.</w:t>
      </w:r>
    </w:p>
  </w:footnote>
  <w:footnote w:id="1411">
    <w:p>
      <w:pPr>
        <w:pStyle w:val="FootnoteText"/>
      </w:pPr>
      <w:r>
        <w:rPr>
          <w:rStyle w:val="FootnoteReference"/>
        </w:rPr>
        <w:footnoteRef/>
      </w:r>
      <w:r>
        <w:rPr>
          <w:i/>
          <w:iCs/>
        </w:rPr>
        <w:t xml:space="preserve">7.7v</w:t>
      </w:r>
      <w:r>
        <w:t xml:space="preserve">.</w:t>
      </w:r>
    </w:p>
  </w:footnote>
  <w:footnote w:id="1412">
    <w:p>
      <w:pPr>
        <w:pStyle w:val="FootnoteText"/>
      </w:pPr>
      <w:r>
        <w:rPr>
          <w:rStyle w:val="FootnoteReference"/>
        </w:rPr>
        <w:footnoteRef/>
      </w:r>
      <w:r>
        <w:rPr>
          <w:i/>
          <w:iCs/>
        </w:rPr>
        <w:t xml:space="preserve">(1.)</w:t>
      </w:r>
      <w:r>
        <w:t xml:space="preserve">.</w:t>
      </w:r>
    </w:p>
  </w:footnote>
  <w:footnote w:id="1413">
    <w:p>
      <w:pPr>
        <w:pStyle w:val="FootnoteText"/>
      </w:pPr>
      <w:r>
        <w:rPr>
          <w:rStyle w:val="FootnoteReference"/>
        </w:rPr>
        <w:footnoteRef/>
      </w:r>
      <w:r>
        <w:t xml:space="preserve">Matthew 24:27–31.</w:t>
      </w:r>
    </w:p>
  </w:footnote>
  <w:footnote w:id="1414">
    <w:p>
      <w:pPr>
        <w:pStyle w:val="FootnoteText"/>
      </w:pPr>
      <w:r>
        <w:rPr>
          <w:rStyle w:val="FootnoteReference"/>
        </w:rPr>
        <w:footnoteRef/>
      </w:r>
      <w:r>
        <w:t xml:space="preserve">Revelation 6:12–17.</w:t>
      </w:r>
    </w:p>
  </w:footnote>
  <w:footnote w:id="1415">
    <w:p>
      <w:pPr>
        <w:pStyle w:val="FootnoteText"/>
      </w:pPr>
      <w:r>
        <w:rPr>
          <w:rStyle w:val="FootnoteReference"/>
        </w:rPr>
        <w:footnoteRef/>
      </w:r>
      <w:r>
        <w:rPr>
          <w:i/>
          <w:iCs/>
        </w:rPr>
        <w:t xml:space="preserve">7.8r</w:t>
      </w:r>
      <w:r>
        <w:t xml:space="preserve">.</w:t>
      </w:r>
    </w:p>
  </w:footnote>
  <w:footnote w:id="1416">
    <w:p>
      <w:pPr>
        <w:pStyle w:val="FootnoteText"/>
      </w:pPr>
      <w:r>
        <w:rPr>
          <w:rStyle w:val="FootnoteReference"/>
        </w:rPr>
        <w:footnoteRef/>
      </w:r>
      <w:r>
        <w:t xml:space="preserve">Daniel 7:9–27.</w:t>
      </w:r>
    </w:p>
  </w:footnote>
  <w:footnote w:id="1417">
    <w:p>
      <w:pPr>
        <w:pStyle w:val="FootnoteText"/>
      </w:pPr>
      <w:r>
        <w:rPr>
          <w:rStyle w:val="FootnoteReference"/>
        </w:rPr>
        <w:footnoteRef/>
      </w:r>
      <w:r>
        <w:t xml:space="preserve">E.g. Matthew 25:31–46.</w:t>
      </w:r>
    </w:p>
  </w:footnote>
  <w:footnote w:id="1418">
    <w:p>
      <w:pPr>
        <w:pStyle w:val="FootnoteText"/>
      </w:pPr>
      <w:r>
        <w:rPr>
          <w:rStyle w:val="FootnoteReference"/>
        </w:rPr>
        <w:footnoteRef/>
      </w:r>
      <w:r>
        <w:rPr>
          <w:i/>
          <w:iCs/>
        </w:rPr>
        <w:t xml:space="preserve">(2.)</w:t>
      </w:r>
      <w:r>
        <w:t xml:space="preserve">.</w:t>
      </w:r>
    </w:p>
  </w:footnote>
  <w:footnote w:id="1419">
    <w:p>
      <w:pPr>
        <w:pStyle w:val="FootnoteText"/>
      </w:pPr>
      <w:r>
        <w:rPr>
          <w:rStyle w:val="FootnoteReference"/>
        </w:rPr>
        <w:footnoteRef/>
      </w:r>
      <w:r>
        <w:t xml:space="preserve">Revelation 20:11–15.</w:t>
      </w:r>
    </w:p>
  </w:footnote>
  <w:footnote w:id="1420">
    <w:p>
      <w:pPr>
        <w:pStyle w:val="FootnoteText"/>
      </w:pPr>
      <w:r>
        <w:rPr>
          <w:rStyle w:val="FootnoteReference"/>
        </w:rPr>
        <w:footnoteRef/>
      </w:r>
      <w:r>
        <w:rPr>
          <w:i/>
          <w:iCs/>
        </w:rPr>
        <w:t xml:space="preserve">7.8v</w:t>
      </w:r>
      <w:r>
        <w:t xml:space="preserve">.</w:t>
      </w:r>
    </w:p>
  </w:footnote>
  <w:footnote w:id="1421">
    <w:p>
      <w:pPr>
        <w:pStyle w:val="FootnoteText"/>
      </w:pPr>
      <w:r>
        <w:rPr>
          <w:rStyle w:val="FootnoteReference"/>
        </w:rPr>
        <w:footnoteRef/>
      </w:r>
      <w:r>
        <w:t xml:space="preserve">The rhetorical structure of the paragraph requires completion of this sentence so as to parallel the previous two sentences.</w:t>
      </w:r>
    </w:p>
  </w:footnote>
  <w:footnote w:id="1422">
    <w:p>
      <w:pPr>
        <w:pStyle w:val="FootnoteText"/>
      </w:pPr>
      <w:r>
        <w:rPr>
          <w:rStyle w:val="FootnoteReference"/>
        </w:rPr>
        <w:footnoteRef/>
      </w:r>
      <w:r>
        <w:t xml:space="preserve">Revelation 20:1–6. The eschatological references JE makes could be linked to several scriptural and interpretive traditions. He mainly follows the sequence of events as outlined in Revelation.</w:t>
      </w:r>
    </w:p>
  </w:footnote>
  <w:footnote w:id="1423">
    <w:p>
      <w:pPr>
        <w:pStyle w:val="FootnoteText"/>
      </w:pPr>
      <w:r>
        <w:rPr>
          <w:rStyle w:val="FootnoteReference"/>
        </w:rPr>
        <w:footnoteRef/>
      </w:r>
      <w:r>
        <w:t xml:space="preserve">In the rest of this paragraph, JE supplied only phrases, which require occasional insertions (indicated by brackets).</w:t>
      </w:r>
    </w:p>
  </w:footnote>
  <w:footnote w:id="1424">
    <w:p>
      <w:pPr>
        <w:pStyle w:val="FootnoteText"/>
      </w:pPr>
      <w:r>
        <w:rPr>
          <w:rStyle w:val="FootnoteReference"/>
        </w:rPr>
        <w:footnoteRef/>
      </w:r>
      <w:r>
        <w:t xml:space="preserve">Supplied from cited passage.</w:t>
      </w:r>
    </w:p>
  </w:footnote>
  <w:footnote w:id="1425">
    <w:p>
      <w:pPr>
        <w:pStyle w:val="FootnoteText"/>
      </w:pPr>
      <w:r>
        <w:rPr>
          <w:rStyle w:val="FootnoteReference"/>
        </w:rPr>
        <w:footnoteRef/>
      </w:r>
      <w:r>
        <w:t xml:space="preserve">This echoes the prophecy, e.g. in Matthew 24:3–12.</w:t>
      </w:r>
    </w:p>
  </w:footnote>
  <w:footnote w:id="1426">
    <w:p>
      <w:pPr>
        <w:pStyle w:val="FootnoteText"/>
      </w:pPr>
      <w:r>
        <w:rPr>
          <w:rStyle w:val="FootnoteReference"/>
        </w:rPr>
        <w:footnoteRef/>
      </w:r>
      <w:r>
        <w:t xml:space="preserve">For Gog and Magog, see e.g. Revelation 17:8–14; Revelation 20:8.</w:t>
      </w:r>
    </w:p>
  </w:footnote>
  <w:footnote w:id="1427">
    <w:p>
      <w:pPr>
        <w:pStyle w:val="FootnoteText"/>
      </w:pPr>
      <w:r>
        <w:rPr>
          <w:rStyle w:val="FootnoteReference"/>
        </w:rPr>
        <w:footnoteRef/>
      </w:r>
      <w:r>
        <w:rPr>
          <w:i/>
          <w:iCs/>
        </w:rPr>
        <w:t xml:space="preserve">7.9r</w:t>
      </w:r>
      <w:r>
        <w:t xml:space="preserve">.</w:t>
      </w:r>
    </w:p>
  </w:footnote>
  <w:footnote w:id="1428">
    <w:p>
      <w:pPr>
        <w:pStyle w:val="FootnoteText"/>
      </w:pPr>
      <w:r>
        <w:rPr>
          <w:rStyle w:val="FootnoteReference"/>
        </w:rPr>
        <w:footnoteRef/>
      </w:r>
      <w:r>
        <w:t xml:space="preserve">This paragraph also requires occasional insertions. For the joyful state of the church, see e.g. Revelation 19:1–9.</w:t>
      </w:r>
    </w:p>
  </w:footnote>
  <w:footnote w:id="1429">
    <w:p>
      <w:pPr>
        <w:pStyle w:val="FootnoteText"/>
      </w:pPr>
      <w:r>
        <w:rPr>
          <w:rStyle w:val="FootnoteReference"/>
        </w:rPr>
        <w:footnoteRef/>
      </w:r>
      <w:r>
        <w:t xml:space="preserve">See e.g. Revelation 21:1–22:5.</w:t>
      </w:r>
    </w:p>
  </w:footnote>
  <w:footnote w:id="1430">
    <w:p>
      <w:pPr>
        <w:pStyle w:val="FootnoteText"/>
      </w:pPr>
      <w:r>
        <w:rPr>
          <w:rStyle w:val="FootnoteReference"/>
        </w:rPr>
        <w:footnoteRef/>
      </w:r>
      <w:r>
        <w:rPr>
          <w:i/>
          <w:iCs/>
        </w:rPr>
        <w:t xml:space="preserve">7.9v</w:t>
      </w:r>
      <w:r>
        <w:t xml:space="preserve">.</w:t>
      </w:r>
    </w:p>
  </w:footnote>
  <w:footnote w:id="1431">
    <w:p>
      <w:pPr>
        <w:pStyle w:val="FootnoteText"/>
      </w:pPr>
      <w:r>
        <w:rPr>
          <w:rStyle w:val="FootnoteReference"/>
        </w:rPr>
        <w:footnoteRef/>
      </w:r>
      <w:r>
        <w:t xml:space="preserve">Here JE has a note which reads, "See Miscell. No. 802." Miscellany no. 802 is titled "Progress of Redemption" and begins, "Add this to discourse on Is. 51.8. Sermon 18. at the end of the 2nd particular under the 4th general observation." The essential point of the entry is that in the "three great successive dispensations of providence that are compared in Scripture to Christ's coming to judgment,…things were done spiritually by his Holy Spirit that in Christ's last coming will be done externally." Evidently No. 802 was composed soon after the sermon series, which it was intended to augment. This suggests that JE contemplated developing the series, possibly for publication, after completing its composition and delivery in sermon form.</w:t>
      </w:r>
    </w:p>
  </w:footnote>
  <w:footnote w:id="1432">
    <w:p>
      <w:pPr>
        <w:pStyle w:val="FootnoteText"/>
      </w:pPr>
      <w:r>
        <w:rPr>
          <w:rStyle w:val="FootnoteReference"/>
        </w:rPr>
        <w:footnoteRef/>
      </w:r>
      <w:r>
        <w:t xml:space="preserve">See e.g. Revelation 17:15–18:10; Revelation 19:20–21.</w:t>
      </w:r>
    </w:p>
  </w:footnote>
  <w:footnote w:id="1433">
    <w:p>
      <w:pPr>
        <w:pStyle w:val="FootnoteText"/>
      </w:pPr>
      <w:r>
        <w:rPr>
          <w:rStyle w:val="FootnoteReference"/>
        </w:rPr>
        <w:footnoteRef/>
      </w:r>
      <w:r>
        <w:t xml:space="preserve">See e.g. Revelation 20:12–15.</w:t>
      </w:r>
    </w:p>
  </w:footnote>
  <w:footnote w:id="1434">
    <w:p>
      <w:pPr>
        <w:pStyle w:val="FootnoteText"/>
      </w:pPr>
      <w:r>
        <w:rPr>
          <w:rStyle w:val="FootnoteReference"/>
        </w:rPr>
        <w:footnoteRef/>
      </w:r>
      <w:r>
        <w:t xml:space="preserve">This paragraph is a very explicit summary of JE's understanding of the dispensations between the death of Christ and the end of the world.</w:t>
      </w:r>
    </w:p>
  </w:footnote>
  <w:footnote w:id="1435">
    <w:p>
      <w:pPr>
        <w:pStyle w:val="FootnoteText"/>
      </w:pPr>
      <w:r>
        <w:rPr>
          <w:rStyle w:val="FootnoteReference"/>
        </w:rPr>
        <w:footnoteRef/>
      </w:r>
      <w:r>
        <w:rPr>
          <w:i/>
          <w:iCs/>
        </w:rPr>
        <w:t xml:space="preserve">(3.)</w:t>
      </w:r>
      <w:r>
        <w:t xml:space="preserve">.</w:t>
      </w:r>
    </w:p>
  </w:footnote>
  <w:footnote w:id="1436">
    <w:p>
      <w:pPr>
        <w:pStyle w:val="FootnoteText"/>
      </w:pPr>
      <w:r>
        <w:rPr>
          <w:rStyle w:val="FootnoteReference"/>
        </w:rPr>
        <w:footnoteRef/>
      </w:r>
      <w:r>
        <w:t xml:space="preserve">JE appears to have deleted an interlineated clause, "but the setting up four."</w:t>
      </w:r>
    </w:p>
  </w:footnote>
  <w:footnote w:id="1437">
    <w:p>
      <w:pPr>
        <w:pStyle w:val="FootnoteText"/>
      </w:pPr>
      <w:r>
        <w:rPr>
          <w:rStyle w:val="FootnoteReference"/>
        </w:rPr>
        <w:footnoteRef/>
      </w:r>
      <w:r>
        <w:rPr>
          <w:i/>
          <w:iCs/>
        </w:rPr>
        <w:t xml:space="preserve">7.10r</w:t>
      </w:r>
      <w:r>
        <w:t xml:space="preserve">.</w:t>
      </w:r>
    </w:p>
  </w:footnote>
  <w:footnote w:id="1438">
    <w:p>
      <w:pPr>
        <w:pStyle w:val="FootnoteText"/>
      </w:pPr>
      <w:r>
        <w:rPr>
          <w:rStyle w:val="FootnoteReference"/>
        </w:rPr>
        <w:footnoteRef/>
      </w:r>
      <w:r>
        <w:t xml:space="preserve">JE paraphrases slightly.</w:t>
      </w:r>
    </w:p>
  </w:footnote>
  <w:footnote w:id="1439">
    <w:p>
      <w:pPr>
        <w:pStyle w:val="FootnoteText"/>
      </w:pPr>
      <w:r>
        <w:rPr>
          <w:rStyle w:val="FootnoteReference"/>
        </w:rPr>
        <w:footnoteRef/>
      </w:r>
      <w:r>
        <w:t xml:space="preserve">The precise reference to this quotation is unclear, but see Luke 17:20 and Luke 19:11.</w:t>
      </w:r>
    </w:p>
  </w:footnote>
  <w:footnote w:id="1440">
    <w:p>
      <w:pPr>
        <w:pStyle w:val="FootnoteText"/>
      </w:pPr>
      <w:r>
        <w:rPr>
          <w:rStyle w:val="FootnoteReference"/>
        </w:rPr>
        <w:footnoteRef/>
      </w:r>
      <w:r>
        <w:t xml:space="preserve">See e.g. Matthew 3:2; Matthew 4:17.</w:t>
      </w:r>
    </w:p>
  </w:footnote>
  <w:footnote w:id="1441">
    <w:p>
      <w:pPr>
        <w:pStyle w:val="FootnoteText"/>
      </w:pPr>
      <w:r>
        <w:rPr>
          <w:rStyle w:val="FootnoteReference"/>
        </w:rPr>
        <w:footnoteRef/>
      </w:r>
      <w:r>
        <w:t xml:space="preserve">JE indicates intent to complete this and the following sentence in line with the rhetorical structure of the passage.</w:t>
      </w:r>
    </w:p>
  </w:footnote>
  <w:footnote w:id="1442">
    <w:p>
      <w:pPr>
        <w:pStyle w:val="FootnoteText"/>
      </w:pPr>
      <w:r>
        <w:rPr>
          <w:rStyle w:val="FootnoteReference"/>
        </w:rPr>
        <w:footnoteRef/>
      </w:r>
      <w:r>
        <w:rPr>
          <w:i/>
          <w:iCs/>
        </w:rPr>
        <w:t xml:space="preserve">7.10v</w:t>
      </w:r>
      <w:r>
        <w:t xml:space="preserve">.</w:t>
      </w:r>
    </w:p>
  </w:footnote>
  <w:footnote w:id="1443">
    <w:p>
      <w:pPr>
        <w:pStyle w:val="FootnoteText"/>
      </w:pPr>
      <w:r>
        <w:rPr>
          <w:rStyle w:val="FootnoteReference"/>
        </w:rPr>
        <w:footnoteRef/>
      </w:r>
      <w:r>
        <w:t xml:space="preserve">JE has offered specific references and discussion above.</w:t>
      </w:r>
    </w:p>
  </w:footnote>
  <w:footnote w:id="1444">
    <w:p>
      <w:pPr>
        <w:pStyle w:val="FootnoteText"/>
      </w:pPr>
      <w:r>
        <w:rPr>
          <w:rStyle w:val="FootnoteReference"/>
        </w:rPr>
        <w:footnoteRef/>
      </w:r>
      <w:r>
        <w:rPr>
          <w:i/>
          <w:iCs/>
        </w:rPr>
        <w:t xml:space="preserve">(4.)</w:t>
      </w:r>
      <w:r>
        <w:t xml:space="preserve">.</w:t>
      </w:r>
    </w:p>
  </w:footnote>
  <w:footnote w:id="1445">
    <w:p>
      <w:pPr>
        <w:pStyle w:val="FootnoteText"/>
      </w:pPr>
      <w:r>
        <w:rPr>
          <w:rStyle w:val="FootnoteReference"/>
        </w:rPr>
        <w:footnoteRef/>
      </w:r>
      <w:r>
        <w:rPr>
          <w:i/>
          <w:iCs/>
        </w:rPr>
        <w:t xml:space="preserve">(5.)</w:t>
      </w:r>
      <w:r>
        <w:t xml:space="preserve">.</w:t>
      </w:r>
    </w:p>
  </w:footnote>
  <w:footnote w:id="1446">
    <w:p>
      <w:pPr>
        <w:pStyle w:val="FootnoteText"/>
      </w:pPr>
      <w:r>
        <w:rPr>
          <w:rStyle w:val="FootnoteReference"/>
        </w:rPr>
        <w:footnoteRef/>
      </w:r>
      <w:r>
        <w:rPr>
          <w:i/>
          <w:iCs/>
        </w:rPr>
        <w:t xml:space="preserve">7.11r</w:t>
      </w:r>
      <w:r>
        <w:t xml:space="preserve">.</w:t>
      </w:r>
    </w:p>
  </w:footnote>
  <w:footnote w:id="1447">
    <w:p>
      <w:pPr>
        <w:pStyle w:val="FootnoteText"/>
      </w:pPr>
      <w:r>
        <w:rPr>
          <w:rStyle w:val="FootnoteReference"/>
        </w:rPr>
        <w:footnoteRef/>
      </w:r>
      <w:r>
        <w:rPr>
          <w:i/>
          <w:iCs/>
        </w:rPr>
        <w:t xml:space="preserve">7.11v</w:t>
      </w:r>
      <w:r>
        <w:t xml:space="preserve">.</w:t>
      </w:r>
    </w:p>
  </w:footnote>
  <w:footnote w:id="1448">
    <w:p>
      <w:pPr>
        <w:pStyle w:val="FootnoteText"/>
      </w:pPr>
      <w:r>
        <w:rPr>
          <w:rStyle w:val="FootnoteReference"/>
        </w:rPr>
        <w:footnoteRef/>
      </w:r>
      <w:r>
        <w:t xml:space="preserve">The concluding paragraphs of Sermon 18 logically stand as a brief improvement inserted into JE's analysis, just as other longer applications are interspersed in his text. Accordingly they have been numbered separately, as an "inquiry."</w:t>
      </w:r>
    </w:p>
  </w:footnote>
  <w:footnote w:id="1449">
    <w:p>
      <w:pPr>
        <w:pStyle w:val="FootnoteText"/>
      </w:pPr>
      <w:r>
        <w:rPr>
          <w:rStyle w:val="FootnoteReference"/>
        </w:rPr>
        <w:footnoteRef/>
      </w:r>
      <w:r>
        <w:rPr>
          <w:i/>
          <w:iCs/>
        </w:rPr>
        <w:t xml:space="preserve">1</w:t>
      </w:r>
      <w:r>
        <w:t xml:space="preserve">.</w:t>
      </w:r>
    </w:p>
  </w:footnote>
  <w:footnote w:id="1450">
    <w:p>
      <w:pPr>
        <w:pStyle w:val="FootnoteText"/>
      </w:pPr>
      <w:r>
        <w:rPr>
          <w:rStyle w:val="FootnoteReference"/>
        </w:rPr>
        <w:footnoteRef/>
      </w:r>
      <w:r>
        <w:rPr>
          <w:i/>
          <w:iCs/>
        </w:rPr>
        <w:t xml:space="preserve">7.12r</w:t>
      </w:r>
      <w:r>
        <w:t xml:space="preserve">.</w:t>
      </w:r>
    </w:p>
  </w:footnote>
  <w:footnote w:id="1451">
    <w:p>
      <w:pPr>
        <w:pStyle w:val="FootnoteText"/>
      </w:pPr>
      <w:r>
        <w:rPr>
          <w:rStyle w:val="FootnoteReference"/>
        </w:rPr>
        <w:footnoteRef/>
      </w:r>
      <w:r>
        <w:rPr>
          <w:i/>
          <w:iCs/>
        </w:rPr>
        <w:t xml:space="preserve">11</w:t>
      </w:r>
      <w:r>
        <w:t xml:space="preserve">.</w:t>
      </w:r>
    </w:p>
  </w:footnote>
  <w:footnote w:id="1452">
    <w:p>
      <w:pPr>
        <w:pStyle w:val="FootnoteText"/>
      </w:pPr>
      <w:r>
        <w:rPr>
          <w:rStyle w:val="FootnoteReference"/>
        </w:rPr>
        <w:footnoteRef/>
      </w:r>
      <w:r>
        <w:rPr>
          <w:i/>
          <w:iCs/>
        </w:rPr>
        <w:t xml:space="preserve">7.12v</w:t>
      </w:r>
      <w:r>
        <w:t xml:space="preserve">.</w:t>
      </w:r>
    </w:p>
  </w:footnote>
  <w:footnote w:id="1453">
    <w:p>
      <w:pPr>
        <w:pStyle w:val="FootnoteText"/>
      </w:pPr>
      <w:r>
        <w:rPr>
          <w:rStyle w:val="FootnoteReference"/>
        </w:rPr>
        <w:footnoteRef/>
      </w:r>
      <w:r>
        <w:rPr>
          <w:i/>
          <w:iCs/>
        </w:rPr>
        <w:t xml:space="preserve">7.13r</w:t>
      </w:r>
      <w:r>
        <w:t xml:space="preserve">.</w:t>
      </w:r>
    </w:p>
  </w:footnote>
  <w:footnote w:id="1454">
    <w:p>
      <w:pPr>
        <w:pStyle w:val="FootnoteText"/>
      </w:pPr>
      <w:r>
        <w:rPr>
          <w:rStyle w:val="FootnoteReference"/>
        </w:rPr>
        <w:footnoteRef/>
      </w:r>
      <w:r>
        <w:t xml:space="preserve">The introductory paragraphs indicate that this sermon was intended to be given in the afternoon of the day on which the preceding sermon was delivered in the forenoon. They are explicitly a linked pair.</w:t>
      </w:r>
    </w:p>
  </w:footnote>
  <w:footnote w:id="1455">
    <w:p>
      <w:pPr>
        <w:pStyle w:val="FootnoteText"/>
      </w:pPr>
      <w:r>
        <w:rPr>
          <w:rStyle w:val="FootnoteReference"/>
        </w:rPr>
        <w:footnoteRef/>
      </w:r>
      <w:r>
        <w:rPr>
          <w:i/>
          <w:iCs/>
        </w:rPr>
        <w:t xml:space="preserve">2</w:t>
      </w:r>
      <w:r>
        <w:t xml:space="preserve">.</w:t>
      </w:r>
    </w:p>
  </w:footnote>
  <w:footnote w:id="1456">
    <w:p>
      <w:pPr>
        <w:pStyle w:val="FootnoteText"/>
      </w:pPr>
      <w:r>
        <w:rPr>
          <w:rStyle w:val="FootnoteReference"/>
        </w:rPr>
        <w:footnoteRef/>
      </w:r>
      <w:r>
        <w:rPr>
          <w:i/>
          <w:iCs/>
        </w:rPr>
        <w:t xml:space="preserve">a</w:t>
      </w:r>
      <w:r>
        <w:t xml:space="preserve">.</w:t>
      </w:r>
    </w:p>
  </w:footnote>
  <w:footnote w:id="1457">
    <w:p>
      <w:pPr>
        <w:pStyle w:val="FootnoteText"/>
      </w:pPr>
      <w:r>
        <w:rPr>
          <w:rStyle w:val="FootnoteReference"/>
        </w:rPr>
        <w:footnoteRef/>
      </w:r>
      <w:r>
        <w:rPr>
          <w:i/>
          <w:iCs/>
        </w:rPr>
        <w:t xml:space="preserve">7.13v</w:t>
      </w:r>
      <w:r>
        <w:t xml:space="preserve">.</w:t>
      </w:r>
    </w:p>
  </w:footnote>
  <w:footnote w:id="1458">
    <w:p>
      <w:pPr>
        <w:pStyle w:val="FootnoteText"/>
      </w:pPr>
      <w:r>
        <w:rPr>
          <w:rStyle w:val="FootnoteReference"/>
        </w:rPr>
        <w:footnoteRef/>
      </w:r>
      <w:r>
        <w:rPr>
          <w:i/>
          <w:iCs/>
        </w:rPr>
        <w:t xml:space="preserve">(1.)</w:t>
      </w:r>
      <w:r>
        <w:t xml:space="preserve">.</w:t>
      </w:r>
    </w:p>
  </w:footnote>
  <w:footnote w:id="1459">
    <w:p>
      <w:pPr>
        <w:pStyle w:val="FootnoteText"/>
      </w:pPr>
      <w:r>
        <w:rPr>
          <w:rStyle w:val="FootnoteReference"/>
        </w:rPr>
        <w:footnoteRef/>
      </w:r>
      <w:r>
        <w:t xml:space="preserve">JE's manuscript reads "G. man."</w:t>
      </w:r>
    </w:p>
  </w:footnote>
  <w:footnote w:id="1460">
    <w:p>
      <w:pPr>
        <w:pStyle w:val="FootnoteText"/>
      </w:pPr>
      <w:r>
        <w:rPr>
          <w:rStyle w:val="FootnoteReference"/>
        </w:rPr>
        <w:footnoteRef/>
      </w:r>
      <w:r>
        <w:t xml:space="preserve">For the resurrection narratives, see Matthew 28:1–10; Mark 16:1–15; Luke 24:1–12 and John 20:1–23.</w:t>
      </w:r>
    </w:p>
  </w:footnote>
  <w:footnote w:id="1461">
    <w:p>
      <w:pPr>
        <w:pStyle w:val="FootnoteText"/>
      </w:pPr>
      <w:r>
        <w:rPr>
          <w:rStyle w:val="FootnoteReference"/>
        </w:rPr>
        <w:footnoteRef/>
      </w:r>
      <w:r>
        <w:rPr>
          <w:i/>
          <w:iCs/>
        </w:rPr>
        <w:t xml:space="preserve">7.14r</w:t>
      </w:r>
      <w:r>
        <w:t xml:space="preserve">.</w:t>
      </w:r>
    </w:p>
  </w:footnote>
  <w:footnote w:id="1462">
    <w:p>
      <w:pPr>
        <w:pStyle w:val="FootnoteText"/>
      </w:pPr>
      <w:r>
        <w:rPr>
          <w:rStyle w:val="FootnoteReference"/>
        </w:rPr>
        <w:footnoteRef/>
      </w:r>
      <w:r>
        <w:t xml:space="preserve">JE cites only Philippians 2:8, but writes out fragments of Philippians 2:8–9, and indicates intent to provide at least the bracketed phrases.</w:t>
      </w:r>
    </w:p>
  </w:footnote>
  <w:footnote w:id="1463">
    <w:p>
      <w:pPr>
        <w:pStyle w:val="FootnoteText"/>
      </w:pPr>
      <w:r>
        <w:rPr>
          <w:rStyle w:val="FootnoteReference"/>
        </w:rPr>
        <w:footnoteRef/>
      </w:r>
      <w:r>
        <w:t xml:space="preserve">For Christ as head of the church, see Ephesians 5:23; Colossians 1:18.</w:t>
      </w:r>
    </w:p>
  </w:footnote>
  <w:footnote w:id="1464">
    <w:p>
      <w:pPr>
        <w:pStyle w:val="FootnoteText"/>
      </w:pPr>
      <w:r>
        <w:rPr>
          <w:rStyle w:val="FootnoteReference"/>
        </w:rPr>
        <w:footnoteRef/>
      </w:r>
      <w:r>
        <w:t xml:space="preserve">For the classic expression of the significance of Christ's resurrection for the believer, see 1 Corinthians 15:16–26, from which JE takes much of this language.</w:t>
      </w:r>
    </w:p>
  </w:footnote>
  <w:footnote w:id="1465">
    <w:p>
      <w:pPr>
        <w:pStyle w:val="FootnoteText"/>
      </w:pPr>
      <w:r>
        <w:rPr>
          <w:rStyle w:val="FootnoteReference"/>
        </w:rPr>
        <w:footnoteRef/>
      </w:r>
      <w:r>
        <w:rPr>
          <w:i/>
          <w:iCs/>
        </w:rPr>
        <w:t xml:space="preserve">7.14v</w:t>
      </w:r>
      <w:r>
        <w:t xml:space="preserve">. Leaf breaks at "tem."</w:t>
      </w:r>
    </w:p>
  </w:footnote>
  <w:footnote w:id="1466">
    <w:p>
      <w:pPr>
        <w:pStyle w:val="FootnoteText"/>
      </w:pPr>
      <w:r>
        <w:rPr>
          <w:rStyle w:val="FootnoteReference"/>
        </w:rPr>
        <w:footnoteRef/>
      </w:r>
      <w:r>
        <w:t xml:space="preserve">This language echoes Job 41:22; Psalms 126:5; and Jeremiah 31:13.</w:t>
      </w:r>
    </w:p>
  </w:footnote>
  <w:footnote w:id="1467">
    <w:p>
      <w:pPr>
        <w:pStyle w:val="FootnoteText"/>
      </w:pPr>
      <w:r>
        <w:rPr>
          <w:rStyle w:val="FootnoteReference"/>
        </w:rPr>
        <w:footnoteRef/>
      </w:r>
      <w:r>
        <w:rPr>
          <w:i/>
          <w:iCs/>
        </w:rPr>
        <w:t xml:space="preserve">7.15r</w:t>
      </w:r>
      <w:r>
        <w:t xml:space="preserve">.</w:t>
      </w:r>
    </w:p>
  </w:footnote>
  <w:footnote w:id="1468">
    <w:p>
      <w:pPr>
        <w:pStyle w:val="FootnoteText"/>
      </w:pPr>
      <w:r>
        <w:rPr>
          <w:rStyle w:val="FootnoteReference"/>
        </w:rPr>
        <w:footnoteRef/>
      </w:r>
      <w:r>
        <w:t xml:space="preserve">JE paraphrases.</w:t>
      </w:r>
    </w:p>
  </w:footnote>
  <w:footnote w:id="1469">
    <w:p>
      <w:pPr>
        <w:pStyle w:val="FootnoteText"/>
      </w:pPr>
      <w:r>
        <w:rPr>
          <w:rStyle w:val="FootnoteReference"/>
        </w:rPr>
        <w:footnoteRef/>
      </w:r>
      <w:r>
        <w:t xml:space="preserve">JE's language echoes Psalms 30:5.</w:t>
      </w:r>
    </w:p>
  </w:footnote>
  <w:footnote w:id="1470">
    <w:p>
      <w:pPr>
        <w:pStyle w:val="FootnoteText"/>
      </w:pPr>
      <w:r>
        <w:rPr>
          <w:rStyle w:val="FootnoteReference"/>
        </w:rPr>
        <w:footnoteRef/>
      </w:r>
      <w:r>
        <w:t xml:space="preserve">JE's quotation is not exact.</w:t>
      </w:r>
    </w:p>
  </w:footnote>
  <w:footnote w:id="1471">
    <w:p>
      <w:pPr>
        <w:pStyle w:val="FootnoteText"/>
      </w:pPr>
      <w:r>
        <w:rPr>
          <w:rStyle w:val="FootnoteReference"/>
        </w:rPr>
        <w:footnoteRef/>
      </w:r>
      <w:r>
        <w:rPr>
          <w:i/>
          <w:iCs/>
        </w:rPr>
        <w:t xml:space="preserve">7.15v</w:t>
      </w:r>
      <w:r>
        <w:t xml:space="preserve">.</w:t>
      </w:r>
    </w:p>
  </w:footnote>
  <w:footnote w:id="1472">
    <w:p>
      <w:pPr>
        <w:pStyle w:val="FootnoteText"/>
      </w:pPr>
      <w:r>
        <w:rPr>
          <w:rStyle w:val="FootnoteReference"/>
        </w:rPr>
        <w:footnoteRef/>
      </w:r>
      <w:r>
        <w:t xml:space="preserve">For Christ as bridegroom, see Matthew 9:15; John 3:29.</w:t>
      </w:r>
    </w:p>
  </w:footnote>
  <w:footnote w:id="1473">
    <w:p>
      <w:pPr>
        <w:pStyle w:val="FootnoteText"/>
      </w:pPr>
      <w:r>
        <w:rPr>
          <w:rStyle w:val="FootnoteReference"/>
        </w:rPr>
        <w:footnoteRef/>
      </w:r>
      <w:r>
        <w:t xml:space="preserve">JE echoes the language of Psalms 19:5.</w:t>
      </w:r>
    </w:p>
  </w:footnote>
  <w:footnote w:id="1474">
    <w:p>
      <w:pPr>
        <w:pStyle w:val="FootnoteText"/>
      </w:pPr>
      <w:r>
        <w:rPr>
          <w:rStyle w:val="FootnoteReference"/>
        </w:rPr>
        <w:footnoteRef/>
      </w:r>
      <w:r>
        <w:rPr>
          <w:i/>
          <w:iCs/>
        </w:rPr>
        <w:t xml:space="preserve">7.16r</w:t>
      </w:r>
      <w:r>
        <w:t xml:space="preserve">.</w:t>
      </w:r>
    </w:p>
  </w:footnote>
  <w:footnote w:id="1475">
    <w:p>
      <w:pPr>
        <w:pStyle w:val="FootnoteText"/>
      </w:pPr>
      <w:r>
        <w:rPr>
          <w:rStyle w:val="FootnoteReference"/>
        </w:rPr>
        <w:footnoteRef/>
      </w:r>
      <w:r>
        <w:t xml:space="preserve">Malachi 4:2.</w:t>
      </w:r>
    </w:p>
  </w:footnote>
  <w:footnote w:id="1476">
    <w:p>
      <w:pPr>
        <w:pStyle w:val="FootnoteText"/>
      </w:pPr>
      <w:r>
        <w:rPr>
          <w:rStyle w:val="FootnoteReference"/>
        </w:rPr>
        <w:footnoteRef/>
      </w:r>
      <w:r>
        <w:rPr>
          <w:i/>
          <w:iCs/>
        </w:rPr>
        <w:t xml:space="preserve">(2.)</w:t>
      </w:r>
      <w:r>
        <w:t xml:space="preserve">.</w:t>
      </w:r>
    </w:p>
  </w:footnote>
  <w:footnote w:id="1477">
    <w:p>
      <w:pPr>
        <w:pStyle w:val="FootnoteText"/>
      </w:pPr>
      <w:r>
        <w:rPr>
          <w:rStyle w:val="FootnoteReference"/>
        </w:rPr>
        <w:footnoteRef/>
      </w:r>
      <w:r>
        <w:t xml:space="preserve">For the ascension narratives and Christ's sitting at God's right hand, see Mark 16:19; Luke 24:50–51; Acts 1:9–11; Acts 2:33–35; Ephesians 1:20; Hebrews 1:3; Hebrews 10:12–13; 1 Peter 3:22.</w:t>
      </w:r>
    </w:p>
  </w:footnote>
  <w:footnote w:id="1478">
    <w:p>
      <w:pPr>
        <w:pStyle w:val="FootnoteText"/>
      </w:pPr>
      <w:r>
        <w:rPr>
          <w:rStyle w:val="FootnoteReference"/>
        </w:rPr>
        <w:footnoteRef/>
      </w:r>
      <w:r>
        <w:rPr>
          <w:i/>
          <w:iCs/>
        </w:rPr>
        <w:t xml:space="preserve">7.16v</w:t>
      </w:r>
      <w:r>
        <w:t xml:space="preserve">.</w:t>
      </w:r>
    </w:p>
  </w:footnote>
  <w:footnote w:id="1479">
    <w:p>
      <w:pPr>
        <w:pStyle w:val="FootnoteText"/>
      </w:pPr>
      <w:r>
        <w:rPr>
          <w:rStyle w:val="FootnoteReference"/>
        </w:rPr>
        <w:footnoteRef/>
      </w:r>
      <w:r>
        <w:t xml:space="preserve">JE offers a loose paraphrase.</w:t>
      </w:r>
    </w:p>
  </w:footnote>
  <w:footnote w:id="1480">
    <w:p>
      <w:pPr>
        <w:pStyle w:val="FootnoteText"/>
      </w:pPr>
      <w:r>
        <w:rPr>
          <w:rStyle w:val="FootnoteReference"/>
        </w:rPr>
        <w:footnoteRef/>
      </w:r>
      <w:r>
        <w:t xml:space="preserve">Psalms 110:1; slight paraphrase.</w:t>
      </w:r>
    </w:p>
  </w:footnote>
  <w:footnote w:id="1481">
    <w:p>
      <w:pPr>
        <w:pStyle w:val="FootnoteText"/>
      </w:pPr>
      <w:r>
        <w:rPr>
          <w:rStyle w:val="FootnoteReference"/>
        </w:rPr>
        <w:footnoteRef/>
      </w:r>
      <w:r>
        <w:rPr>
          <w:i/>
          <w:iCs/>
        </w:rPr>
        <w:t xml:space="preserve">7.17r</w:t>
      </w:r>
      <w:r>
        <w:t xml:space="preserve">.</w:t>
      </w:r>
    </w:p>
  </w:footnote>
  <w:footnote w:id="1482">
    <w:p>
      <w:pPr>
        <w:pStyle w:val="FootnoteText"/>
      </w:pPr>
      <w:r>
        <w:rPr>
          <w:rStyle w:val="FootnoteReference"/>
        </w:rPr>
        <w:footnoteRef/>
      </w:r>
      <w:r>
        <w:t xml:space="preserve">JE paraphrases.</w:t>
      </w:r>
    </w:p>
  </w:footnote>
  <w:footnote w:id="1483">
    <w:p>
      <w:pPr>
        <w:pStyle w:val="FootnoteText"/>
      </w:pPr>
      <w:r>
        <w:rPr>
          <w:rStyle w:val="FootnoteReference"/>
        </w:rPr>
        <w:footnoteRef/>
      </w:r>
      <w:r>
        <w:rPr>
          <w:i/>
          <w:iCs/>
        </w:rPr>
        <w:t xml:space="preserve">7.17v</w:t>
      </w:r>
      <w:r>
        <w:t xml:space="preserve">.</w:t>
      </w:r>
    </w:p>
  </w:footnote>
  <w:footnote w:id="1484">
    <w:p>
      <w:pPr>
        <w:pStyle w:val="FootnoteText"/>
      </w:pPr>
      <w:r>
        <w:rPr>
          <w:rStyle w:val="FootnoteReference"/>
        </w:rPr>
        <w:footnoteRef/>
      </w:r>
      <w:r>
        <w:rPr>
          <w:i/>
          <w:iCs/>
        </w:rPr>
        <w:t xml:space="preserve">b</w:t>
      </w:r>
      <w:r>
        <w:t xml:space="preserve">.</w:t>
      </w:r>
    </w:p>
  </w:footnote>
  <w:footnote w:id="1485">
    <w:p>
      <w:pPr>
        <w:pStyle w:val="FootnoteText"/>
      </w:pPr>
      <w:r>
        <w:rPr>
          <w:rStyle w:val="FootnoteReference"/>
        </w:rPr>
        <w:footnoteRef/>
      </w:r>
      <w:r>
        <w:t xml:space="preserve">JE eliminated a short section with a vertical line. It reads, "is of two sorts, viz. the bestowmemt of grace; 'tis either that which consists in grace here or glory hereafter."</w:t>
      </w:r>
    </w:p>
  </w:footnote>
  <w:footnote w:id="1486">
    <w:p>
      <w:pPr>
        <w:pStyle w:val="FootnoteText"/>
      </w:pPr>
      <w:r>
        <w:rPr>
          <w:rStyle w:val="FootnoteReference"/>
        </w:rPr>
        <w:footnoteRef/>
      </w:r>
      <w:r>
        <w:rPr>
          <w:i/>
          <w:iCs/>
        </w:rPr>
        <w:t xml:space="preserve">7.18r</w:t>
      </w:r>
      <w:r>
        <w:t xml:space="preserve">.</w:t>
      </w:r>
    </w:p>
  </w:footnote>
  <w:footnote w:id="1487">
    <w:p>
      <w:pPr>
        <w:pStyle w:val="FootnoteText"/>
      </w:pPr>
      <w:r>
        <w:rPr>
          <w:rStyle w:val="FootnoteReference"/>
        </w:rPr>
        <w:footnoteRef/>
      </w:r>
      <w:r>
        <w:rPr>
          <w:i/>
          <w:iCs/>
        </w:rPr>
        <w:t xml:space="preserve">(1.)</w:t>
      </w:r>
      <w:r>
        <w:t xml:space="preserve">.</w:t>
      </w:r>
    </w:p>
  </w:footnote>
  <w:footnote w:id="1488">
    <w:p>
      <w:pPr>
        <w:pStyle w:val="FootnoteText"/>
      </w:pPr>
      <w:r>
        <w:rPr>
          <w:rStyle w:val="FootnoteReference"/>
        </w:rPr>
        <w:footnoteRef/>
      </w:r>
      <w:r>
        <w:t xml:space="preserve">JE's discussion of Christ's coming in his kingdom may be found in Sermon 18.</w:t>
      </w:r>
    </w:p>
  </w:footnote>
  <w:footnote w:id="1489">
    <w:p>
      <w:pPr>
        <w:pStyle w:val="FootnoteText"/>
      </w:pPr>
      <w:r>
        <w:rPr>
          <w:rStyle w:val="FootnoteReference"/>
        </w:rPr>
        <w:footnoteRef/>
      </w:r>
      <w:r>
        <w:rPr>
          <w:i/>
          <w:iCs/>
        </w:rPr>
        <w:t xml:space="preserve">(a.)</w:t>
      </w:r>
      <w:r>
        <w:t xml:space="preserve">.</w:t>
      </w:r>
    </w:p>
  </w:footnote>
  <w:footnote w:id="1490">
    <w:p>
      <w:pPr>
        <w:pStyle w:val="FootnoteText"/>
      </w:pPr>
      <w:r>
        <w:rPr>
          <w:rStyle w:val="FootnoteReference"/>
        </w:rPr>
        <w:footnoteRef/>
      </w:r>
      <w:r>
        <w:rPr>
          <w:i/>
          <w:iCs/>
        </w:rPr>
        <w:t xml:space="preserve">7. 19v</w:t>
      </w:r>
      <w:r>
        <w:t xml:space="preserve">. JE directs himself to "next page but two," that is, to the verso of the next leaf, to continue his discussion.</w:t>
      </w:r>
    </w:p>
  </w:footnote>
  <w:footnote w:id="1491">
    <w:p>
      <w:pPr>
        <w:pStyle w:val="FootnoteText"/>
      </w:pPr>
      <w:r>
        <w:rPr>
          <w:rStyle w:val="FootnoteReference"/>
        </w:rPr>
        <w:footnoteRef/>
      </w:r>
      <w:r>
        <w:rPr>
          <w:i/>
          <w:iCs/>
        </w:rPr>
        <w:t xml:space="preserve">1</w:t>
      </w:r>
      <w:r>
        <w:t xml:space="preserve">.</w:t>
      </w:r>
    </w:p>
  </w:footnote>
  <w:footnote w:id="1492">
    <w:p>
      <w:pPr>
        <w:pStyle w:val="FootnoteText"/>
      </w:pPr>
      <w:r>
        <w:rPr>
          <w:rStyle w:val="FootnoteReference"/>
        </w:rPr>
        <w:footnoteRef/>
      </w:r>
      <w:r>
        <w:rPr>
          <w:i/>
          <w:iCs/>
        </w:rPr>
        <w:t xml:space="preserve">7.20r</w:t>
      </w:r>
      <w:r>
        <w:t xml:space="preserve">.</w:t>
      </w:r>
    </w:p>
  </w:footnote>
  <w:footnote w:id="1493">
    <w:p>
      <w:pPr>
        <w:pStyle w:val="FootnoteText"/>
      </w:pPr>
      <w:r>
        <w:rPr>
          <w:rStyle w:val="FootnoteReference"/>
        </w:rPr>
        <w:footnoteRef/>
      </w:r>
      <w:r>
        <w:t xml:space="preserve">JE leaves space to complete the thought.</w:t>
      </w:r>
    </w:p>
  </w:footnote>
  <w:footnote w:id="1494">
    <w:p>
      <w:pPr>
        <w:pStyle w:val="FootnoteText"/>
      </w:pPr>
      <w:r>
        <w:rPr>
          <w:rStyle w:val="FootnoteReference"/>
        </w:rPr>
        <w:footnoteRef/>
      </w:r>
      <w:r>
        <w:rPr>
          <w:i/>
          <w:iCs/>
        </w:rPr>
        <w:t xml:space="preserve">7.20v</w:t>
      </w:r>
      <w:r>
        <w:t xml:space="preserve">.</w:t>
      </w:r>
    </w:p>
  </w:footnote>
  <w:footnote w:id="1495">
    <w:p>
      <w:pPr>
        <w:pStyle w:val="FootnoteText"/>
      </w:pPr>
      <w:r>
        <w:rPr>
          <w:rStyle w:val="FootnoteReference"/>
        </w:rPr>
        <w:footnoteRef/>
      </w:r>
      <w:r>
        <w:rPr>
          <w:i/>
          <w:iCs/>
        </w:rPr>
        <w:t xml:space="preserve">7.18r</w:t>
      </w:r>
      <w:r>
        <w:t xml:space="preserve">. JE turns back three leaves to continue his discussion.</w:t>
      </w:r>
    </w:p>
  </w:footnote>
  <w:footnote w:id="1496">
    <w:p>
      <w:pPr>
        <w:pStyle w:val="FootnoteText"/>
      </w:pPr>
      <w:r>
        <w:rPr>
          <w:rStyle w:val="FootnoteReference"/>
        </w:rPr>
        <w:footnoteRef/>
      </w:r>
      <w:r>
        <w:rPr>
          <w:i/>
          <w:iCs/>
        </w:rPr>
        <w:t xml:space="preserve">2</w:t>
      </w:r>
      <w:r>
        <w:t xml:space="preserve">.</w:t>
      </w:r>
    </w:p>
  </w:footnote>
  <w:footnote w:id="1497">
    <w:p>
      <w:pPr>
        <w:pStyle w:val="FootnoteText"/>
      </w:pPr>
      <w:r>
        <w:rPr>
          <w:rStyle w:val="FootnoteReference"/>
        </w:rPr>
        <w:footnoteRef/>
      </w:r>
      <w:r>
        <w:rPr>
          <w:i/>
          <w:iCs/>
        </w:rPr>
        <w:t xml:space="preserve">7.18v</w:t>
      </w:r>
      <w:r>
        <w:t xml:space="preserve">.</w:t>
      </w:r>
    </w:p>
  </w:footnote>
  <w:footnote w:id="1498">
    <w:p>
      <w:pPr>
        <w:pStyle w:val="FootnoteText"/>
      </w:pPr>
      <w:r>
        <w:rPr>
          <w:rStyle w:val="FootnoteReference"/>
        </w:rPr>
        <w:footnoteRef/>
      </w:r>
      <w:r>
        <w:t xml:space="preserve">See e.g. John 20:19.</w:t>
      </w:r>
    </w:p>
  </w:footnote>
  <w:footnote w:id="1499">
    <w:p>
      <w:pPr>
        <w:pStyle w:val="FootnoteText"/>
      </w:pPr>
      <w:r>
        <w:rPr>
          <w:rStyle w:val="FootnoteReference"/>
        </w:rPr>
        <w:footnoteRef/>
      </w:r>
      <w:r>
        <w:t xml:space="preserve">See e.g. John 20:26.</w:t>
      </w:r>
    </w:p>
  </w:footnote>
  <w:footnote w:id="1500">
    <w:p>
      <w:pPr>
        <w:pStyle w:val="FootnoteText"/>
      </w:pPr>
      <w:r>
        <w:rPr>
          <w:rStyle w:val="FootnoteReference"/>
        </w:rPr>
        <w:footnoteRef/>
      </w:r>
      <w:r>
        <w:t xml:space="preserve">See Acts 2:1–4.</w:t>
      </w:r>
    </w:p>
  </w:footnote>
  <w:footnote w:id="1501">
    <w:p>
      <w:pPr>
        <w:pStyle w:val="FootnoteText"/>
      </w:pPr>
      <w:r>
        <w:rPr>
          <w:rStyle w:val="FootnoteReference"/>
        </w:rPr>
        <w:footnoteRef/>
      </w:r>
      <w:r>
        <w:t xml:space="preserve">See Acts 20:7; 1 Corinthians 16:1–2; Revelation 1:10.</w:t>
      </w:r>
    </w:p>
  </w:footnote>
  <w:footnote w:id="1502">
    <w:p>
      <w:pPr>
        <w:pStyle w:val="FootnoteText"/>
      </w:pPr>
      <w:r>
        <w:rPr>
          <w:rStyle w:val="FootnoteReference"/>
        </w:rPr>
        <w:footnoteRef/>
      </w:r>
      <w:r>
        <w:rPr>
          <w:i/>
          <w:iCs/>
        </w:rPr>
        <w:t xml:space="preserve">3</w:t>
      </w:r>
      <w:r>
        <w:t xml:space="preserve">.</w:t>
      </w:r>
    </w:p>
  </w:footnote>
  <w:footnote w:id="1503">
    <w:p>
      <w:pPr>
        <w:pStyle w:val="FootnoteText"/>
      </w:pPr>
      <w:r>
        <w:rPr>
          <w:rStyle w:val="FootnoteReference"/>
        </w:rPr>
        <w:footnoteRef/>
      </w:r>
      <w:r>
        <w:rPr>
          <w:i/>
          <w:iCs/>
        </w:rPr>
        <w:t xml:space="preserve">7.19r</w:t>
      </w:r>
      <w:r>
        <w:t xml:space="preserve">.</w:t>
      </w:r>
    </w:p>
  </w:footnote>
  <w:footnote w:id="1504">
    <w:p>
      <w:pPr>
        <w:pStyle w:val="FootnoteText"/>
      </w:pPr>
      <w:r>
        <w:rPr>
          <w:rStyle w:val="FootnoteReference"/>
        </w:rPr>
        <w:footnoteRef/>
      </w:r>
      <w:r>
        <w:rPr>
          <w:i/>
          <w:iCs/>
        </w:rPr>
        <w:t xml:space="preserve">a</w:t>
      </w:r>
      <w:r>
        <w:t xml:space="preserve">.</w:t>
      </w:r>
    </w:p>
  </w:footnote>
  <w:footnote w:id="1505">
    <w:p>
      <w:pPr>
        <w:pStyle w:val="FootnoteText"/>
      </w:pPr>
      <w:r>
        <w:rPr>
          <w:rStyle w:val="FootnoteReference"/>
        </w:rPr>
        <w:footnoteRef/>
      </w:r>
      <w:r>
        <w:rPr>
          <w:i/>
          <w:iCs/>
        </w:rPr>
        <w:t xml:space="preserve">b</w:t>
      </w:r>
      <w:r>
        <w:t xml:space="preserve">.</w:t>
      </w:r>
    </w:p>
  </w:footnote>
  <w:footnote w:id="1506">
    <w:p>
      <w:pPr>
        <w:pStyle w:val="FootnoteText"/>
      </w:pPr>
      <w:r>
        <w:rPr>
          <w:rStyle w:val="FootnoteReference"/>
        </w:rPr>
        <w:footnoteRef/>
      </w:r>
      <w:r>
        <w:rPr>
          <w:i/>
          <w:iCs/>
        </w:rPr>
        <w:t xml:space="preserve">7.19v</w:t>
      </w:r>
      <w:r>
        <w:t xml:space="preserve">.</w:t>
      </w:r>
    </w:p>
  </w:footnote>
  <w:footnote w:id="1507">
    <w:p>
      <w:pPr>
        <w:pStyle w:val="FootnoteText"/>
      </w:pPr>
      <w:r>
        <w:rPr>
          <w:rStyle w:val="FootnoteReference"/>
        </w:rPr>
        <w:footnoteRef/>
      </w:r>
      <w:r>
        <w:rPr>
          <w:i/>
          <w:iCs/>
        </w:rPr>
        <w:t xml:space="preserve">c</w:t>
      </w:r>
      <w:r>
        <w:t xml:space="preserve">.</w:t>
      </w:r>
    </w:p>
  </w:footnote>
  <w:footnote w:id="1508">
    <w:p>
      <w:pPr>
        <w:pStyle w:val="FootnoteText"/>
      </w:pPr>
      <w:r>
        <w:rPr>
          <w:rStyle w:val="FootnoteReference"/>
        </w:rPr>
        <w:footnoteRef/>
      </w:r>
      <w:r>
        <w:rPr>
          <w:i/>
          <w:iCs/>
        </w:rPr>
        <w:t xml:space="preserve">7.20v</w:t>
      </w:r>
      <w:r>
        <w:t xml:space="preserve">. JE turns to the next leaf, verso, to continue his discussion.</w:t>
      </w:r>
    </w:p>
  </w:footnote>
  <w:footnote w:id="1509">
    <w:p>
      <w:pPr>
        <w:pStyle w:val="FootnoteText"/>
      </w:pPr>
      <w:r>
        <w:rPr>
          <w:rStyle w:val="FootnoteReference"/>
        </w:rPr>
        <w:footnoteRef/>
      </w:r>
      <w:r>
        <w:rPr>
          <w:i/>
          <w:iCs/>
        </w:rPr>
        <w:t xml:space="preserve">4</w:t>
      </w:r>
      <w:r>
        <w:t xml:space="preserve">.</w:t>
      </w:r>
    </w:p>
  </w:footnote>
  <w:footnote w:id="1510">
    <w:p>
      <w:pPr>
        <w:pStyle w:val="FootnoteText"/>
      </w:pPr>
      <w:r>
        <w:rPr>
          <w:rStyle w:val="FootnoteReference"/>
        </w:rPr>
        <w:footnoteRef/>
      </w:r>
      <w:r>
        <w:t xml:space="preserve">JE indicates intent to cite additional gifts. See Acts 2:1–13; and cf. Romans 12:4–6; 1 Corinthians 12:1–11, 1 Corinthians 12:28–30. The miraculous gifts of the apostles are narrated throughout Acts 2–19.</w:t>
      </w:r>
    </w:p>
  </w:footnote>
  <w:footnote w:id="1511">
    <w:p>
      <w:pPr>
        <w:pStyle w:val="FootnoteText"/>
      </w:pPr>
      <w:r>
        <w:rPr>
          <w:rStyle w:val="FootnoteReference"/>
        </w:rPr>
        <w:footnoteRef/>
      </w:r>
      <w:r>
        <w:t xml:space="preserve">JE's text here is illegible because of an inkblot. The reading given, and the construction of the paragraph, seem the most probable.</w:t>
      </w:r>
    </w:p>
  </w:footnote>
  <w:footnote w:id="1512">
    <w:p>
      <w:pPr>
        <w:pStyle w:val="FootnoteText"/>
      </w:pPr>
      <w:r>
        <w:rPr>
          <w:rStyle w:val="FootnoteReference"/>
        </w:rPr>
        <w:footnoteRef/>
      </w:r>
      <w:r>
        <w:t xml:space="preserve">Apparently JE would have supplied some paraphrase.</w:t>
      </w:r>
    </w:p>
  </w:footnote>
  <w:footnote w:id="1513">
    <w:p>
      <w:pPr>
        <w:pStyle w:val="FootnoteText"/>
      </w:pPr>
      <w:r>
        <w:rPr>
          <w:rStyle w:val="FootnoteReference"/>
        </w:rPr>
        <w:footnoteRef/>
      </w:r>
      <w:r>
        <w:rPr>
          <w:i/>
          <w:iCs/>
        </w:rPr>
        <w:t xml:space="preserve">7.21r</w:t>
      </w:r>
      <w:r>
        <w:t xml:space="preserve">.</w:t>
      </w:r>
    </w:p>
  </w:footnote>
  <w:footnote w:id="1514">
    <w:p>
      <w:pPr>
        <w:pStyle w:val="FootnoteText"/>
      </w:pPr>
      <w:r>
        <w:rPr>
          <w:rStyle w:val="FootnoteReference"/>
        </w:rPr>
        <w:footnoteRef/>
      </w:r>
      <w:r>
        <w:t xml:space="preserve">A reference to the preceding verses, Numbers 11:26–28. Apparently JE intended to make fuller reference to these verses.</w:t>
      </w:r>
    </w:p>
  </w:footnote>
  <w:footnote w:id="1515">
    <w:p>
      <w:pPr>
        <w:pStyle w:val="FootnoteText"/>
      </w:pPr>
      <w:r>
        <w:rPr>
          <w:rStyle w:val="FootnoteReference"/>
        </w:rPr>
        <w:footnoteRef/>
      </w:r>
      <w:r>
        <w:rPr>
          <w:i/>
          <w:iCs/>
        </w:rPr>
        <w:t xml:space="preserve">7.21v</w:t>
      </w:r>
      <w:r>
        <w:t xml:space="preserve">.</w:t>
      </w:r>
    </w:p>
  </w:footnote>
  <w:footnote w:id="1516">
    <w:p>
      <w:pPr>
        <w:pStyle w:val="FootnoteText"/>
      </w:pPr>
      <w:r>
        <w:rPr>
          <w:rStyle w:val="FootnoteReference"/>
        </w:rPr>
        <w:footnoteRef/>
      </w:r>
      <w:r>
        <w:rPr>
          <w:i/>
          <w:iCs/>
        </w:rPr>
        <w:t xml:space="preserve">5</w:t>
      </w:r>
      <w:r>
        <w:t xml:space="preserve">.</w:t>
      </w:r>
    </w:p>
  </w:footnote>
  <w:footnote w:id="1517">
    <w:p>
      <w:pPr>
        <w:pStyle w:val="FootnoteText"/>
      </w:pPr>
      <w:r>
        <w:rPr>
          <w:rStyle w:val="FootnoteReference"/>
        </w:rPr>
        <w:footnoteRef/>
      </w:r>
      <w:r>
        <w:t xml:space="preserve">See Exodus 34:30–35.</w:t>
      </w:r>
    </w:p>
  </w:footnote>
  <w:footnote w:id="1518">
    <w:p>
      <w:pPr>
        <w:pStyle w:val="FootnoteText"/>
      </w:pPr>
      <w:r>
        <w:rPr>
          <w:rStyle w:val="FootnoteReference"/>
        </w:rPr>
        <w:footnoteRef/>
      </w:r>
      <w:r>
        <w:t xml:space="preserve">See Matthew 27:51; Mark 15:38; Luke 23:45.</w:t>
      </w:r>
    </w:p>
  </w:footnote>
  <w:footnote w:id="1519">
    <w:p>
      <w:pPr>
        <w:pStyle w:val="FootnoteText"/>
      </w:pPr>
      <w:r>
        <w:rPr>
          <w:rStyle w:val="FootnoteReference"/>
        </w:rPr>
        <w:footnoteRef/>
      </w:r>
      <w:r>
        <w:rPr>
          <w:i/>
          <w:iCs/>
        </w:rPr>
        <w:t xml:space="preserve">7.22r</w:t>
      </w:r>
      <w:r>
        <w:t xml:space="preserve">. Leaf breaks at "Ephesians 3:3."</w:t>
      </w:r>
    </w:p>
  </w:footnote>
  <w:footnote w:id="1520">
    <w:p>
      <w:pPr>
        <w:pStyle w:val="FootnoteText"/>
      </w:pPr>
      <w:r>
        <w:rPr>
          <w:rStyle w:val="FootnoteReference"/>
        </w:rPr>
        <w:footnoteRef/>
      </w:r>
      <w:r>
        <w:t xml:space="preserve">JE indicates intent to complete this quotation, which, as given, includes the initial clause of Romans 16:26.</w:t>
      </w:r>
    </w:p>
  </w:footnote>
  <w:footnote w:id="1521">
    <w:p>
      <w:pPr>
        <w:pStyle w:val="FootnoteText"/>
      </w:pPr>
      <w:r>
        <w:rPr>
          <w:rStyle w:val="FootnoteReference"/>
        </w:rPr>
        <w:footnoteRef/>
      </w:r>
      <w:r>
        <w:t xml:space="preserve">JE deletes a short, roughly sketched section with a vertical line. It reads, "As future world was but little made known / under the Old Testament in comparison———/now plainly———told the nature / of it. Life and immortality / are brought to light by the gospel." This is a paraphrase of 2 Timothy 1:10. the blanks are JE's.</w:t>
      </w:r>
    </w:p>
  </w:footnote>
  <w:footnote w:id="1522">
    <w:p>
      <w:pPr>
        <w:pStyle w:val="FootnoteText"/>
      </w:pPr>
      <w:r>
        <w:rPr>
          <w:rStyle w:val="FootnoteReference"/>
        </w:rPr>
        <w:footnoteRef/>
      </w:r>
      <w:r>
        <w:rPr>
          <w:i/>
          <w:iCs/>
        </w:rPr>
        <w:t xml:space="preserve">7.22v</w:t>
      </w:r>
      <w:r>
        <w:t xml:space="preserve">.</w:t>
      </w:r>
    </w:p>
  </w:footnote>
  <w:footnote w:id="1523">
    <w:p>
      <w:pPr>
        <w:pStyle w:val="FootnoteText"/>
      </w:pPr>
      <w:r>
        <w:rPr>
          <w:rStyle w:val="FootnoteReference"/>
        </w:rPr>
        <w:footnoteRef/>
      </w:r>
      <w:r>
        <w:t xml:space="preserve">See Matthew 9:17; Mark 2:22; Luke 5:37.</w:t>
      </w:r>
    </w:p>
  </w:footnote>
  <w:footnote w:id="1524">
    <w:p>
      <w:pPr>
        <w:pStyle w:val="FootnoteText"/>
      </w:pPr>
      <w:r>
        <w:rPr>
          <w:rStyle w:val="FootnoteReference"/>
        </w:rPr>
        <w:footnoteRef/>
      </w:r>
      <w:r>
        <w:rPr>
          <w:i/>
          <w:iCs/>
        </w:rPr>
        <w:t xml:space="preserve">7.23r</w:t>
      </w:r>
      <w:r>
        <w:t xml:space="preserve">.</w:t>
      </w:r>
    </w:p>
  </w:footnote>
  <w:footnote w:id="1525">
    <w:p>
      <w:pPr>
        <w:pStyle w:val="FootnoteText"/>
      </w:pPr>
      <w:r>
        <w:rPr>
          <w:rStyle w:val="FootnoteReference"/>
        </w:rPr>
        <w:footnoteRef/>
      </w:r>
      <w:r>
        <w:rPr>
          <w:i/>
          <w:iCs/>
        </w:rPr>
        <w:t xml:space="preserve">6</w:t>
      </w:r>
      <w:r>
        <w:t xml:space="preserve">.</w:t>
      </w:r>
    </w:p>
  </w:footnote>
  <w:footnote w:id="1526">
    <w:p>
      <w:pPr>
        <w:pStyle w:val="FootnoteText"/>
      </w:pPr>
      <w:r>
        <w:rPr>
          <w:rStyle w:val="FootnoteReference"/>
        </w:rPr>
        <w:footnoteRef/>
      </w:r>
      <w:r>
        <w:t xml:space="preserve">See Acts 6:1–6. JE here makes allusion to the sermon series he had delivered in the preceding year, 1738, based on St. Paul's Hymn to Love in 1 Corinthians 13, which he titled </w:t>
      </w:r>
      <w:r>
        <w:rPr>
          <w:i/>
          <w:iCs/>
        </w:rPr>
        <w:t xml:space="preserve">Charity and Its Fruits</w:t>
      </w:r>
      <w:r>
        <w:t xml:space="preserve">. See </w:t>
      </w:r>
      <w:r>
        <w:rPr>
          <w:i/>
          <w:iCs/>
        </w:rPr>
        <w:t xml:space="preserve">Works</w:t>
      </w:r>
      <w:r>
        <w:t xml:space="preserve"> (Yale ed.), </w:t>
      </w:r>
      <w:r>
        <w:rPr>
          <w:i/>
          <w:iCs/>
        </w:rPr>
        <w:t xml:space="preserve">8</w:t>
      </w:r>
      <w:r>
        <w:t xml:space="preserve">, </w:t>
      </w:r>
      <w:r>
        <w:rPr>
          <w:i/>
          <w:iCs/>
        </w:rPr>
        <w:t xml:space="preserve">Ethical Writings</w:t>
      </w:r>
      <w:r>
        <w:t xml:space="preserve">, ed. Paul Ramsey.</w:t>
      </w:r>
    </w:p>
  </w:footnote>
  <w:footnote w:id="1527">
    <w:p>
      <w:pPr>
        <w:pStyle w:val="FootnoteText"/>
      </w:pPr>
      <w:r>
        <w:rPr>
          <w:rStyle w:val="FootnoteReference"/>
        </w:rPr>
        <w:footnoteRef/>
      </w:r>
      <w:r>
        <w:rPr>
          <w:i/>
          <w:iCs/>
        </w:rPr>
        <w:t xml:space="preserve">7</w:t>
      </w:r>
      <w:r>
        <w:t xml:space="preserve">.</w:t>
      </w:r>
    </w:p>
  </w:footnote>
  <w:footnote w:id="1528">
    <w:p>
      <w:pPr>
        <w:pStyle w:val="FootnoteText"/>
      </w:pPr>
      <w:r>
        <w:rPr>
          <w:rStyle w:val="FootnoteReference"/>
        </w:rPr>
        <w:footnoteRef/>
      </w:r>
      <w:r>
        <w:rPr>
          <w:i/>
          <w:iCs/>
        </w:rPr>
        <w:t xml:space="preserve">7.23v</w:t>
      </w:r>
      <w:r>
        <w:t xml:space="preserve">.</w:t>
      </w:r>
    </w:p>
  </w:footnote>
  <w:footnote w:id="1529">
    <w:p>
      <w:pPr>
        <w:pStyle w:val="FootnoteText"/>
      </w:pPr>
      <w:r>
        <w:rPr>
          <w:rStyle w:val="FootnoteReference"/>
        </w:rPr>
        <w:footnoteRef/>
      </w:r>
      <w:r>
        <w:t xml:space="preserve">See Acts 9:1–20.</w:t>
      </w:r>
    </w:p>
  </w:footnote>
  <w:footnote w:id="1530">
    <w:p>
      <w:pPr>
        <w:pStyle w:val="FootnoteText"/>
      </w:pPr>
      <w:r>
        <w:rPr>
          <w:rStyle w:val="FootnoteReference"/>
        </w:rPr>
        <w:footnoteRef/>
      </w:r>
      <w:r>
        <w:t xml:space="preserve">See, among the many possible references, Acts 14:27; Acts 21:17–29; Ephesians 3:1–8.</w:t>
      </w:r>
    </w:p>
  </w:footnote>
  <w:footnote w:id="1531">
    <w:p>
      <w:pPr>
        <w:pStyle w:val="FootnoteText"/>
      </w:pPr>
      <w:r>
        <w:rPr>
          <w:rStyle w:val="FootnoteReference"/>
        </w:rPr>
        <w:footnoteRef/>
      </w:r>
      <w:r>
        <w:t xml:space="preserve">JE's usage reflects the older meaning, "put to good use."</w:t>
      </w:r>
    </w:p>
  </w:footnote>
  <w:footnote w:id="1532">
    <w:p>
      <w:pPr>
        <w:pStyle w:val="FootnoteText"/>
      </w:pPr>
      <w:r>
        <w:rPr>
          <w:rStyle w:val="FootnoteReference"/>
        </w:rPr>
        <w:footnoteRef/>
      </w:r>
      <w:r>
        <w:rPr>
          <w:i/>
          <w:iCs/>
        </w:rPr>
        <w:t xml:space="preserve">8</w:t>
      </w:r>
      <w:r>
        <w:t xml:space="preserve">.</w:t>
      </w:r>
    </w:p>
  </w:footnote>
  <w:footnote w:id="1533">
    <w:p>
      <w:pPr>
        <w:pStyle w:val="FootnoteText"/>
      </w:pPr>
      <w:r>
        <w:rPr>
          <w:rStyle w:val="FootnoteReference"/>
        </w:rPr>
        <w:footnoteRef/>
      </w:r>
      <w:r>
        <w:rPr>
          <w:i/>
          <w:iCs/>
        </w:rPr>
        <w:t xml:space="preserve">7.24r</w:t>
      </w:r>
      <w:r>
        <w:t xml:space="preserve">.</w:t>
      </w:r>
    </w:p>
  </w:footnote>
  <w:footnote w:id="1534">
    <w:p>
      <w:pPr>
        <w:pStyle w:val="FootnoteText"/>
      </w:pPr>
      <w:r>
        <w:rPr>
          <w:rStyle w:val="FootnoteReference"/>
        </w:rPr>
        <w:footnoteRef/>
      </w:r>
      <w:r>
        <w:t xml:space="preserve">Acts 15:1–29.</w:t>
      </w:r>
    </w:p>
  </w:footnote>
  <w:footnote w:id="1535">
    <w:p>
      <w:pPr>
        <w:pStyle w:val="FootnoteText"/>
      </w:pPr>
      <w:r>
        <w:rPr>
          <w:rStyle w:val="FootnoteReference"/>
        </w:rPr>
        <w:footnoteRef/>
      </w:r>
      <w:r>
        <w:rPr>
          <w:i/>
          <w:iCs/>
        </w:rPr>
        <w:t xml:space="preserve">9</w:t>
      </w:r>
      <w:r>
        <w:t xml:space="preserve">.</w:t>
      </w:r>
    </w:p>
  </w:footnote>
  <w:footnote w:id="1536">
    <w:p>
      <w:pPr>
        <w:pStyle w:val="FootnoteText"/>
      </w:pPr>
      <w:r>
        <w:rPr>
          <w:rStyle w:val="FootnoteReference"/>
        </w:rPr>
        <w:footnoteRef/>
      </w:r>
      <w:r>
        <w:rPr>
          <w:i/>
          <w:iCs/>
        </w:rPr>
        <w:t xml:space="preserve">7.24v</w:t>
      </w:r>
      <w:r>
        <w:t xml:space="preserve">.</w:t>
      </w:r>
    </w:p>
  </w:footnote>
  <w:footnote w:id="1537">
    <w:p>
      <w:pPr>
        <w:pStyle w:val="FootnoteText"/>
      </w:pPr>
      <w:r>
        <w:rPr>
          <w:rStyle w:val="FootnoteReference"/>
        </w:rPr>
        <w:footnoteRef/>
      </w:r>
      <w:r>
        <w:t xml:space="preserve">JE's text reads 16:37, and has been changed accordingly.</w:t>
      </w:r>
    </w:p>
  </w:footnote>
  <w:footnote w:id="1538">
    <w:p>
      <w:pPr>
        <w:pStyle w:val="FootnoteText"/>
      </w:pPr>
      <w:r>
        <w:rPr>
          <w:rStyle w:val="FootnoteReference"/>
        </w:rPr>
        <w:footnoteRef/>
      </w:r>
      <w:r>
        <w:rPr>
          <w:i/>
          <w:iCs/>
        </w:rPr>
        <w:t xml:space="preserve">7.25r</w:t>
      </w:r>
      <w:r>
        <w:t xml:space="preserve">.</w:t>
      </w:r>
    </w:p>
  </w:footnote>
  <w:footnote w:id="1539">
    <w:p>
      <w:pPr>
        <w:pStyle w:val="FootnoteText"/>
      </w:pPr>
      <w:r>
        <w:rPr>
          <w:rStyle w:val="FootnoteReference"/>
        </w:rPr>
        <w:footnoteRef/>
      </w:r>
      <w:r>
        <w:t xml:space="preserve">JE's text seems clearly to read "travails" rather than "travels" although the latter would be as appropriate, if not more so.</w:t>
      </w:r>
    </w:p>
  </w:footnote>
  <w:footnote w:id="1540">
    <w:p>
      <w:pPr>
        <w:pStyle w:val="FootnoteText"/>
      </w:pPr>
      <w:r>
        <w:rPr>
          <w:rStyle w:val="FootnoteReference"/>
        </w:rPr>
        <w:footnoteRef/>
      </w:r>
      <w:r>
        <w:t xml:space="preserve">See Acts 16:10–12.</w:t>
      </w:r>
    </w:p>
  </w:footnote>
  <w:footnote w:id="1541">
    <w:p>
      <w:pPr>
        <w:pStyle w:val="FootnoteText"/>
      </w:pPr>
      <w:r>
        <w:rPr>
          <w:rStyle w:val="FootnoteReference"/>
        </w:rPr>
        <w:footnoteRef/>
      </w:r>
      <w:r>
        <w:rPr>
          <w:i/>
          <w:iCs/>
        </w:rPr>
        <w:t xml:space="preserve">7.25v</w:t>
      </w:r>
      <w:r>
        <w:t xml:space="preserve">.</w:t>
      </w:r>
    </w:p>
  </w:footnote>
  <w:footnote w:id="1542">
    <w:p>
      <w:pPr>
        <w:pStyle w:val="FootnoteText"/>
      </w:pPr>
      <w:r>
        <w:rPr>
          <w:rStyle w:val="FootnoteReference"/>
        </w:rPr>
        <w:footnoteRef/>
      </w:r>
      <w:r>
        <w:rPr>
          <w:i/>
          <w:iCs/>
        </w:rPr>
        <w:t xml:space="preserve">7.26r</w:t>
      </w:r>
      <w:r>
        <w:t xml:space="preserve">.</w:t>
      </w:r>
    </w:p>
  </w:footnote>
  <w:footnote w:id="1543">
    <w:p>
      <w:pPr>
        <w:pStyle w:val="FootnoteText"/>
      </w:pPr>
      <w:r>
        <w:rPr>
          <w:rStyle w:val="FootnoteReference"/>
        </w:rPr>
        <w:footnoteRef/>
      </w:r>
      <w:r>
        <w:t xml:space="preserve">See Revelation 22:18–19.</w:t>
      </w:r>
    </w:p>
  </w:footnote>
  <w:footnote w:id="1544">
    <w:p>
      <w:pPr>
        <w:pStyle w:val="FootnoteText"/>
      </w:pPr>
      <w:r>
        <w:rPr>
          <w:rStyle w:val="FootnoteReference"/>
        </w:rPr>
        <w:footnoteRef/>
      </w:r>
      <w:r>
        <w:rPr>
          <w:i/>
          <w:iCs/>
        </w:rPr>
        <w:t xml:space="preserve">8.1r</w:t>
      </w:r>
      <w:r>
        <w:t xml:space="preserve">.</w:t>
      </w:r>
    </w:p>
  </w:footnote>
  <w:footnote w:id="1545">
    <w:p>
      <w:pPr>
        <w:pStyle w:val="FootnoteText"/>
      </w:pPr>
      <w:r>
        <w:rPr>
          <w:rStyle w:val="FootnoteReference"/>
        </w:rPr>
        <w:footnoteRef/>
      </w:r>
      <w:r>
        <w:t xml:space="preserve">JE's comments introducing Sermon 21 indicate that Sermon 20 was composed to be delivered the forenoon of the day Sermon 21 was scheduled to be given in the afternoon, so that they formed a pair.</w:t>
      </w:r>
    </w:p>
  </w:footnote>
  <w:footnote w:id="1546">
    <w:p>
      <w:pPr>
        <w:pStyle w:val="FootnoteText"/>
      </w:pPr>
      <w:r>
        <w:rPr>
          <w:rStyle w:val="FootnoteReference"/>
        </w:rPr>
        <w:footnoteRef/>
      </w:r>
      <w:r>
        <w:rPr>
          <w:i/>
          <w:iCs/>
        </w:rPr>
        <w:t xml:space="preserve">8.1v</w:t>
      </w:r>
      <w:r>
        <w:t xml:space="preserve">.</w:t>
      </w:r>
    </w:p>
  </w:footnote>
  <w:footnote w:id="1547">
    <w:p>
      <w:pPr>
        <w:pStyle w:val="FootnoteText"/>
      </w:pPr>
      <w:r>
        <w:rPr>
          <w:rStyle w:val="FootnoteReference"/>
        </w:rPr>
        <w:footnoteRef/>
      </w:r>
      <w:r>
        <w:rPr>
          <w:i/>
          <w:iCs/>
        </w:rPr>
        <w:t xml:space="preserve">(b.)</w:t>
      </w:r>
      <w:r>
        <w:t xml:space="preserve">.</w:t>
      </w:r>
    </w:p>
  </w:footnote>
  <w:footnote w:id="1548">
    <w:p>
      <w:pPr>
        <w:pStyle w:val="FootnoteText"/>
      </w:pPr>
      <w:r>
        <w:rPr>
          <w:rStyle w:val="FootnoteReference"/>
        </w:rPr>
        <w:footnoteRef/>
      </w:r>
      <w:r>
        <w:rPr>
          <w:i/>
          <w:iCs/>
        </w:rPr>
        <w:t xml:space="preserve">8.2r</w:t>
      </w:r>
      <w:r>
        <w:t xml:space="preserve">.</w:t>
      </w:r>
    </w:p>
  </w:footnote>
  <w:footnote w:id="1549">
    <w:p>
      <w:pPr>
        <w:pStyle w:val="FootnoteText"/>
      </w:pPr>
      <w:r>
        <w:rPr>
          <w:rStyle w:val="FootnoteReference"/>
        </w:rPr>
        <w:footnoteRef/>
      </w:r>
      <w:r>
        <w:t xml:space="preserve">A note in the text at this point reads, "see Images of divine things no. 108." This entry is JE's reflection upon the image of bread-corn and its renewal after the winter season. He applies this image to the revival of the church after the destruction of Antichrist. See his </w:t>
      </w:r>
      <w:r>
        <w:rPr>
          <w:i/>
          <w:iCs/>
        </w:rPr>
        <w:t xml:space="preserve">Images or Shadows of Divine Things</w:t>
      </w:r>
      <w:r>
        <w:t xml:space="preserve">, ed. Perry Miller (New Haven, Yale Univ. Press, 1948), to be reissued in </w:t>
      </w:r>
      <w:r>
        <w:rPr>
          <w:i/>
          <w:iCs/>
        </w:rPr>
        <w:t xml:space="preserve">Works</w:t>
      </w:r>
      <w:r>
        <w:t xml:space="preserve"> (Yale ed.), ed. Wallace Anderson.</w:t>
      </w:r>
    </w:p>
  </w:footnote>
  <w:footnote w:id="1550">
    <w:p>
      <w:pPr>
        <w:pStyle w:val="FootnoteText"/>
      </w:pPr>
      <w:r>
        <w:rPr>
          <w:rStyle w:val="FootnoteReference"/>
        </w:rPr>
        <w:footnoteRef/>
      </w:r>
      <w:r>
        <w:rPr>
          <w:i/>
          <w:iCs/>
        </w:rPr>
        <w:t xml:space="preserve">1</w:t>
      </w:r>
      <w:r>
        <w:t xml:space="preserve">.</w:t>
      </w:r>
    </w:p>
  </w:footnote>
  <w:footnote w:id="1551">
    <w:p>
      <w:pPr>
        <w:pStyle w:val="FootnoteText"/>
      </w:pPr>
      <w:r>
        <w:rPr>
          <w:rStyle w:val="FootnoteReference"/>
        </w:rPr>
        <w:footnoteRef/>
      </w:r>
      <w:r>
        <w:rPr>
          <w:i/>
          <w:iCs/>
        </w:rPr>
        <w:t xml:space="preserve">8.2v</w:t>
      </w:r>
      <w:r>
        <w:t xml:space="preserve">.</w:t>
      </w:r>
    </w:p>
  </w:footnote>
  <w:footnote w:id="1552">
    <w:p>
      <w:pPr>
        <w:pStyle w:val="FootnoteText"/>
      </w:pPr>
      <w:r>
        <w:rPr>
          <w:rStyle w:val="FootnoteReference"/>
        </w:rPr>
        <w:footnoteRef/>
      </w:r>
      <w:r>
        <w:t xml:space="preserve">The precise citation is Revelation 7:1.</w:t>
      </w:r>
    </w:p>
  </w:footnote>
  <w:footnote w:id="1553">
    <w:p>
      <w:pPr>
        <w:pStyle w:val="FootnoteText"/>
      </w:pPr>
      <w:r>
        <w:rPr>
          <w:rStyle w:val="FootnoteReference"/>
        </w:rPr>
        <w:footnoteRef/>
      </w:r>
      <w:r>
        <w:rPr>
          <w:i/>
          <w:iCs/>
        </w:rPr>
        <w:t xml:space="preserve">8.3r</w:t>
      </w:r>
      <w:r>
        <w:t xml:space="preserve">.</w:t>
      </w:r>
    </w:p>
  </w:footnote>
  <w:footnote w:id="1554">
    <w:p>
      <w:pPr>
        <w:pStyle w:val="FootnoteText"/>
      </w:pPr>
      <w:r>
        <w:rPr>
          <w:rStyle w:val="FootnoteReference"/>
        </w:rPr>
        <w:footnoteRef/>
      </w:r>
      <w:r>
        <w:t xml:space="preserve">JE may have added this quotation after initially drafting the sermon.</w:t>
      </w:r>
    </w:p>
  </w:footnote>
  <w:footnote w:id="1555">
    <w:p>
      <w:pPr>
        <w:pStyle w:val="FootnoteText"/>
      </w:pPr>
      <w:r>
        <w:rPr>
          <w:rStyle w:val="FootnoteReference"/>
        </w:rPr>
        <w:footnoteRef/>
      </w:r>
      <w:r>
        <w:rPr>
          <w:i/>
          <w:iCs/>
        </w:rPr>
        <w:t xml:space="preserve">8.3v</w:t>
      </w:r>
      <w:r>
        <w:t xml:space="preserve">.</w:t>
      </w:r>
    </w:p>
  </w:footnote>
  <w:footnote w:id="1556">
    <w:p>
      <w:pPr>
        <w:pStyle w:val="FootnoteText"/>
      </w:pPr>
      <w:r>
        <w:rPr>
          <w:rStyle w:val="FootnoteReference"/>
        </w:rPr>
        <w:footnoteRef/>
      </w:r>
      <w:r>
        <w:t xml:space="preserve">JE continues with Revelation 6:11.</w:t>
      </w:r>
    </w:p>
  </w:footnote>
  <w:footnote w:id="1557">
    <w:p>
      <w:pPr>
        <w:pStyle w:val="FootnoteText"/>
      </w:pPr>
      <w:r>
        <w:rPr>
          <w:rStyle w:val="FootnoteReference"/>
        </w:rPr>
        <w:footnoteRef/>
      </w:r>
      <w:r>
        <w:t xml:space="preserve">For the church as the spiritual Jerusalem, see Hebrews 12:22.</w:t>
      </w:r>
    </w:p>
  </w:footnote>
  <w:footnote w:id="1558">
    <w:p>
      <w:pPr>
        <w:pStyle w:val="FootnoteText"/>
      </w:pPr>
      <w:r>
        <w:rPr>
          <w:rStyle w:val="FootnoteReference"/>
        </w:rPr>
        <w:footnoteRef/>
      </w:r>
      <w:r>
        <w:rPr>
          <w:i/>
          <w:iCs/>
        </w:rPr>
        <w:t xml:space="preserve">8.4r</w:t>
      </w:r>
      <w:r>
        <w:t xml:space="preserve">.</w:t>
      </w:r>
    </w:p>
  </w:footnote>
  <w:footnote w:id="1559">
    <w:p>
      <w:pPr>
        <w:pStyle w:val="FootnoteText"/>
      </w:pPr>
      <w:r>
        <w:rPr>
          <w:rStyle w:val="FootnoteReference"/>
        </w:rPr>
        <w:footnoteRef/>
      </w:r>
      <w:r>
        <w:t xml:space="preserve">JE interprets the "Babylon" of Revelation 17 as ancient Rome.</w:t>
      </w:r>
    </w:p>
  </w:footnote>
  <w:footnote w:id="1560">
    <w:p>
      <w:pPr>
        <w:pStyle w:val="FootnoteText"/>
      </w:pPr>
      <w:r>
        <w:rPr>
          <w:rStyle w:val="FootnoteReference"/>
        </w:rPr>
        <w:footnoteRef/>
      </w:r>
      <w:r>
        <w:rPr>
          <w:i/>
          <w:iCs/>
        </w:rPr>
        <w:t xml:space="preserve">8.4v</w:t>
      </w:r>
      <w:r>
        <w:t xml:space="preserve">.</w:t>
      </w:r>
    </w:p>
  </w:footnote>
  <w:footnote w:id="1561">
    <w:p>
      <w:pPr>
        <w:pStyle w:val="FootnoteText"/>
      </w:pPr>
      <w:r>
        <w:rPr>
          <w:rStyle w:val="FootnoteReference"/>
        </w:rPr>
        <w:footnoteRef/>
      </w:r>
      <w:r>
        <w:rPr>
          <w:i/>
          <w:iCs/>
        </w:rPr>
        <w:t xml:space="preserve">a</w:t>
      </w:r>
      <w:r>
        <w:t xml:space="preserve">.</w:t>
      </w:r>
    </w:p>
  </w:footnote>
  <w:footnote w:id="1562">
    <w:p>
      <w:pPr>
        <w:pStyle w:val="FootnoteText"/>
      </w:pPr>
      <w:r>
        <w:rPr>
          <w:rStyle w:val="FootnoteReference"/>
        </w:rPr>
        <w:footnoteRef/>
      </w:r>
      <w:r>
        <w:rPr>
          <w:i/>
          <w:iCs/>
        </w:rPr>
        <w:t xml:space="preserve">(1.)</w:t>
      </w:r>
      <w:r>
        <w:t xml:space="preserve">.</w:t>
      </w:r>
    </w:p>
  </w:footnote>
  <w:footnote w:id="1563">
    <w:p>
      <w:pPr>
        <w:pStyle w:val="FootnoteText"/>
      </w:pPr>
      <w:r>
        <w:rPr>
          <w:rStyle w:val="FootnoteReference"/>
        </w:rPr>
        <w:footnoteRef/>
      </w:r>
      <w:r>
        <w:t xml:space="preserve">"And result" is interlineated, certainly in a different ink and probably by a different hand. The language of this passage echoes Hebrews 9:12.</w:t>
      </w:r>
    </w:p>
  </w:footnote>
  <w:footnote w:id="1564">
    <w:p>
      <w:pPr>
        <w:pStyle w:val="FootnoteText"/>
      </w:pPr>
      <w:r>
        <w:rPr>
          <w:rStyle w:val="FootnoteReference"/>
        </w:rPr>
        <w:footnoteRef/>
      </w:r>
      <w:r>
        <w:t xml:space="preserve">Luke 10:18.</w:t>
      </w:r>
    </w:p>
  </w:footnote>
  <w:footnote w:id="1565">
    <w:p>
      <w:pPr>
        <w:pStyle w:val="FootnoteText"/>
      </w:pPr>
      <w:r>
        <w:rPr>
          <w:rStyle w:val="FootnoteReference"/>
        </w:rPr>
        <w:footnoteRef/>
      </w:r>
      <w:r>
        <w:rPr>
          <w:i/>
          <w:iCs/>
        </w:rPr>
        <w:t xml:space="preserve">8.5r</w:t>
      </w:r>
      <w:r>
        <w:t xml:space="preserve">.</w:t>
      </w:r>
    </w:p>
  </w:footnote>
  <w:footnote w:id="1566">
    <w:p>
      <w:pPr>
        <w:pStyle w:val="FootnoteText"/>
      </w:pPr>
      <w:r>
        <w:rPr>
          <w:rStyle w:val="FootnoteReference"/>
        </w:rPr>
        <w:footnoteRef/>
      </w:r>
      <w:r>
        <w:rPr>
          <w:i/>
          <w:iCs/>
        </w:rPr>
        <w:t xml:space="preserve">8.5v</w:t>
      </w:r>
      <w:r>
        <w:t xml:space="preserve">. The promise was given in Isaiah 53:10.</w:t>
      </w:r>
    </w:p>
  </w:footnote>
  <w:footnote w:id="1567">
    <w:p>
      <w:pPr>
        <w:pStyle w:val="FootnoteText"/>
      </w:pPr>
      <w:r>
        <w:rPr>
          <w:rStyle w:val="FootnoteReference"/>
        </w:rPr>
        <w:footnoteRef/>
      </w:r>
      <w:r>
        <w:rPr>
          <w:i/>
          <w:iCs/>
        </w:rPr>
        <w:t xml:space="preserve">(a.)</w:t>
      </w:r>
      <w:r>
        <w:t xml:space="preserve">.</w:t>
      </w:r>
    </w:p>
  </w:footnote>
  <w:footnote w:id="1568">
    <w:p>
      <w:pPr>
        <w:pStyle w:val="FootnoteText"/>
      </w:pPr>
      <w:r>
        <w:rPr>
          <w:rStyle w:val="FootnoteReference"/>
        </w:rPr>
        <w:footnoteRef/>
      </w:r>
      <w:r>
        <w:t xml:space="preserve">JE is referring to passages in 1 Kings 12–14, 1 Kings 16; and 2 Chronicles 11.</w:t>
      </w:r>
    </w:p>
  </w:footnote>
  <w:footnote w:id="1569">
    <w:p>
      <w:pPr>
        <w:pStyle w:val="FootnoteText"/>
      </w:pPr>
      <w:r>
        <w:rPr>
          <w:rStyle w:val="FootnoteReference"/>
        </w:rPr>
        <w:footnoteRef/>
      </w:r>
      <w:r>
        <w:t xml:space="preserve">JE paraphrases Romans 11:4 and 1 Kings 19:18.</w:t>
      </w:r>
    </w:p>
  </w:footnote>
  <w:footnote w:id="1570">
    <w:p>
      <w:pPr>
        <w:pStyle w:val="FootnoteText"/>
      </w:pPr>
      <w:r>
        <w:rPr>
          <w:rStyle w:val="FootnoteReference"/>
        </w:rPr>
        <w:footnoteRef/>
      </w:r>
      <w:r>
        <w:rPr>
          <w:i/>
          <w:iCs/>
        </w:rPr>
        <w:t xml:space="preserve">8.6r</w:t>
      </w:r>
      <w:r>
        <w:t xml:space="preserve">.</w:t>
      </w:r>
    </w:p>
  </w:footnote>
  <w:footnote w:id="1571">
    <w:p>
      <w:pPr>
        <w:pStyle w:val="FootnoteText"/>
      </w:pPr>
      <w:r>
        <w:rPr>
          <w:rStyle w:val="FootnoteReference"/>
        </w:rPr>
        <w:footnoteRef/>
      </w:r>
      <w:r>
        <w:t xml:space="preserve">JE indicates intent to complete his formulaic construction.</w:t>
      </w:r>
    </w:p>
  </w:footnote>
  <w:footnote w:id="1572">
    <w:p>
      <w:pPr>
        <w:pStyle w:val="FootnoteText"/>
      </w:pPr>
      <w:r>
        <w:rPr>
          <w:rStyle w:val="FootnoteReference"/>
        </w:rPr>
        <w:footnoteRef/>
      </w:r>
      <w:r>
        <w:t xml:space="preserve">JE originally wrote "the Apostle" but replaced it with "the Holy Ghost," reflecting both his emphasis on the pouring out of the Spirit and Paul's quotation of Isaiah, given below.</w:t>
      </w:r>
    </w:p>
  </w:footnote>
  <w:footnote w:id="1573">
    <w:p>
      <w:pPr>
        <w:pStyle w:val="FootnoteText"/>
      </w:pPr>
      <w:r>
        <w:rPr>
          <w:rStyle w:val="FootnoteReference"/>
        </w:rPr>
        <w:footnoteRef/>
      </w:r>
      <w:r>
        <w:t xml:space="preserve">JE notes this verse's dependence on Isaiah 10:22. See also Romans 11:5.</w:t>
      </w:r>
    </w:p>
  </w:footnote>
  <w:footnote w:id="1574">
    <w:p>
      <w:pPr>
        <w:pStyle w:val="FootnoteText"/>
      </w:pPr>
      <w:r>
        <w:rPr>
          <w:rStyle w:val="FootnoteReference"/>
        </w:rPr>
        <w:footnoteRef/>
      </w:r>
      <w:r>
        <w:t xml:space="preserve">JE apparently intended to finish his sentence with this reference. The passage is Acts 2:1–12.</w:t>
      </w:r>
    </w:p>
  </w:footnote>
  <w:footnote w:id="1575">
    <w:p>
      <w:pPr>
        <w:pStyle w:val="FootnoteText"/>
      </w:pPr>
      <w:r>
        <w:rPr>
          <w:rStyle w:val="FootnoteReference"/>
        </w:rPr>
        <w:footnoteRef/>
      </w:r>
      <w:r>
        <w:t xml:space="preserve">See Acts 4:4.</w:t>
      </w:r>
    </w:p>
  </w:footnote>
  <w:footnote w:id="1576">
    <w:p>
      <w:pPr>
        <w:pStyle w:val="FootnoteText"/>
      </w:pPr>
      <w:r>
        <w:rPr>
          <w:rStyle w:val="FootnoteReference"/>
        </w:rPr>
        <w:footnoteRef/>
      </w:r>
      <w:r>
        <w:rPr>
          <w:i/>
          <w:iCs/>
        </w:rPr>
        <w:t xml:space="preserve">8.6v</w:t>
      </w:r>
      <w:r>
        <w:t xml:space="preserve">.</w:t>
      </w:r>
    </w:p>
  </w:footnote>
  <w:footnote w:id="1577">
    <w:p>
      <w:pPr>
        <w:pStyle w:val="FootnoteText"/>
      </w:pPr>
      <w:r>
        <w:rPr>
          <w:rStyle w:val="FootnoteReference"/>
        </w:rPr>
        <w:footnoteRef/>
      </w:r>
      <w:r>
        <w:t xml:space="preserve">JE here reflects characteristically Pauline exegesis. See Romans 4:13, Romans 4:16; Romans 11:17–24; Galatians 3:16, Galatians 3:29.</w:t>
      </w:r>
    </w:p>
  </w:footnote>
  <w:footnote w:id="1578">
    <w:p>
      <w:pPr>
        <w:pStyle w:val="FootnoteText"/>
      </w:pPr>
      <w:r>
        <w:rPr>
          <w:rStyle w:val="FootnoteReference"/>
        </w:rPr>
        <w:footnoteRef/>
      </w:r>
      <w:r>
        <w:t xml:space="preserve">JE paraphrases.</w:t>
      </w:r>
    </w:p>
  </w:footnote>
  <w:footnote w:id="1579">
    <w:p>
      <w:pPr>
        <w:pStyle w:val="FootnoteText"/>
      </w:pPr>
      <w:r>
        <w:rPr>
          <w:rStyle w:val="FootnoteReference"/>
        </w:rPr>
        <w:footnoteRef/>
      </w:r>
      <w:r>
        <w:rPr>
          <w:i/>
          <w:iCs/>
        </w:rPr>
        <w:t xml:space="preserve">8.7r</w:t>
      </w:r>
      <w:r>
        <w:t xml:space="preserve">.</w:t>
      </w:r>
    </w:p>
  </w:footnote>
  <w:footnote w:id="1580">
    <w:p>
      <w:pPr>
        <w:pStyle w:val="FootnoteText"/>
      </w:pPr>
      <w:r>
        <w:rPr>
          <w:rStyle w:val="FootnoteReference"/>
        </w:rPr>
        <w:footnoteRef/>
      </w:r>
      <w:r>
        <w:t xml:space="preserve">Probable reading.</w:t>
      </w:r>
    </w:p>
  </w:footnote>
  <w:footnote w:id="1581">
    <w:p>
      <w:pPr>
        <w:pStyle w:val="FootnoteText"/>
      </w:pPr>
      <w:r>
        <w:rPr>
          <w:rStyle w:val="FootnoteReference"/>
        </w:rPr>
        <w:footnoteRef/>
      </w:r>
      <w:r>
        <w:t xml:space="preserve">E.g. Acts 14–16.</w:t>
      </w:r>
    </w:p>
  </w:footnote>
  <w:footnote w:id="1582">
    <w:p>
      <w:pPr>
        <w:pStyle w:val="FootnoteText"/>
      </w:pPr>
      <w:r>
        <w:rPr>
          <w:rStyle w:val="FootnoteReference"/>
        </w:rPr>
        <w:footnoteRef/>
      </w:r>
      <w:r>
        <w:rPr>
          <w:i/>
          <w:iCs/>
        </w:rPr>
        <w:t xml:space="preserve">8.7v</w:t>
      </w:r>
    </w:p>
  </w:footnote>
  <w:footnote w:id="1583">
    <w:p>
      <w:pPr>
        <w:pStyle w:val="FootnoteText"/>
      </w:pPr>
      <w:r>
        <w:rPr>
          <w:rStyle w:val="FootnoteReference"/>
        </w:rPr>
        <w:footnoteRef/>
      </w:r>
      <w:r>
        <w:rPr>
          <w:i/>
          <w:iCs/>
        </w:rPr>
        <w:t xml:space="preserve">(b.)</w:t>
      </w:r>
      <w:r>
        <w:t xml:space="preserve">.</w:t>
      </w:r>
    </w:p>
  </w:footnote>
  <w:footnote w:id="1584">
    <w:p>
      <w:pPr>
        <w:pStyle w:val="FootnoteText"/>
      </w:pPr>
      <w:r>
        <w:rPr>
          <w:rStyle w:val="FootnoteReference"/>
        </w:rPr>
        <w:footnoteRef/>
      </w:r>
      <w:r>
        <w:t xml:space="preserve">JE indicates intent to complete this identification of the Samaritans.</w:t>
      </w:r>
    </w:p>
  </w:footnote>
  <w:footnote w:id="1585">
    <w:p>
      <w:pPr>
        <w:pStyle w:val="FootnoteText"/>
      </w:pPr>
      <w:r>
        <w:rPr>
          <w:rStyle w:val="FootnoteReference"/>
        </w:rPr>
        <w:footnoteRef/>
      </w:r>
      <w:r>
        <w:t xml:space="preserve">See Acts 10.</w:t>
      </w:r>
    </w:p>
  </w:footnote>
  <w:footnote w:id="1586">
    <w:p>
      <w:pPr>
        <w:pStyle w:val="FootnoteText"/>
      </w:pPr>
      <w:r>
        <w:rPr>
          <w:rStyle w:val="FootnoteReference"/>
        </w:rPr>
        <w:footnoteRef/>
      </w:r>
      <w:r>
        <w:rPr>
          <w:i/>
          <w:iCs/>
        </w:rPr>
        <w:t xml:space="preserve">8.8r</w:t>
      </w:r>
      <w:r>
        <w:t xml:space="preserve">.</w:t>
      </w:r>
    </w:p>
  </w:footnote>
  <w:footnote w:id="1587">
    <w:p>
      <w:pPr>
        <w:pStyle w:val="FootnoteText"/>
      </w:pPr>
      <w:r>
        <w:rPr>
          <w:rStyle w:val="FootnoteReference"/>
        </w:rPr>
        <w:footnoteRef/>
      </w:r>
      <w:r>
        <w:t xml:space="preserve">John 4:20.</w:t>
      </w:r>
    </w:p>
  </w:footnote>
  <w:footnote w:id="1588">
    <w:p>
      <w:pPr>
        <w:pStyle w:val="FootnoteText"/>
      </w:pPr>
      <w:r>
        <w:rPr>
          <w:rStyle w:val="FootnoteReference"/>
        </w:rPr>
        <w:footnoteRef/>
      </w:r>
      <w:r>
        <w:t xml:space="preserve">JE paraphrases John 4:22.</w:t>
      </w:r>
    </w:p>
  </w:footnote>
  <w:footnote w:id="1589">
    <w:p>
      <w:pPr>
        <w:pStyle w:val="FootnoteText"/>
      </w:pPr>
      <w:r>
        <w:rPr>
          <w:rStyle w:val="FootnoteReference"/>
        </w:rPr>
        <w:footnoteRef/>
      </w:r>
      <w:r>
        <w:t xml:space="preserve">JE paraphrases.</w:t>
      </w:r>
    </w:p>
  </w:footnote>
  <w:footnote w:id="1590">
    <w:p>
      <w:pPr>
        <w:pStyle w:val="FootnoteText"/>
      </w:pPr>
      <w:r>
        <w:rPr>
          <w:rStyle w:val="FootnoteReference"/>
        </w:rPr>
        <w:footnoteRef/>
      </w:r>
      <w:r>
        <w:rPr>
          <w:i/>
          <w:iCs/>
        </w:rPr>
        <w:t xml:space="preserve">8.8v</w:t>
      </w:r>
      <w:r>
        <w:t xml:space="preserve">.</w:t>
      </w:r>
    </w:p>
  </w:footnote>
  <w:footnote w:id="1591">
    <w:p>
      <w:pPr>
        <w:pStyle w:val="FootnoteText"/>
      </w:pPr>
      <w:r>
        <w:rPr>
          <w:rStyle w:val="FootnoteReference"/>
        </w:rPr>
        <w:footnoteRef/>
      </w:r>
      <w:r>
        <w:t xml:space="preserve">JE's language is taken from Galatians 3:28.</w:t>
      </w:r>
    </w:p>
  </w:footnote>
  <w:footnote w:id="1592">
    <w:p>
      <w:pPr>
        <w:pStyle w:val="FootnoteText"/>
      </w:pPr>
      <w:r>
        <w:rPr>
          <w:rStyle w:val="FootnoteReference"/>
        </w:rPr>
        <w:footnoteRef/>
      </w:r>
      <w:r>
        <w:t xml:space="preserve">Isaiah 11:6.</w:t>
      </w:r>
    </w:p>
  </w:footnote>
  <w:footnote w:id="1593">
    <w:p>
      <w:pPr>
        <w:pStyle w:val="FootnoteText"/>
      </w:pPr>
      <w:r>
        <w:rPr>
          <w:rStyle w:val="FootnoteReference"/>
        </w:rPr>
        <w:footnoteRef/>
      </w:r>
      <w:r>
        <w:rPr>
          <w:i/>
          <w:iCs/>
        </w:rPr>
        <w:t xml:space="preserve">(c.)</w:t>
      </w:r>
      <w:r>
        <w:t xml:space="preserve">.</w:t>
      </w:r>
    </w:p>
  </w:footnote>
  <w:footnote w:id="1594">
    <w:p>
      <w:pPr>
        <w:pStyle w:val="FootnoteText"/>
      </w:pPr>
      <w:r>
        <w:rPr>
          <w:rStyle w:val="FootnoteReference"/>
        </w:rPr>
        <w:footnoteRef/>
      </w:r>
      <w:r>
        <w:rPr>
          <w:i/>
          <w:iCs/>
        </w:rPr>
        <w:t xml:space="preserve">8.9r</w:t>
      </w:r>
      <w:r>
        <w:t xml:space="preserve">.</w:t>
      </w:r>
    </w:p>
  </w:footnote>
  <w:footnote w:id="1595">
    <w:p>
      <w:pPr>
        <w:pStyle w:val="FootnoteText"/>
      </w:pPr>
      <w:r>
        <w:rPr>
          <w:rStyle w:val="FootnoteReference"/>
        </w:rPr>
        <w:footnoteRef/>
      </w:r>
      <w:r>
        <w:rPr>
          <w:i/>
          <w:iCs/>
        </w:rPr>
        <w:t xml:space="preserve">8.9v</w:t>
      </w:r>
      <w:r>
        <w:t xml:space="preserve">.</w:t>
      </w:r>
    </w:p>
  </w:footnote>
  <w:footnote w:id="1596">
    <w:p>
      <w:pPr>
        <w:pStyle w:val="FootnoteText"/>
      </w:pPr>
      <w:r>
        <w:rPr>
          <w:rStyle w:val="FootnoteReference"/>
        </w:rPr>
        <w:footnoteRef/>
      </w:r>
      <w:r>
        <w:t xml:space="preserve">JE adds "men" to the verse.</w:t>
      </w:r>
    </w:p>
  </w:footnote>
  <w:footnote w:id="1597">
    <w:p>
      <w:pPr>
        <w:pStyle w:val="FootnoteText"/>
      </w:pPr>
      <w:r>
        <w:rPr>
          <w:rStyle w:val="FootnoteReference"/>
        </w:rPr>
        <w:footnoteRef/>
      </w:r>
      <w:r>
        <w:t xml:space="preserve">See Acts 18:1–11.</w:t>
      </w:r>
    </w:p>
  </w:footnote>
  <w:footnote w:id="1598">
    <w:p>
      <w:pPr>
        <w:pStyle w:val="FootnoteText"/>
      </w:pPr>
      <w:r>
        <w:rPr>
          <w:rStyle w:val="FootnoteReference"/>
        </w:rPr>
        <w:footnoteRef/>
      </w:r>
      <w:r>
        <w:t xml:space="preserve">See e.g. Acts 28:16–31.</w:t>
      </w:r>
    </w:p>
  </w:footnote>
  <w:footnote w:id="1599">
    <w:p>
      <w:pPr>
        <w:pStyle w:val="FootnoteText"/>
      </w:pPr>
      <w:r>
        <w:rPr>
          <w:rStyle w:val="FootnoteReference"/>
        </w:rPr>
        <w:footnoteRef/>
      </w:r>
      <w:r>
        <w:rPr>
          <w:i/>
          <w:iCs/>
        </w:rPr>
        <w:t xml:space="preserve">8.10r</w:t>
      </w:r>
      <w:r>
        <w:t xml:space="preserve">.</w:t>
      </w:r>
    </w:p>
  </w:footnote>
  <w:footnote w:id="1600">
    <w:p>
      <w:pPr>
        <w:pStyle w:val="FootnoteText"/>
      </w:pPr>
      <w:r>
        <w:rPr>
          <w:rStyle w:val="FootnoteReference"/>
        </w:rPr>
        <w:footnoteRef/>
      </w:r>
      <w:r>
        <w:t xml:space="preserve">This passage echoes Isaiah 2:20.</w:t>
      </w:r>
    </w:p>
  </w:footnote>
  <w:footnote w:id="1601">
    <w:p>
      <w:pPr>
        <w:pStyle w:val="FootnoteText"/>
      </w:pPr>
      <w:r>
        <w:rPr>
          <w:rStyle w:val="FootnoteReference"/>
        </w:rPr>
        <w:footnoteRef/>
      </w:r>
      <w:r>
        <w:t xml:space="preserve">Ephesians 2:13.</w:t>
      </w:r>
    </w:p>
  </w:footnote>
  <w:footnote w:id="1602">
    <w:p>
      <w:pPr>
        <w:pStyle w:val="FootnoteText"/>
      </w:pPr>
      <w:r>
        <w:rPr>
          <w:rStyle w:val="FootnoteReference"/>
        </w:rPr>
        <w:footnoteRef/>
      </w:r>
      <w:r>
        <w:t xml:space="preserve">JE loosely paraphrases Acts 26:18 and echoes Ephesians 5:8.</w:t>
      </w:r>
    </w:p>
  </w:footnote>
  <w:footnote w:id="1603">
    <w:p>
      <w:pPr>
        <w:pStyle w:val="FootnoteText"/>
      </w:pPr>
      <w:r>
        <w:rPr>
          <w:rStyle w:val="FootnoteReference"/>
        </w:rPr>
        <w:footnoteRef/>
      </w:r>
      <w:r>
        <w:rPr>
          <w:i/>
          <w:iCs/>
        </w:rPr>
        <w:t xml:space="preserve">8.10v</w:t>
      </w:r>
      <w:r>
        <w:t xml:space="preserve">.</w:t>
      </w:r>
    </w:p>
  </w:footnote>
  <w:footnote w:id="1604">
    <w:p>
      <w:pPr>
        <w:pStyle w:val="FootnoteText"/>
      </w:pPr>
      <w:r>
        <w:rPr>
          <w:rStyle w:val="FootnoteReference"/>
        </w:rPr>
        <w:footnoteRef/>
      </w:r>
      <w:r>
        <w:t xml:space="preserve">In this passage JE draws on Daniel 2:31–45, on which bracketed insertions are based.</w:t>
      </w:r>
    </w:p>
  </w:footnote>
  <w:footnote w:id="1605">
    <w:p>
      <w:pPr>
        <w:pStyle w:val="FootnoteText"/>
      </w:pPr>
      <w:r>
        <w:rPr>
          <w:rStyle w:val="FootnoteReference"/>
        </w:rPr>
        <w:footnoteRef/>
      </w:r>
      <w:r>
        <w:t xml:space="preserve">JE indicates intent to supply phrase, paraphrasing Revelation 7:1.</w:t>
      </w:r>
    </w:p>
  </w:footnote>
  <w:footnote w:id="1606">
    <w:p>
      <w:pPr>
        <w:pStyle w:val="FootnoteText"/>
      </w:pPr>
      <w:r>
        <w:rPr>
          <w:rStyle w:val="FootnoteReference"/>
        </w:rPr>
        <w:footnoteRef/>
      </w:r>
      <w:r>
        <w:rPr>
          <w:i/>
          <w:iCs/>
        </w:rPr>
        <w:t xml:space="preserve">8.11r</w:t>
      </w:r>
      <w:r>
        <w:t xml:space="preserve">.</w:t>
      </w:r>
    </w:p>
  </w:footnote>
  <w:footnote w:id="1607">
    <w:p>
      <w:pPr>
        <w:pStyle w:val="FootnoteText"/>
      </w:pPr>
      <w:r>
        <w:rPr>
          <w:rStyle w:val="FootnoteReference"/>
        </w:rPr>
        <w:footnoteRef/>
      </w:r>
      <w:r>
        <w:rPr>
          <w:i/>
          <w:iCs/>
        </w:rPr>
        <w:t xml:space="preserve">(2.)</w:t>
      </w:r>
      <w:r>
        <w:t xml:space="preserve">.</w:t>
      </w:r>
    </w:p>
  </w:footnote>
  <w:footnote w:id="1608">
    <w:p>
      <w:pPr>
        <w:pStyle w:val="FootnoteText"/>
      </w:pPr>
      <w:r>
        <w:rPr>
          <w:rStyle w:val="FootnoteReference"/>
        </w:rPr>
        <w:footnoteRef/>
      </w:r>
      <w:r>
        <w:t xml:space="preserve">JE interlineates the phrase "to amongst Jews," of which the "to" is inappropriate for the context.</w:t>
      </w:r>
    </w:p>
  </w:footnote>
  <w:footnote w:id="1609">
    <w:p>
      <w:pPr>
        <w:pStyle w:val="FootnoteText"/>
      </w:pPr>
      <w:r>
        <w:rPr>
          <w:rStyle w:val="FootnoteReference"/>
        </w:rPr>
        <w:footnoteRef/>
      </w:r>
      <w:r>
        <w:t xml:space="preserve">Acts 2:13.</w:t>
      </w:r>
    </w:p>
  </w:footnote>
  <w:footnote w:id="1610">
    <w:p>
      <w:pPr>
        <w:pStyle w:val="FootnoteText"/>
      </w:pPr>
      <w:r>
        <w:rPr>
          <w:rStyle w:val="FootnoteReference"/>
        </w:rPr>
        <w:footnoteRef/>
      </w:r>
      <w:r>
        <w:rPr>
          <w:i/>
          <w:iCs/>
        </w:rPr>
        <w:t xml:space="preserve">8.11v</w:t>
      </w:r>
      <w:r>
        <w:t xml:space="preserve">.</w:t>
      </w:r>
    </w:p>
  </w:footnote>
  <w:footnote w:id="1611">
    <w:p>
      <w:pPr>
        <w:pStyle w:val="FootnoteText"/>
      </w:pPr>
      <w:r>
        <w:rPr>
          <w:rStyle w:val="FootnoteReference"/>
        </w:rPr>
        <w:footnoteRef/>
      </w:r>
      <w:r>
        <w:t xml:space="preserve">See Acts 4:5–7; Acts 5:17–18; Acts 8:1; Acts 9:1–2.</w:t>
      </w:r>
    </w:p>
  </w:footnote>
  <w:footnote w:id="1612">
    <w:p>
      <w:pPr>
        <w:pStyle w:val="FootnoteText"/>
      </w:pPr>
      <w:r>
        <w:rPr>
          <w:rStyle w:val="FootnoteReference"/>
        </w:rPr>
        <w:footnoteRef/>
      </w:r>
      <w:r>
        <w:t xml:space="preserve">Acts 7:54–59.</w:t>
      </w:r>
    </w:p>
  </w:footnote>
  <w:footnote w:id="1613">
    <w:p>
      <w:pPr>
        <w:pStyle w:val="FootnoteText"/>
      </w:pPr>
      <w:r>
        <w:rPr>
          <w:rStyle w:val="FootnoteReference"/>
        </w:rPr>
        <w:footnoteRef/>
      </w:r>
      <w:r>
        <w:t xml:space="preserve">See Acts 9:1–3.</w:t>
      </w:r>
    </w:p>
  </w:footnote>
  <w:footnote w:id="1614">
    <w:p>
      <w:pPr>
        <w:pStyle w:val="FootnoteText"/>
      </w:pPr>
      <w:r>
        <w:rPr>
          <w:rStyle w:val="FootnoteReference"/>
        </w:rPr>
        <w:footnoteRef/>
      </w:r>
      <w:r>
        <w:t xml:space="preserve">See Acts 12:1–5.</w:t>
      </w:r>
    </w:p>
  </w:footnote>
  <w:footnote w:id="1615">
    <w:p>
      <w:pPr>
        <w:pStyle w:val="FootnoteText"/>
      </w:pPr>
      <w:r>
        <w:rPr>
          <w:rStyle w:val="FootnoteReference"/>
        </w:rPr>
        <w:footnoteRef/>
      </w:r>
      <w:r>
        <w:t xml:space="preserve">E.g. Acts 14:19; cf. 2 Corinthians 11:23–26.</w:t>
      </w:r>
    </w:p>
  </w:footnote>
  <w:footnote w:id="1616">
    <w:p>
      <w:pPr>
        <w:pStyle w:val="FootnoteText"/>
      </w:pPr>
      <w:r>
        <w:rPr>
          <w:rStyle w:val="FootnoteReference"/>
        </w:rPr>
        <w:footnoteRef/>
      </w:r>
      <w:r>
        <w:t xml:space="preserve">See Acts 20:1–3; Acts 24:17.</w:t>
      </w:r>
    </w:p>
  </w:footnote>
  <w:footnote w:id="1617">
    <w:p>
      <w:pPr>
        <w:pStyle w:val="FootnoteText"/>
      </w:pPr>
      <w:r>
        <w:rPr>
          <w:rStyle w:val="FootnoteReference"/>
        </w:rPr>
        <w:footnoteRef/>
      </w:r>
      <w:r>
        <w:t xml:space="preserve">Completion of verse required by context.</w:t>
      </w:r>
    </w:p>
  </w:footnote>
  <w:footnote w:id="1618">
    <w:p>
      <w:pPr>
        <w:pStyle w:val="FootnoteText"/>
      </w:pPr>
      <w:r>
        <w:rPr>
          <w:rStyle w:val="FootnoteReference"/>
        </w:rPr>
        <w:footnoteRef/>
      </w:r>
      <w:r>
        <w:rPr>
          <w:i/>
          <w:iCs/>
        </w:rPr>
        <w:t xml:space="preserve">8.12r</w:t>
      </w:r>
      <w:r>
        <w:t xml:space="preserve">.</w:t>
      </w:r>
    </w:p>
  </w:footnote>
  <w:footnote w:id="1619">
    <w:p>
      <w:pPr>
        <w:pStyle w:val="FootnoteText"/>
      </w:pPr>
      <w:r>
        <w:rPr>
          <w:rStyle w:val="FootnoteReference"/>
        </w:rPr>
        <w:footnoteRef/>
      </w:r>
      <w:r>
        <w:rPr>
          <w:i/>
          <w:iCs/>
        </w:rPr>
        <w:t xml:space="preserve">(3.)</w:t>
      </w:r>
      <w:r>
        <w:t xml:space="preserve">.</w:t>
      </w:r>
    </w:p>
  </w:footnote>
  <w:footnote w:id="1620">
    <w:p>
      <w:pPr>
        <w:pStyle w:val="FootnoteText"/>
      </w:pPr>
      <w:r>
        <w:rPr>
          <w:rStyle w:val="FootnoteReference"/>
        </w:rPr>
        <w:footnoteRef/>
      </w:r>
      <w:r>
        <w:rPr>
          <w:i/>
          <w:iCs/>
        </w:rPr>
        <w:t xml:space="preserve">(a.)</w:t>
      </w:r>
      <w:r>
        <w:t xml:space="preserve">.</w:t>
      </w:r>
    </w:p>
  </w:footnote>
  <w:footnote w:id="1621">
    <w:p>
      <w:pPr>
        <w:pStyle w:val="FootnoteText"/>
      </w:pPr>
      <w:r>
        <w:rPr>
          <w:rStyle w:val="FootnoteReference"/>
        </w:rPr>
        <w:footnoteRef/>
      </w:r>
      <w:r>
        <w:t xml:space="preserve">See Romans 11:7–10.</w:t>
      </w:r>
    </w:p>
  </w:footnote>
  <w:footnote w:id="1622">
    <w:p>
      <w:pPr>
        <w:pStyle w:val="FootnoteText"/>
      </w:pPr>
      <w:r>
        <w:rPr>
          <w:rStyle w:val="FootnoteReference"/>
        </w:rPr>
        <w:footnoteRef/>
      </w:r>
      <w:r>
        <w:t xml:space="preserve">These and the next verses refer to Isaiah 6:9–10.</w:t>
      </w:r>
    </w:p>
  </w:footnote>
  <w:footnote w:id="1623">
    <w:p>
      <w:pPr>
        <w:pStyle w:val="FootnoteText"/>
      </w:pPr>
      <w:r>
        <w:rPr>
          <w:rStyle w:val="FootnoteReference"/>
        </w:rPr>
        <w:footnoteRef/>
      </w:r>
      <w:r>
        <w:rPr>
          <w:i/>
          <w:iCs/>
        </w:rPr>
        <w:t xml:space="preserve">8.12v</w:t>
      </w:r>
      <w:r>
        <w:t xml:space="preserve">. Leaf breaks at "ac."</w:t>
      </w:r>
    </w:p>
  </w:footnote>
  <w:footnote w:id="1624">
    <w:p>
      <w:pPr>
        <w:pStyle w:val="FootnoteText"/>
      </w:pPr>
      <w:r>
        <w:rPr>
          <w:rStyle w:val="FootnoteReference"/>
        </w:rPr>
        <w:footnoteRef/>
      </w:r>
      <w:r>
        <w:rPr>
          <w:i/>
          <w:iCs/>
        </w:rPr>
        <w:t xml:space="preserve">(b.)</w:t>
      </w:r>
      <w:r>
        <w:t xml:space="preserve">.</w:t>
      </w:r>
    </w:p>
  </w:footnote>
  <w:footnote w:id="1625">
    <w:p>
      <w:pPr>
        <w:pStyle w:val="FootnoteText"/>
      </w:pPr>
      <w:r>
        <w:rPr>
          <w:rStyle w:val="FootnoteReference"/>
        </w:rPr>
        <w:footnoteRef/>
      </w:r>
      <w:r>
        <w:t xml:space="preserve">See Romans 11:17–20.</w:t>
      </w:r>
    </w:p>
  </w:footnote>
  <w:footnote w:id="1626">
    <w:p>
      <w:pPr>
        <w:pStyle w:val="FootnoteText"/>
      </w:pPr>
      <w:r>
        <w:rPr>
          <w:rStyle w:val="FootnoteReference"/>
        </w:rPr>
        <w:footnoteRef/>
      </w:r>
      <w:r>
        <w:t xml:space="preserve">JE indicates intent to quote from Isaiah; this passage is appropriate.</w:t>
      </w:r>
    </w:p>
  </w:footnote>
  <w:footnote w:id="1627">
    <w:p>
      <w:pPr>
        <w:pStyle w:val="FootnoteText"/>
      </w:pPr>
      <w:r>
        <w:rPr>
          <w:rStyle w:val="FootnoteReference"/>
        </w:rPr>
        <w:footnoteRef/>
      </w:r>
      <w:r>
        <w:rPr>
          <w:i/>
          <w:iCs/>
        </w:rPr>
        <w:t xml:space="preserve">8.13r</w:t>
      </w:r>
      <w:r>
        <w:t xml:space="preserve">.</w:t>
      </w:r>
    </w:p>
  </w:footnote>
  <w:footnote w:id="1628">
    <w:p>
      <w:pPr>
        <w:pStyle w:val="FootnoteText"/>
      </w:pPr>
      <w:r>
        <w:rPr>
          <w:rStyle w:val="FootnoteReference"/>
        </w:rPr>
        <w:footnoteRef/>
      </w:r>
      <w:r>
        <w:rPr>
          <w:i/>
          <w:iCs/>
        </w:rPr>
        <w:t xml:space="preserve">(c.)</w:t>
      </w:r>
      <w:r>
        <w:t xml:space="preserve">.</w:t>
      </w:r>
    </w:p>
  </w:footnote>
  <w:footnote w:id="1629">
    <w:p>
      <w:pPr>
        <w:pStyle w:val="FootnoteText"/>
      </w:pPr>
      <w:r>
        <w:rPr>
          <w:rStyle w:val="FootnoteReference"/>
        </w:rPr>
        <w:footnoteRef/>
      </w:r>
      <w:r>
        <w:t xml:space="preserve">Matthew 3:10.</w:t>
      </w:r>
    </w:p>
  </w:footnote>
  <w:footnote w:id="1630">
    <w:p>
      <w:pPr>
        <w:pStyle w:val="FootnoteText"/>
      </w:pPr>
      <w:r>
        <w:rPr>
          <w:rStyle w:val="FootnoteReference"/>
        </w:rPr>
        <w:footnoteRef/>
      </w:r>
      <w:r>
        <w:t xml:space="preserve">JE indicates intent to emphasize.</w:t>
      </w:r>
    </w:p>
  </w:footnote>
  <w:footnote w:id="1631">
    <w:p>
      <w:pPr>
        <w:pStyle w:val="FootnoteText"/>
      </w:pPr>
      <w:r>
        <w:rPr>
          <w:rStyle w:val="FootnoteReference"/>
        </w:rPr>
        <w:footnoteRef/>
      </w:r>
      <w:r>
        <w:t xml:space="preserve">See Luke 19:41–44.</w:t>
      </w:r>
    </w:p>
  </w:footnote>
  <w:footnote w:id="1632">
    <w:p>
      <w:pPr>
        <w:pStyle w:val="FootnoteText"/>
      </w:pPr>
      <w:r>
        <w:rPr>
          <w:rStyle w:val="FootnoteReference"/>
        </w:rPr>
        <w:footnoteRef/>
      </w:r>
      <w:r>
        <w:rPr>
          <w:i/>
          <w:iCs/>
        </w:rPr>
        <w:t xml:space="preserve">8.13v</w:t>
      </w:r>
      <w:r>
        <w:t xml:space="preserve">.</w:t>
      </w:r>
    </w:p>
  </w:footnote>
  <w:footnote w:id="1633">
    <w:p>
      <w:pPr>
        <w:pStyle w:val="FootnoteText"/>
      </w:pPr>
      <w:r>
        <w:rPr>
          <w:rStyle w:val="FootnoteReference"/>
        </w:rPr>
        <w:footnoteRef/>
      </w:r>
      <w:r>
        <w:rPr>
          <w:i/>
          <w:iCs/>
        </w:rPr>
        <w:t xml:space="preserve">8.14r</w:t>
      </w:r>
      <w:r>
        <w:t xml:space="preserve">.</w:t>
      </w:r>
    </w:p>
  </w:footnote>
  <w:footnote w:id="1634">
    <w:p>
      <w:pPr>
        <w:pStyle w:val="FootnoteText"/>
      </w:pPr>
      <w:r>
        <w:rPr>
          <w:rStyle w:val="FootnoteReference"/>
        </w:rPr>
        <w:footnoteRef/>
      </w:r>
      <w:r>
        <w:t xml:space="preserve">It appears that JE intended to quote.</w:t>
      </w:r>
    </w:p>
  </w:footnote>
  <w:footnote w:id="1635">
    <w:p>
      <w:pPr>
        <w:pStyle w:val="FootnoteText"/>
      </w:pPr>
      <w:r>
        <w:rPr>
          <w:rStyle w:val="FootnoteReference"/>
        </w:rPr>
        <w:footnoteRef/>
      </w:r>
      <w:r>
        <w:t xml:space="preserve">JE indicates intent to complete his thought, echoing Hebrews 9:25–26.</w:t>
      </w:r>
    </w:p>
  </w:footnote>
  <w:footnote w:id="1636">
    <w:p>
      <w:pPr>
        <w:pStyle w:val="FootnoteText"/>
      </w:pPr>
      <w:r>
        <w:rPr>
          <w:rStyle w:val="FootnoteReference"/>
        </w:rPr>
        <w:footnoteRef/>
      </w:r>
      <w:r>
        <w:t xml:space="preserve">JE indicates intent to quote Psalms 110:1.</w:t>
      </w:r>
    </w:p>
  </w:footnote>
  <w:footnote w:id="1637">
    <w:p>
      <w:pPr>
        <w:pStyle w:val="FootnoteText"/>
      </w:pPr>
      <w:r>
        <w:rPr>
          <w:rStyle w:val="FootnoteReference"/>
        </w:rPr>
        <w:footnoteRef/>
      </w:r>
      <w:r>
        <w:rPr>
          <w:i/>
          <w:iCs/>
        </w:rPr>
        <w:t xml:space="preserve">8.14v</w:t>
      </w:r>
      <w:r>
        <w:t xml:space="preserve">. The phrase is from Psalms 2:9.</w:t>
      </w:r>
    </w:p>
  </w:footnote>
  <w:footnote w:id="1638">
    <w:p>
      <w:pPr>
        <w:pStyle w:val="FootnoteText"/>
      </w:pPr>
      <w:r>
        <w:rPr>
          <w:rStyle w:val="FootnoteReference"/>
        </w:rPr>
        <w:footnoteRef/>
      </w:r>
      <w:r>
        <w:t xml:space="preserve">Acts 9:5.</w:t>
      </w:r>
    </w:p>
  </w:footnote>
  <w:footnote w:id="1639">
    <w:p>
      <w:pPr>
        <w:pStyle w:val="FootnoteText"/>
      </w:pPr>
      <w:r>
        <w:rPr>
          <w:rStyle w:val="FootnoteReference"/>
        </w:rPr>
        <w:footnoteRef/>
      </w:r>
      <w:r>
        <w:t xml:space="preserve">JE paraphrases Isaiah 27:4 and indicates intent to provide the full passage.</w:t>
      </w:r>
    </w:p>
  </w:footnote>
  <w:footnote w:id="1640">
    <w:p>
      <w:pPr>
        <w:pStyle w:val="FootnoteText"/>
      </w:pPr>
      <w:r>
        <w:rPr>
          <w:rStyle w:val="FootnoteReference"/>
        </w:rPr>
        <w:footnoteRef/>
      </w:r>
      <w:r>
        <w:t xml:space="preserve">See Matthew 24:1–2.</w:t>
      </w:r>
    </w:p>
  </w:footnote>
  <w:footnote w:id="1641">
    <w:p>
      <w:pPr>
        <w:pStyle w:val="FootnoteText"/>
      </w:pPr>
      <w:r>
        <w:rPr>
          <w:rStyle w:val="FootnoteReference"/>
        </w:rPr>
        <w:footnoteRef/>
      </w:r>
      <w:r>
        <w:t xml:space="preserve">The phrase is from Genesis 49:10.</w:t>
      </w:r>
    </w:p>
  </w:footnote>
  <w:footnote w:id="1642">
    <w:p>
      <w:pPr>
        <w:pStyle w:val="FootnoteText"/>
      </w:pPr>
      <w:r>
        <w:rPr>
          <w:rStyle w:val="FootnoteReference"/>
        </w:rPr>
        <w:footnoteRef/>
      </w:r>
      <w:r>
        <w:rPr>
          <w:i/>
          <w:iCs/>
        </w:rPr>
        <w:t xml:space="preserve">8.15r</w:t>
      </w:r>
      <w:r>
        <w:t xml:space="preserve">.</w:t>
      </w:r>
    </w:p>
  </w:footnote>
  <w:footnote w:id="1643">
    <w:p>
      <w:pPr>
        <w:pStyle w:val="FootnoteText"/>
      </w:pPr>
      <w:r>
        <w:rPr>
          <w:rStyle w:val="FootnoteReference"/>
        </w:rPr>
        <w:footnoteRef/>
      </w:r>
      <w:r>
        <w:t xml:space="preserve">JE indicates intent to complete these phrases in line with the trial narratives, e.g. Matthew 27:28–31.</w:t>
      </w:r>
    </w:p>
  </w:footnote>
  <w:footnote w:id="1644">
    <w:p>
      <w:pPr>
        <w:pStyle w:val="FootnoteText"/>
      </w:pPr>
      <w:r>
        <w:rPr>
          <w:rStyle w:val="FootnoteReference"/>
        </w:rPr>
        <w:footnoteRef/>
      </w:r>
      <w:r>
        <w:rPr>
          <w:i/>
          <w:iCs/>
        </w:rPr>
        <w:t xml:space="preserve">8.15v</w:t>
      </w:r>
      <w:r>
        <w:t xml:space="preserve">.</w:t>
      </w:r>
    </w:p>
  </w:footnote>
  <w:footnote w:id="1645">
    <w:p>
      <w:pPr>
        <w:pStyle w:val="FootnoteText"/>
      </w:pPr>
      <w:r>
        <w:rPr>
          <w:rStyle w:val="FootnoteReference"/>
        </w:rPr>
        <w:footnoteRef/>
      </w:r>
      <w:r>
        <w:t xml:space="preserve">This comment shows that this and the preceding sermon were linked, the one delivered in the forenoon, the other in the afternoon, of the same day.</w:t>
      </w:r>
    </w:p>
  </w:footnote>
  <w:footnote w:id="1646">
    <w:p>
      <w:pPr>
        <w:pStyle w:val="FootnoteText"/>
      </w:pPr>
      <w:r>
        <w:rPr>
          <w:rStyle w:val="FootnoteReference"/>
        </w:rPr>
        <w:footnoteRef/>
      </w:r>
      <w:r>
        <w:rPr>
          <w:i/>
          <w:iCs/>
        </w:rPr>
        <w:t xml:space="preserve">b</w:t>
      </w:r>
      <w:r>
        <w:t xml:space="preserve">.</w:t>
      </w:r>
    </w:p>
  </w:footnote>
  <w:footnote w:id="1647">
    <w:p>
      <w:pPr>
        <w:pStyle w:val="FootnoteText"/>
      </w:pPr>
      <w:r>
        <w:rPr>
          <w:rStyle w:val="FootnoteReference"/>
        </w:rPr>
        <w:footnoteRef/>
      </w:r>
      <w:r>
        <w:t xml:space="preserve">A reference to Christ's prophecy in Matthew 24:1–2.</w:t>
      </w:r>
    </w:p>
  </w:footnote>
  <w:footnote w:id="1648">
    <w:p>
      <w:pPr>
        <w:pStyle w:val="FootnoteText"/>
      </w:pPr>
      <w:r>
        <w:rPr>
          <w:rStyle w:val="FootnoteReference"/>
        </w:rPr>
        <w:footnoteRef/>
      </w:r>
      <w:r>
        <w:rPr>
          <w:i/>
          <w:iCs/>
        </w:rPr>
        <w:t xml:space="preserve">8.16r</w:t>
      </w:r>
      <w:r>
        <w:t xml:space="preserve">.</w:t>
      </w:r>
    </w:p>
  </w:footnote>
  <w:footnote w:id="1649">
    <w:p>
      <w:pPr>
        <w:pStyle w:val="FootnoteText"/>
      </w:pPr>
      <w:r>
        <w:rPr>
          <w:rStyle w:val="FootnoteReference"/>
        </w:rPr>
        <w:footnoteRef/>
      </w:r>
      <w:r>
        <w:rPr>
          <w:i/>
          <w:iCs/>
        </w:rPr>
        <w:t xml:space="preserve">(1.)</w:t>
      </w:r>
      <w:r>
        <w:t xml:space="preserve">.</w:t>
      </w:r>
    </w:p>
  </w:footnote>
  <w:footnote w:id="1650">
    <w:p>
      <w:pPr>
        <w:pStyle w:val="FootnoteText"/>
      </w:pPr>
      <w:r>
        <w:rPr>
          <w:rStyle w:val="FootnoteReference"/>
        </w:rPr>
        <w:footnoteRef/>
      </w:r>
      <w:r>
        <w:rPr>
          <w:i/>
          <w:iCs/>
        </w:rPr>
        <w:t xml:space="preserve">(a.)</w:t>
      </w:r>
      <w:r>
        <w:t xml:space="preserve">.</w:t>
      </w:r>
    </w:p>
  </w:footnote>
  <w:footnote w:id="1651">
    <w:p>
      <w:pPr>
        <w:pStyle w:val="FootnoteText"/>
      </w:pPr>
      <w:r>
        <w:rPr>
          <w:rStyle w:val="FootnoteReference"/>
        </w:rPr>
        <w:footnoteRef/>
      </w:r>
      <w:r>
        <w:rPr>
          <w:i/>
          <w:iCs/>
        </w:rPr>
        <w:t xml:space="preserve">8.16v</w:t>
      </w:r>
      <w:r>
        <w:t xml:space="preserve">. Leaf breaks at "philo."</w:t>
      </w:r>
    </w:p>
  </w:footnote>
  <w:footnote w:id="1652">
    <w:p>
      <w:pPr>
        <w:pStyle w:val="FootnoteText"/>
      </w:pPr>
      <w:r>
        <w:rPr>
          <w:rStyle w:val="FootnoteReference"/>
        </w:rPr>
        <w:footnoteRef/>
      </w:r>
      <w:r>
        <w:t xml:space="preserve">Acts 17:18. JE condenses slightly.</w:t>
      </w:r>
    </w:p>
  </w:footnote>
  <w:footnote w:id="1653">
    <w:p>
      <w:pPr>
        <w:pStyle w:val="FootnoteText"/>
      </w:pPr>
      <w:r>
        <w:rPr>
          <w:rStyle w:val="FootnoteReference"/>
        </w:rPr>
        <w:footnoteRef/>
      </w:r>
      <w:r>
        <w:rPr>
          <w:i/>
          <w:iCs/>
        </w:rPr>
        <w:t xml:space="preserve">8.17r</w:t>
      </w:r>
      <w:r>
        <w:t xml:space="preserve">.</w:t>
      </w:r>
    </w:p>
  </w:footnote>
  <w:footnote w:id="1654">
    <w:p>
      <w:pPr>
        <w:pStyle w:val="FootnoteText"/>
      </w:pPr>
      <w:r>
        <w:rPr>
          <w:rStyle w:val="FootnoteReference"/>
        </w:rPr>
        <w:footnoteRef/>
      </w:r>
      <w:r>
        <w:rPr>
          <w:i/>
          <w:iCs/>
        </w:rPr>
        <w:t xml:space="preserve">(b.)</w:t>
      </w:r>
      <w:r>
        <w:t xml:space="preserve">.</w:t>
      </w:r>
    </w:p>
  </w:footnote>
  <w:footnote w:id="1655">
    <w:p>
      <w:pPr>
        <w:pStyle w:val="FootnoteText"/>
      </w:pPr>
      <w:r>
        <w:rPr>
          <w:rStyle w:val="FootnoteReference"/>
        </w:rPr>
        <w:footnoteRef/>
      </w:r>
      <w:r>
        <w:rPr>
          <w:i/>
          <w:iCs/>
        </w:rPr>
        <w:t xml:space="preserve">8.17v</w:t>
      </w:r>
      <w:r>
        <w:t xml:space="preserve">.</w:t>
      </w:r>
    </w:p>
  </w:footnote>
  <w:footnote w:id="1656">
    <w:p>
      <w:pPr>
        <w:pStyle w:val="FootnoteText"/>
      </w:pPr>
      <w:r>
        <w:rPr>
          <w:rStyle w:val="FootnoteReference"/>
        </w:rPr>
        <w:footnoteRef/>
      </w:r>
      <w:r>
        <w:t xml:space="preserve">JE paraphrases and indicates intent to complete.</w:t>
      </w:r>
    </w:p>
  </w:footnote>
  <w:footnote w:id="1657">
    <w:p>
      <w:pPr>
        <w:pStyle w:val="FootnoteText"/>
      </w:pPr>
      <w:r>
        <w:rPr>
          <w:rStyle w:val="FootnoteReference"/>
        </w:rPr>
        <w:footnoteRef/>
      </w:r>
      <w:r>
        <w:rPr>
          <w:i/>
          <w:iCs/>
        </w:rPr>
        <w:t xml:space="preserve">8.18r</w:t>
      </w:r>
      <w:r>
        <w:t xml:space="preserve">.</w:t>
      </w:r>
    </w:p>
  </w:footnote>
  <w:footnote w:id="1658">
    <w:p>
      <w:pPr>
        <w:pStyle w:val="FootnoteText"/>
      </w:pPr>
      <w:r>
        <w:rPr>
          <w:rStyle w:val="FootnoteReference"/>
        </w:rPr>
        <w:footnoteRef/>
      </w:r>
      <w:r>
        <w:t xml:space="preserve">JE has excised the following with a vertical line: "Many thousands of hands were employed in the work, to make it their business to destroy Christians, and all kinds of tortures were used that they could invent."</w:t>
      </w:r>
    </w:p>
  </w:footnote>
  <w:footnote w:id="1659">
    <w:p>
      <w:pPr>
        <w:pStyle w:val="FootnoteText"/>
      </w:pPr>
      <w:r>
        <w:rPr>
          <w:rStyle w:val="FootnoteReference"/>
        </w:rPr>
        <w:footnoteRef/>
      </w:r>
      <w:r>
        <w:t xml:space="preserve">See Revelation 1:9.</w:t>
      </w:r>
    </w:p>
  </w:footnote>
  <w:footnote w:id="1660">
    <w:p>
      <w:pPr>
        <w:pStyle w:val="FootnoteText"/>
      </w:pPr>
      <w:r>
        <w:rPr>
          <w:rStyle w:val="FootnoteReference"/>
        </w:rPr>
        <w:footnoteRef/>
      </w:r>
      <w:r>
        <w:rPr>
          <w:i/>
          <w:iCs/>
        </w:rPr>
        <w:t xml:space="preserve">8.18v</w:t>
      </w:r>
      <w:r>
        <w:t xml:space="preserve">.</w:t>
      </w:r>
    </w:p>
  </w:footnote>
  <w:footnote w:id="1661">
    <w:p>
      <w:pPr>
        <w:pStyle w:val="FootnoteText"/>
      </w:pPr>
      <w:r>
        <w:rPr>
          <w:rStyle w:val="FootnoteReference"/>
        </w:rPr>
        <w:footnoteRef/>
      </w:r>
      <w:r>
        <w:rPr>
          <w:i/>
          <w:iCs/>
        </w:rPr>
        <w:t xml:space="preserve">8.19r</w:t>
      </w:r>
      <w:r>
        <w:t xml:space="preserve">.</w:t>
      </w:r>
    </w:p>
  </w:footnote>
  <w:footnote w:id="1662">
    <w:p>
      <w:pPr>
        <w:pStyle w:val="FootnoteText"/>
      </w:pPr>
      <w:r>
        <w:rPr>
          <w:rStyle w:val="FootnoteReference"/>
        </w:rPr>
        <w:footnoteRef/>
      </w:r>
      <w:r>
        <w:t xml:space="preserve">Revelation 12:1–8.</w:t>
      </w:r>
    </w:p>
  </w:footnote>
  <w:footnote w:id="1663">
    <w:p>
      <w:pPr>
        <w:pStyle w:val="FootnoteText"/>
      </w:pPr>
      <w:r>
        <w:rPr>
          <w:rStyle w:val="FootnoteReference"/>
        </w:rPr>
        <w:footnoteRef/>
      </w:r>
      <w:r>
        <w:rPr>
          <w:i/>
          <w:iCs/>
        </w:rPr>
        <w:t xml:space="preserve">(2.)</w:t>
      </w:r>
      <w:r>
        <w:t xml:space="preserve">.</w:t>
      </w:r>
    </w:p>
  </w:footnote>
  <w:footnote w:id="1664">
    <w:p>
      <w:pPr>
        <w:pStyle w:val="FootnoteText"/>
      </w:pPr>
      <w:r>
        <w:rPr>
          <w:rStyle w:val="FootnoteReference"/>
        </w:rPr>
        <w:footnoteRef/>
      </w:r>
      <w:r>
        <w:rPr>
          <w:i/>
          <w:iCs/>
        </w:rPr>
        <w:t xml:space="preserve">8.19v</w:t>
      </w:r>
    </w:p>
  </w:footnote>
  <w:footnote w:id="1665">
    <w:p>
      <w:pPr>
        <w:pStyle w:val="FootnoteText"/>
      </w:pPr>
      <w:r>
        <w:rPr>
          <w:rStyle w:val="FootnoteReference"/>
        </w:rPr>
        <w:footnoteRef/>
      </w:r>
      <w:r>
        <w:t xml:space="preserve">Isaiah 51:8.</w:t>
      </w:r>
    </w:p>
  </w:footnote>
  <w:footnote w:id="1666">
    <w:p>
      <w:pPr>
        <w:pStyle w:val="FootnoteText"/>
      </w:pPr>
      <w:r>
        <w:rPr>
          <w:rStyle w:val="FootnoteReference"/>
        </w:rPr>
        <w:footnoteRef/>
      </w:r>
      <w:r>
        <w:t xml:space="preserve">The earliest version of this saying is in Tertullian's </w:t>
      </w:r>
      <w:r>
        <w:rPr>
          <w:i/>
          <w:iCs/>
        </w:rPr>
        <w:t xml:space="preserve">Apology</w:t>
      </w:r>
      <w:r>
        <w:t xml:space="preserve"> (</w:t>
      </w:r>
      <w:r>
        <w:rPr>
          <w:i/>
          <w:iCs/>
        </w:rPr>
        <w:t xml:space="preserve">Apol</w:t>
      </w:r>
      <w:r>
        <w:t xml:space="preserve">. 50).</w:t>
      </w:r>
    </w:p>
  </w:footnote>
  <w:footnote w:id="1667">
    <w:p>
      <w:pPr>
        <w:pStyle w:val="FootnoteText"/>
      </w:pPr>
      <w:r>
        <w:rPr>
          <w:rStyle w:val="FootnoteReference"/>
        </w:rPr>
        <w:footnoteRef/>
      </w:r>
      <w:r>
        <w:rPr>
          <w:i/>
          <w:iCs/>
        </w:rPr>
        <w:t xml:space="preserve">8.20r</w:t>
      </w:r>
      <w:r>
        <w:t xml:space="preserve">.</w:t>
      </w:r>
    </w:p>
  </w:footnote>
  <w:footnote w:id="1668">
    <w:p>
      <w:pPr>
        <w:pStyle w:val="FootnoteText"/>
      </w:pPr>
      <w:r>
        <w:rPr>
          <w:rStyle w:val="FootnoteReference"/>
        </w:rPr>
        <w:footnoteRef/>
      </w:r>
      <w:r>
        <w:t xml:space="preserve">There were available to JE seventeenth- and eighteenth-century editions of classical and patristic authors, as well as numerous church histories in which references were made to classical authors. Since JE gives no specific citations to extrabiblical sources, the practice here and in subsequent notes is to identify the primary sources if possible. Most likely JE culled these references, legends, and quotations from secondary works. For Justin's comment, which JE gives in paraphrase, see </w:t>
      </w:r>
      <w:r>
        <w:rPr>
          <w:i/>
          <w:iCs/>
        </w:rPr>
        <w:t xml:space="preserve">Dialogue with Trypho</w:t>
      </w:r>
      <w:r>
        <w:t xml:space="preserve">, </w:t>
      </w:r>
      <w:r>
        <w:rPr>
          <w:i/>
          <w:iCs/>
        </w:rPr>
        <w:t xml:space="preserve">a Jew (Dia. Tryphone</w:t>
      </w:r>
      <w:r>
        <w:t xml:space="preserve"> 117).</w:t>
      </w:r>
    </w:p>
  </w:footnote>
  <w:footnote w:id="1669">
    <w:p>
      <w:pPr>
        <w:pStyle w:val="FootnoteText"/>
      </w:pPr>
      <w:r>
        <w:rPr>
          <w:rStyle w:val="FootnoteReference"/>
        </w:rPr>
        <w:footnoteRef/>
      </w:r>
      <w:r>
        <w:t xml:space="preserve">JE here excises with a vertical line a section which reads approximately: "says this preaching of the gospel and their faith in Christ, the church [illegible] up and down the whole world neighbors as inhabiting one house and [illegible] work, one heart and one soul." See Tertullian's </w:t>
      </w:r>
      <w:r>
        <w:rPr>
          <w:i/>
          <w:iCs/>
        </w:rPr>
        <w:t xml:space="preserve">Apology</w:t>
      </w:r>
      <w:r>
        <w:t xml:space="preserve"> (</w:t>
      </w:r>
      <w:r>
        <w:rPr>
          <w:i/>
          <w:iCs/>
        </w:rPr>
        <w:t xml:space="preserve">Apol</w:t>
      </w:r>
      <w:r>
        <w:t xml:space="preserve">. 39) for a possible source.</w:t>
      </w:r>
    </w:p>
  </w:footnote>
  <w:footnote w:id="1670">
    <w:p>
      <w:pPr>
        <w:pStyle w:val="FootnoteText"/>
      </w:pPr>
      <w:r>
        <w:rPr>
          <w:rStyle w:val="FootnoteReference"/>
        </w:rPr>
        <w:footnoteRef/>
      </w:r>
      <w:r>
        <w:rPr>
          <w:i/>
          <w:iCs/>
        </w:rPr>
        <w:t xml:space="preserve">8.20v</w:t>
      </w:r>
      <w:r>
        <w:t xml:space="preserve">.</w:t>
      </w:r>
    </w:p>
  </w:footnote>
  <w:footnote w:id="1671">
    <w:p>
      <w:pPr>
        <w:pStyle w:val="FootnoteText"/>
      </w:pPr>
      <w:r>
        <w:rPr>
          <w:rStyle w:val="FootnoteReference"/>
        </w:rPr>
        <w:footnoteRef/>
      </w:r>
      <w:r>
        <w:t xml:space="preserve">JE combines allusions to Tertullian's </w:t>
      </w:r>
      <w:r>
        <w:rPr>
          <w:i/>
          <w:iCs/>
        </w:rPr>
        <w:t xml:space="preserve">Against the Jews</w:t>
      </w:r>
      <w:r>
        <w:t xml:space="preserve"> (</w:t>
      </w:r>
      <w:r>
        <w:rPr>
          <w:i/>
          <w:iCs/>
        </w:rPr>
        <w:t xml:space="preserve">Adv. Iud. 7</w:t>
      </w:r>
      <w:r>
        <w:t xml:space="preserve">) </w:t>
      </w:r>
      <w:r>
        <w:rPr>
          <w:i/>
          <w:iCs/>
        </w:rPr>
        <w:t xml:space="preserve">and Apology</w:t>
      </w:r>
      <w:r>
        <w:t xml:space="preserve"> (</w:t>
      </w:r>
      <w:r>
        <w:rPr>
          <w:i/>
          <w:iCs/>
        </w:rPr>
        <w:t xml:space="preserve">Apol. 37</w:t>
      </w:r>
      <w:r>
        <w:t xml:space="preserve">).</w:t>
      </w:r>
    </w:p>
  </w:footnote>
  <w:footnote w:id="1672">
    <w:p>
      <w:pPr>
        <w:pStyle w:val="FootnoteText"/>
      </w:pPr>
      <w:r>
        <w:rPr>
          <w:rStyle w:val="FootnoteReference"/>
        </w:rPr>
        <w:footnoteRef/>
      </w:r>
      <w:r>
        <w:t xml:space="preserve">JE quotes from Pliny's epistle to Trajan, </w:t>
      </w:r>
      <w:r>
        <w:rPr>
          <w:i/>
          <w:iCs/>
        </w:rPr>
        <w:t xml:space="preserve">De Christianis</w:t>
      </w:r>
      <w:r>
        <w:t xml:space="preserve"> (</w:t>
      </w:r>
      <w:r>
        <w:rPr>
          <w:i/>
          <w:iCs/>
        </w:rPr>
        <w:t xml:space="preserve">Ep</w:t>
      </w:r>
      <w:r>
        <w:t xml:space="preserve">. 10.96).</w:t>
      </w:r>
    </w:p>
  </w:footnote>
  <w:footnote w:id="1673">
    <w:p>
      <w:pPr>
        <w:pStyle w:val="FootnoteText"/>
      </w:pPr>
      <w:r>
        <w:rPr>
          <w:rStyle w:val="FootnoteReference"/>
        </w:rPr>
        <w:footnoteRef/>
      </w:r>
      <w:r>
        <w:rPr>
          <w:i/>
          <w:iCs/>
        </w:rPr>
        <w:t xml:space="preserve">8.21r</w:t>
      </w:r>
      <w:r>
        <w:t xml:space="preserve">.</w:t>
      </w:r>
    </w:p>
  </w:footnote>
  <w:footnote w:id="1674">
    <w:p>
      <w:pPr>
        <w:pStyle w:val="FootnoteText"/>
      </w:pPr>
      <w:r>
        <w:rPr>
          <w:rStyle w:val="FootnoteReference"/>
        </w:rPr>
        <w:footnoteRef/>
      </w:r>
      <w:r>
        <w:t xml:space="preserve">As it stands, this statement is most certainly not from Pindar, and we have not been able to identify its precise source. It may reflect JE's reading of Eusebius or some other ecclesiastical history or apology for the early church.</w:t>
      </w:r>
    </w:p>
  </w:footnote>
  <w:footnote w:id="1675">
    <w:p>
      <w:pPr>
        <w:pStyle w:val="FootnoteText"/>
      </w:pPr>
      <w:r>
        <w:rPr>
          <w:rStyle w:val="FootnoteReference"/>
        </w:rPr>
        <w:footnoteRef/>
      </w:r>
      <w:r>
        <w:rPr>
          <w:i/>
          <w:iCs/>
        </w:rPr>
        <w:t xml:space="preserve">8.21v</w:t>
      </w:r>
      <w:r>
        <w:t xml:space="preserve">. This must be Plutarch's "The Obsolescence of Oracles" (</w:t>
      </w:r>
      <w:r>
        <w:rPr>
          <w:i/>
          <w:iCs/>
        </w:rPr>
        <w:t xml:space="preserve">De defectu oraculorum</w:t>
      </w:r>
      <w:r>
        <w:t xml:space="preserve">, </w:t>
      </w:r>
      <w:r>
        <w:rPr>
          <w:i/>
          <w:iCs/>
        </w:rPr>
        <w:t xml:space="preserve">Moralia 409E</w:t>
      </w:r>
      <w:r>
        <w:t xml:space="preserve">).</w:t>
      </w:r>
    </w:p>
  </w:footnote>
  <w:footnote w:id="1676">
    <w:p>
      <w:pPr>
        <w:pStyle w:val="FootnoteText"/>
      </w:pPr>
      <w:r>
        <w:rPr>
          <w:rStyle w:val="FootnoteReference"/>
        </w:rPr>
        <w:footnoteRef/>
      </w:r>
      <w:r>
        <w:t xml:space="preserve">This quotation from Porphyry is a fragment from his </w:t>
      </w:r>
      <w:r>
        <w:rPr>
          <w:i/>
          <w:iCs/>
        </w:rPr>
        <w:t xml:space="preserve">Against the Christians</w:t>
      </w:r>
      <w:r>
        <w:t xml:space="preserve">, surviving in its earliest form in Eusebius Pamphili, </w:t>
      </w:r>
      <w:r>
        <w:rPr>
          <w:i/>
          <w:iCs/>
        </w:rPr>
        <w:t xml:space="preserve">The Preparation for the Gospel</w:t>
      </w:r>
      <w:r>
        <w:t xml:space="preserve"> (</w:t>
      </w:r>
      <w:r>
        <w:rPr>
          <w:i/>
          <w:iCs/>
        </w:rPr>
        <w:t xml:space="preserve">Praep. Evang</w:t>
      </w:r>
      <w:r>
        <w:t xml:space="preserve">. 5.1.10).</w:t>
      </w:r>
    </w:p>
  </w:footnote>
  <w:footnote w:id="1677">
    <w:p>
      <w:pPr>
        <w:pStyle w:val="FootnoteText"/>
      </w:pPr>
      <w:r>
        <w:rPr>
          <w:rStyle w:val="FootnoteReference"/>
        </w:rPr>
        <w:footnoteRef/>
      </w:r>
      <w:r>
        <w:rPr>
          <w:i/>
          <w:iCs/>
        </w:rPr>
        <w:t xml:space="preserve">(3.)</w:t>
      </w:r>
      <w:r>
        <w:t xml:space="preserve">.</w:t>
      </w:r>
    </w:p>
  </w:footnote>
  <w:footnote w:id="1678">
    <w:p>
      <w:pPr>
        <w:pStyle w:val="FootnoteText"/>
      </w:pPr>
      <w:r>
        <w:rPr>
          <w:rStyle w:val="FootnoteReference"/>
        </w:rPr>
        <w:footnoteRef/>
      </w:r>
      <w:r>
        <w:rPr>
          <w:i/>
          <w:iCs/>
        </w:rPr>
        <w:t xml:space="preserve">8.22r</w:t>
      </w:r>
      <w:r>
        <w:t xml:space="preserve">.</w:t>
      </w:r>
    </w:p>
  </w:footnote>
  <w:footnote w:id="1679">
    <w:p>
      <w:pPr>
        <w:pStyle w:val="FootnoteText"/>
      </w:pPr>
      <w:r>
        <w:rPr>
          <w:rStyle w:val="FootnoteReference"/>
        </w:rPr>
        <w:footnoteRef/>
      </w:r>
      <w:r>
        <w:rPr>
          <w:i/>
          <w:iCs/>
        </w:rPr>
        <w:t xml:space="preserve">8.22v</w:t>
      </w:r>
      <w:r>
        <w:t xml:space="preserve">. JE directs himself to move to the verso to continue his text.</w:t>
      </w:r>
    </w:p>
  </w:footnote>
  <w:footnote w:id="1680">
    <w:p>
      <w:pPr>
        <w:pStyle w:val="FootnoteText"/>
      </w:pPr>
      <w:r>
        <w:rPr>
          <w:rStyle w:val="FootnoteReference"/>
        </w:rPr>
        <w:footnoteRef/>
      </w:r>
      <w:r>
        <w:rPr>
          <w:i/>
          <w:iCs/>
        </w:rPr>
        <w:t xml:space="preserve">8.22r</w:t>
      </w:r>
      <w:r>
        <w:t xml:space="preserve">. JE directs himself to return to the recto of the leaf.</w:t>
      </w:r>
    </w:p>
  </w:footnote>
  <w:footnote w:id="1681">
    <w:p>
      <w:pPr>
        <w:pStyle w:val="FootnoteText"/>
      </w:pPr>
      <w:r>
        <w:rPr>
          <w:rStyle w:val="FootnoteReference"/>
        </w:rPr>
        <w:footnoteRef/>
      </w:r>
      <w:r>
        <w:rPr>
          <w:i/>
          <w:iCs/>
        </w:rPr>
        <w:t xml:space="preserve">8.22v</w:t>
      </w:r>
      <w:r>
        <w:t xml:space="preserve">. Leaf breaks at "cru."</w:t>
      </w:r>
    </w:p>
  </w:footnote>
  <w:footnote w:id="1682">
    <w:p>
      <w:pPr>
        <w:pStyle w:val="FootnoteText"/>
      </w:pPr>
      <w:r>
        <w:rPr>
          <w:rStyle w:val="FootnoteReference"/>
        </w:rPr>
        <w:footnoteRef/>
      </w:r>
      <w:r>
        <w:t xml:space="preserve">The source of this report is undetermined. JE probably depended directly or indirectly on some such ancient ecclesiastical historian as Eusebius. See e.g. Eusebius, </w:t>
      </w:r>
      <w:r>
        <w:rPr>
          <w:i/>
          <w:iCs/>
        </w:rPr>
        <w:t xml:space="preserve">Ecclesiastical History</w:t>
      </w:r>
      <w:r>
        <w:t xml:space="preserve"> (</w:t>
      </w:r>
      <w:r>
        <w:rPr>
          <w:i/>
          <w:iCs/>
        </w:rPr>
        <w:t xml:space="preserve">Hist. Ecclesiastes 8</w:t>
      </w:r>
      <w:r>
        <w:t xml:space="preserve">, </w:t>
      </w:r>
      <w:r>
        <w:rPr>
          <w:i/>
          <w:iCs/>
        </w:rPr>
        <w:t xml:space="preserve">9</w:t>
      </w:r>
      <w:r>
        <w:t xml:space="preserve">).</w:t>
      </w:r>
    </w:p>
  </w:footnote>
  <w:footnote w:id="1683">
    <w:p>
      <w:pPr>
        <w:pStyle w:val="FootnoteText"/>
      </w:pPr>
      <w:r>
        <w:rPr>
          <w:rStyle w:val="FootnoteReference"/>
        </w:rPr>
        <w:footnoteRef/>
      </w:r>
      <w:r>
        <w:rPr>
          <w:i/>
          <w:iCs/>
        </w:rPr>
        <w:t xml:space="preserve">8.23r</w:t>
      </w:r>
      <w:r>
        <w:t xml:space="preserve">.</w:t>
      </w:r>
    </w:p>
  </w:footnote>
  <w:footnote w:id="1684">
    <w:p>
      <w:pPr>
        <w:pStyle w:val="FootnoteText"/>
      </w:pPr>
      <w:r>
        <w:rPr>
          <w:rStyle w:val="FootnoteReference"/>
        </w:rPr>
        <w:footnoteRef/>
      </w:r>
      <w:r>
        <w:rPr>
          <w:i/>
          <w:iCs/>
        </w:rPr>
        <w:t xml:space="preserve">(4.)</w:t>
      </w:r>
      <w:r>
        <w:t xml:space="preserve">.</w:t>
      </w:r>
    </w:p>
  </w:footnote>
  <w:footnote w:id="1685">
    <w:p>
      <w:pPr>
        <w:pStyle w:val="FootnoteText"/>
      </w:pPr>
      <w:r>
        <w:rPr>
          <w:rStyle w:val="FootnoteReference"/>
        </w:rPr>
        <w:footnoteRef/>
      </w:r>
      <w:r>
        <w:t xml:space="preserve">An allusion to Daniel 7:13–14.</w:t>
      </w:r>
    </w:p>
  </w:footnote>
  <w:footnote w:id="1686">
    <w:p>
      <w:pPr>
        <w:pStyle w:val="FootnoteText"/>
      </w:pPr>
      <w:r>
        <w:rPr>
          <w:rStyle w:val="FootnoteReference"/>
        </w:rPr>
        <w:footnoteRef/>
      </w:r>
      <w:r>
        <w:t xml:space="preserve">The reference is to Christ.</w:t>
      </w:r>
    </w:p>
  </w:footnote>
  <w:footnote w:id="1687">
    <w:p>
      <w:pPr>
        <w:pStyle w:val="FootnoteText"/>
      </w:pPr>
      <w:r>
        <w:rPr>
          <w:rStyle w:val="FootnoteReference"/>
        </w:rPr>
        <w:footnoteRef/>
      </w:r>
      <w:r>
        <w:rPr>
          <w:i/>
          <w:iCs/>
        </w:rPr>
        <w:t xml:space="preserve">8.23v</w:t>
      </w:r>
      <w:r>
        <w:t xml:space="preserve">.</w:t>
      </w:r>
    </w:p>
  </w:footnote>
  <w:footnote w:id="1688">
    <w:p>
      <w:pPr>
        <w:pStyle w:val="FootnoteText"/>
      </w:pPr>
      <w:r>
        <w:rPr>
          <w:rStyle w:val="FootnoteReference"/>
        </w:rPr>
        <w:footnoteRef/>
      </w:r>
      <w:r>
        <w:rPr>
          <w:i/>
          <w:iCs/>
        </w:rPr>
        <w:t xml:space="preserve">(a.)</w:t>
      </w:r>
      <w:r>
        <w:t xml:space="preserve">.</w:t>
      </w:r>
    </w:p>
  </w:footnote>
  <w:footnote w:id="1689">
    <w:p>
      <w:pPr>
        <w:pStyle w:val="FootnoteText"/>
      </w:pPr>
      <w:r>
        <w:rPr>
          <w:rStyle w:val="FootnoteReference"/>
        </w:rPr>
        <w:footnoteRef/>
      </w:r>
      <w:r>
        <w:t xml:space="preserve">The language reflects Psalms 30:5.</w:t>
      </w:r>
    </w:p>
  </w:footnote>
  <w:footnote w:id="1690">
    <w:p>
      <w:pPr>
        <w:pStyle w:val="FootnoteText"/>
      </w:pPr>
      <w:r>
        <w:rPr>
          <w:rStyle w:val="FootnoteReference"/>
        </w:rPr>
        <w:footnoteRef/>
      </w:r>
      <w:r>
        <w:rPr>
          <w:i/>
          <w:iCs/>
        </w:rPr>
        <w:t xml:space="preserve">(b.)</w:t>
      </w:r>
      <w:r>
        <w:t xml:space="preserve">.</w:t>
      </w:r>
    </w:p>
  </w:footnote>
  <w:footnote w:id="1691">
    <w:p>
      <w:pPr>
        <w:pStyle w:val="FootnoteText"/>
      </w:pPr>
      <w:r>
        <w:rPr>
          <w:rStyle w:val="FootnoteReference"/>
        </w:rPr>
        <w:footnoteRef/>
      </w:r>
      <w:r>
        <w:rPr>
          <w:i/>
          <w:iCs/>
        </w:rPr>
        <w:t xml:space="preserve">8.24r</w:t>
      </w:r>
      <w:r>
        <w:t xml:space="preserve">.</w:t>
      </w:r>
    </w:p>
  </w:footnote>
  <w:footnote w:id="1692">
    <w:p>
      <w:pPr>
        <w:pStyle w:val="FootnoteText"/>
      </w:pPr>
      <w:r>
        <w:rPr>
          <w:rStyle w:val="FootnoteReference"/>
        </w:rPr>
        <w:footnoteRef/>
      </w:r>
      <w:r>
        <w:t xml:space="preserve">In the sense of "in succession after."</w:t>
      </w:r>
    </w:p>
  </w:footnote>
  <w:footnote w:id="1693">
    <w:p>
      <w:pPr>
        <w:pStyle w:val="FootnoteText"/>
      </w:pPr>
      <w:r>
        <w:rPr>
          <w:rStyle w:val="FootnoteReference"/>
        </w:rPr>
        <w:footnoteRef/>
      </w:r>
      <w:r>
        <w:t xml:space="preserve">An allusion to Revelation 6:15. JE may have intended to elaborate.</w:t>
      </w:r>
    </w:p>
  </w:footnote>
  <w:footnote w:id="1694">
    <w:p>
      <w:pPr>
        <w:pStyle w:val="FootnoteText"/>
      </w:pPr>
      <w:r>
        <w:rPr>
          <w:rStyle w:val="FootnoteReference"/>
        </w:rPr>
        <w:footnoteRef/>
      </w:r>
      <w:r>
        <w:rPr>
          <w:i/>
          <w:iCs/>
        </w:rPr>
        <w:t xml:space="preserve">(c.)</w:t>
      </w:r>
      <w:r>
        <w:t xml:space="preserve">.</w:t>
      </w:r>
    </w:p>
  </w:footnote>
  <w:footnote w:id="1695">
    <w:p>
      <w:pPr>
        <w:pStyle w:val="FootnoteText"/>
      </w:pPr>
      <w:r>
        <w:rPr>
          <w:rStyle w:val="FootnoteReference"/>
        </w:rPr>
        <w:footnoteRef/>
      </w:r>
      <w:r>
        <w:rPr>
          <w:i/>
          <w:iCs/>
        </w:rPr>
        <w:t xml:space="preserve">8.24v</w:t>
      </w:r>
      <w:r>
        <w:t xml:space="preserve">.</w:t>
      </w:r>
    </w:p>
  </w:footnote>
  <w:footnote w:id="1696">
    <w:p>
      <w:pPr>
        <w:pStyle w:val="FootnoteText"/>
      </w:pPr>
      <w:r>
        <w:rPr>
          <w:rStyle w:val="FootnoteReference"/>
        </w:rPr>
        <w:footnoteRef/>
      </w:r>
      <w:r>
        <w:rPr>
          <w:i/>
          <w:iCs/>
        </w:rPr>
        <w:t xml:space="preserve">(d.)</w:t>
      </w:r>
      <w:r>
        <w:t xml:space="preserve">.</w:t>
      </w:r>
    </w:p>
  </w:footnote>
  <w:footnote w:id="1697">
    <w:p>
      <w:pPr>
        <w:pStyle w:val="FootnoteText"/>
      </w:pPr>
      <w:r>
        <w:rPr>
          <w:rStyle w:val="FootnoteReference"/>
        </w:rPr>
        <w:footnoteRef/>
      </w:r>
      <w:r>
        <w:rPr>
          <w:i/>
          <w:iCs/>
        </w:rPr>
        <w:t xml:space="preserve">8.25r</w:t>
      </w:r>
      <w:r>
        <w:t xml:space="preserve">.</w:t>
      </w:r>
    </w:p>
  </w:footnote>
  <w:footnote w:id="1698">
    <w:p>
      <w:pPr>
        <w:pStyle w:val="FootnoteText"/>
      </w:pPr>
      <w:r>
        <w:rPr>
          <w:rStyle w:val="FootnoteReference"/>
        </w:rPr>
        <w:footnoteRef/>
      </w:r>
      <w:r>
        <w:t xml:space="preserve">It is unclear whether JE intended to quote further from this verse.</w:t>
      </w:r>
    </w:p>
  </w:footnote>
  <w:footnote w:id="1699">
    <w:p>
      <w:pPr>
        <w:pStyle w:val="FootnoteText"/>
      </w:pPr>
      <w:r>
        <w:rPr>
          <w:rStyle w:val="FootnoteReference"/>
        </w:rPr>
        <w:footnoteRef/>
      </w:r>
      <w:r>
        <w:rPr>
          <w:i/>
          <w:iCs/>
        </w:rPr>
        <w:t xml:space="preserve">8.25v</w:t>
      </w:r>
      <w:r>
        <w:t xml:space="preserve">.</w:t>
      </w:r>
    </w:p>
  </w:footnote>
  <w:footnote w:id="1700">
    <w:p>
      <w:pPr>
        <w:pStyle w:val="FootnoteText"/>
      </w:pPr>
      <w:r>
        <w:rPr>
          <w:rStyle w:val="FootnoteReference"/>
        </w:rPr>
        <w:footnoteRef/>
      </w:r>
      <w:r>
        <w:t xml:space="preserve">JE indicates intent to name others.</w:t>
      </w:r>
    </w:p>
  </w:footnote>
  <w:footnote w:id="1701">
    <w:p>
      <w:pPr>
        <w:pStyle w:val="FootnoteText"/>
      </w:pPr>
      <w:r>
        <w:rPr>
          <w:rStyle w:val="FootnoteReference"/>
        </w:rPr>
        <w:footnoteRef/>
      </w:r>
      <w:r>
        <w:t xml:space="preserve">Revelation 6:10, from which JE indicates intent to quote.</w:t>
      </w:r>
    </w:p>
  </w:footnote>
  <w:footnote w:id="1702">
    <w:p>
      <w:pPr>
        <w:pStyle w:val="FootnoteText"/>
      </w:pPr>
      <w:r>
        <w:rPr>
          <w:rStyle w:val="FootnoteReference"/>
        </w:rPr>
        <w:footnoteRef/>
      </w:r>
      <w:r>
        <w:t xml:space="preserve">JE indicates intent to identify by a phrase the event in question. For JE's extensive studies of Revelation and his interpretation of it, see </w:t>
      </w:r>
      <w:r>
        <w:rPr>
          <w:i/>
          <w:iCs/>
        </w:rPr>
        <w:t xml:space="preserve">Works</w:t>
      </w:r>
      <w:r>
        <w:t xml:space="preserve"> (Yale ed.), </w:t>
      </w:r>
      <w:r>
        <w:rPr>
          <w:i/>
          <w:iCs/>
        </w:rPr>
        <w:t xml:space="preserve">5</w:t>
      </w:r>
      <w:r>
        <w:t xml:space="preserve"> (1977), </w:t>
      </w:r>
      <w:r>
        <w:rPr>
          <w:i/>
          <w:iCs/>
        </w:rPr>
        <w:t xml:space="preserve">Apocalyptic Writings</w:t>
      </w:r>
      <w:r>
        <w:t xml:space="preserve">, ed. Stephen J. Stein, especially "Notes on the Apocalypse," pp. 95–305.</w:t>
      </w:r>
    </w:p>
  </w:footnote>
  <w:footnote w:id="1703">
    <w:p>
      <w:pPr>
        <w:pStyle w:val="FootnoteText"/>
      </w:pPr>
      <w:r>
        <w:rPr>
          <w:rStyle w:val="FootnoteReference"/>
        </w:rPr>
        <w:footnoteRef/>
      </w:r>
      <w:r>
        <w:rPr>
          <w:i/>
          <w:iCs/>
        </w:rPr>
        <w:t xml:space="preserve">8.26r</w:t>
      </w:r>
      <w:r>
        <w:t xml:space="preserve">.</w:t>
      </w:r>
    </w:p>
  </w:footnote>
  <w:footnote w:id="1704">
    <w:p>
      <w:pPr>
        <w:pStyle w:val="FootnoteText"/>
      </w:pPr>
      <w:r>
        <w:rPr>
          <w:rStyle w:val="FootnoteReference"/>
        </w:rPr>
        <w:footnoteRef/>
      </w:r>
      <w:r>
        <w:t xml:space="preserve">JE leaves this sentence incomplete. Bracketed sections provide possible constructions. The seventh seal passage begins at Revelation 8:1.</w:t>
      </w:r>
    </w:p>
  </w:footnote>
  <w:footnote w:id="1705">
    <w:p>
      <w:pPr>
        <w:pStyle w:val="FootnoteText"/>
      </w:pPr>
      <w:r>
        <w:rPr>
          <w:rStyle w:val="FootnoteReference"/>
        </w:rPr>
        <w:footnoteRef/>
      </w:r>
      <w:r>
        <w:t xml:space="preserve">See Revelation 12:9.</w:t>
      </w:r>
    </w:p>
  </w:footnote>
  <w:footnote w:id="1706">
    <w:p>
      <w:pPr>
        <w:pStyle w:val="FootnoteText"/>
      </w:pPr>
      <w:r>
        <w:rPr>
          <w:rStyle w:val="FootnoteReference"/>
        </w:rPr>
        <w:footnoteRef/>
      </w:r>
      <w:r>
        <w:t xml:space="preserve">The allusion is to Luke 10:18.</w:t>
      </w:r>
    </w:p>
  </w:footnote>
  <w:footnote w:id="1707">
    <w:p>
      <w:pPr>
        <w:pStyle w:val="FootnoteText"/>
      </w:pPr>
      <w:r>
        <w:rPr>
          <w:rStyle w:val="FootnoteReference"/>
        </w:rPr>
        <w:footnoteRef/>
      </w:r>
      <w:r>
        <w:t xml:space="preserve">JE indicates intent to quote. I give Revelation 12:9 only.</w:t>
      </w:r>
    </w:p>
  </w:footnote>
  <w:footnote w:id="1708">
    <w:p>
      <w:pPr>
        <w:pStyle w:val="FootnoteText"/>
      </w:pPr>
      <w:r>
        <w:rPr>
          <w:rStyle w:val="FootnoteReference"/>
        </w:rPr>
        <w:footnoteRef/>
      </w:r>
      <w:r>
        <w:t xml:space="preserve">JE indicates intent to complete this sentence. The temptation of Christ is recounted in Matthew 4:8–10 and Luke 4:5–8.</w:t>
      </w:r>
    </w:p>
  </w:footnote>
  <w:footnote w:id="1709">
    <w:p>
      <w:pPr>
        <w:pStyle w:val="FootnoteText"/>
      </w:pPr>
      <w:r>
        <w:rPr>
          <w:rStyle w:val="FootnoteReference"/>
        </w:rPr>
        <w:footnoteRef/>
      </w:r>
      <w:r>
        <w:rPr>
          <w:i/>
          <w:iCs/>
        </w:rPr>
        <w:t xml:space="preserve">8.26v</w:t>
      </w:r>
      <w:r>
        <w:t xml:space="preserve">. JE indicates intent to complete the preceding quotation, which he incorrectly identified as v. 13.</w:t>
      </w:r>
    </w:p>
  </w:footnote>
  <w:footnote w:id="1710">
    <w:p>
      <w:pPr>
        <w:pStyle w:val="FootnoteText"/>
      </w:pPr>
      <w:r>
        <w:rPr>
          <w:rStyle w:val="FootnoteReference"/>
        </w:rPr>
        <w:footnoteRef/>
      </w:r>
      <w:r>
        <w:rPr>
          <w:i/>
          <w:iCs/>
        </w:rPr>
        <w:t xml:space="preserve">1</w:t>
      </w:r>
      <w:r>
        <w:t xml:space="preserve">. JE inserts an improvement that concludes Sermon 21.</w:t>
      </w:r>
    </w:p>
  </w:footnote>
  <w:footnote w:id="1711">
    <w:p>
      <w:pPr>
        <w:pStyle w:val="FootnoteText"/>
      </w:pPr>
      <w:r>
        <w:rPr>
          <w:rStyle w:val="FootnoteReference"/>
        </w:rPr>
        <w:footnoteRef/>
      </w:r>
      <w:r>
        <w:rPr>
          <w:i/>
          <w:iCs/>
        </w:rPr>
        <w:t xml:space="preserve">8.27r</w:t>
      </w:r>
      <w:r>
        <w:t xml:space="preserve">.</w:t>
      </w:r>
    </w:p>
  </w:footnote>
  <w:footnote w:id="1712">
    <w:p>
      <w:pPr>
        <w:pStyle w:val="FootnoteText"/>
      </w:pPr>
      <w:r>
        <w:rPr>
          <w:rStyle w:val="FootnoteReference"/>
        </w:rPr>
        <w:footnoteRef/>
      </w:r>
      <w:r>
        <w:rPr>
          <w:i/>
          <w:iCs/>
        </w:rPr>
        <w:t xml:space="preserve">First</w:t>
      </w:r>
      <w:r>
        <w:t xml:space="preserve">.</w:t>
      </w:r>
    </w:p>
  </w:footnote>
  <w:footnote w:id="1713">
    <w:p>
      <w:pPr>
        <w:pStyle w:val="FootnoteText"/>
      </w:pPr>
      <w:r>
        <w:rPr>
          <w:rStyle w:val="FootnoteReference"/>
        </w:rPr>
        <w:footnoteRef/>
      </w:r>
      <w:r>
        <w:t xml:space="preserve">JE paraphrases 1 Corinthians 1:21.</w:t>
      </w:r>
    </w:p>
  </w:footnote>
  <w:footnote w:id="1714">
    <w:p>
      <w:pPr>
        <w:pStyle w:val="FootnoteText"/>
      </w:pPr>
      <w:r>
        <w:rPr>
          <w:rStyle w:val="FootnoteReference"/>
        </w:rPr>
        <w:footnoteRef/>
      </w:r>
      <w:r>
        <w:rPr>
          <w:i/>
          <w:iCs/>
        </w:rPr>
        <w:t xml:space="preserve">8.27v</w:t>
      </w:r>
      <w:r>
        <w:t xml:space="preserve">.</w:t>
      </w:r>
    </w:p>
  </w:footnote>
  <w:footnote w:id="1715">
    <w:p>
      <w:pPr>
        <w:pStyle w:val="FootnoteText"/>
      </w:pPr>
      <w:r>
        <w:rPr>
          <w:rStyle w:val="FootnoteReference"/>
        </w:rPr>
        <w:footnoteRef/>
      </w:r>
      <w:r>
        <w:rPr>
          <w:i/>
          <w:iCs/>
        </w:rPr>
        <w:t xml:space="preserve">8.28r</w:t>
      </w:r>
      <w:r>
        <w:t xml:space="preserve">.</w:t>
      </w:r>
    </w:p>
  </w:footnote>
  <w:footnote w:id="1716">
    <w:p>
      <w:pPr>
        <w:pStyle w:val="FootnoteText"/>
      </w:pPr>
      <w:r>
        <w:rPr>
          <w:rStyle w:val="FootnoteReference"/>
        </w:rPr>
        <w:footnoteRef/>
      </w:r>
      <w:r>
        <w:rPr>
          <w:i/>
          <w:iCs/>
        </w:rPr>
        <w:t xml:space="preserve">8.28v</w:t>
      </w:r>
      <w:r>
        <w:t xml:space="preserve">.</w:t>
      </w:r>
    </w:p>
  </w:footnote>
  <w:footnote w:id="1717">
    <w:p>
      <w:pPr>
        <w:pStyle w:val="FootnoteText"/>
      </w:pPr>
      <w:r>
        <w:rPr>
          <w:rStyle w:val="FootnoteReference"/>
        </w:rPr>
        <w:footnoteRef/>
      </w:r>
      <w:r>
        <w:rPr>
          <w:i/>
          <w:iCs/>
        </w:rPr>
        <w:t xml:space="preserve">Second</w:t>
      </w:r>
      <w:r>
        <w:t xml:space="preserve">.</w:t>
      </w:r>
    </w:p>
  </w:footnote>
  <w:footnote w:id="1718">
    <w:p>
      <w:pPr>
        <w:pStyle w:val="FootnoteText"/>
      </w:pPr>
      <w:r>
        <w:rPr>
          <w:rStyle w:val="FootnoteReference"/>
        </w:rPr>
        <w:footnoteRef/>
      </w:r>
      <w:r>
        <w:t xml:space="preserve">In revising his text, JE originally wrote "Roman emperors," for which he substituted "government," which was in turn deleted and reintroduced. He seems to have intended the passage to read "The Roman government," although a redundant "Roman" is interlineated.</w:t>
      </w:r>
    </w:p>
  </w:footnote>
  <w:footnote w:id="1719">
    <w:p>
      <w:pPr>
        <w:pStyle w:val="FootnoteText"/>
      </w:pPr>
      <w:r>
        <w:rPr>
          <w:rStyle w:val="FootnoteReference"/>
        </w:rPr>
        <w:footnoteRef/>
      </w:r>
      <w:r>
        <w:t xml:space="preserve">JE's language may have been shaped by Ephesians 6:13–18.</w:t>
      </w:r>
    </w:p>
  </w:footnote>
  <w:footnote w:id="1720">
    <w:p>
      <w:pPr>
        <w:pStyle w:val="FootnoteText"/>
      </w:pPr>
      <w:r>
        <w:rPr>
          <w:rStyle w:val="FootnoteReference"/>
        </w:rPr>
        <w:footnoteRef/>
      </w:r>
      <w:r>
        <w:rPr>
          <w:i/>
          <w:iCs/>
        </w:rPr>
        <w:t xml:space="preserve">8.29r</w:t>
      </w:r>
      <w:r>
        <w:t xml:space="preserve">.</w:t>
      </w:r>
    </w:p>
  </w:footnote>
  <w:footnote w:id="1721">
    <w:p>
      <w:pPr>
        <w:pStyle w:val="FootnoteText"/>
      </w:pPr>
      <w:r>
        <w:rPr>
          <w:rStyle w:val="FootnoteReference"/>
        </w:rPr>
        <w:footnoteRef/>
      </w:r>
      <w:r>
        <w:rPr>
          <w:i/>
          <w:iCs/>
        </w:rPr>
        <w:t xml:space="preserve">Third</w:t>
      </w:r>
      <w:r>
        <w:t xml:space="preserve">.</w:t>
      </w:r>
    </w:p>
  </w:footnote>
  <w:footnote w:id="1722">
    <w:p>
      <w:pPr>
        <w:pStyle w:val="FootnoteText"/>
      </w:pPr>
      <w:r>
        <w:rPr>
          <w:rStyle w:val="FootnoteReference"/>
        </w:rPr>
        <w:footnoteRef/>
      </w:r>
      <w:r>
        <w:t xml:space="preserve">JE's point requires a negative here and in the following sentences.</w:t>
      </w:r>
    </w:p>
  </w:footnote>
  <w:footnote w:id="1723">
    <w:p>
      <w:pPr>
        <w:pStyle w:val="FootnoteText"/>
      </w:pPr>
      <w:r>
        <w:rPr>
          <w:rStyle w:val="FootnoteReference"/>
        </w:rPr>
        <w:footnoteRef/>
      </w:r>
      <w:r>
        <w:rPr>
          <w:i/>
          <w:iCs/>
        </w:rPr>
        <w:t xml:space="preserve">8.29v</w:t>
      </w:r>
      <w:r>
        <w:t xml:space="preserve">.</w:t>
      </w:r>
    </w:p>
  </w:footnote>
  <w:footnote w:id="1724">
    <w:p>
      <w:pPr>
        <w:pStyle w:val="FootnoteText"/>
      </w:pPr>
      <w:r>
        <w:rPr>
          <w:rStyle w:val="FootnoteReference"/>
        </w:rPr>
        <w:footnoteRef/>
      </w:r>
      <w:r>
        <w:rPr>
          <w:i/>
          <w:iCs/>
        </w:rPr>
        <w:t xml:space="preserve">Fourth</w:t>
      </w:r>
      <w:r>
        <w:t xml:space="preserve">.</w:t>
      </w:r>
    </w:p>
  </w:footnote>
  <w:footnote w:id="1725">
    <w:p>
      <w:pPr>
        <w:pStyle w:val="FootnoteText"/>
      </w:pPr>
      <w:r>
        <w:rPr>
          <w:rStyle w:val="FootnoteReference"/>
        </w:rPr>
        <w:footnoteRef/>
      </w:r>
      <w:r>
        <w:rPr>
          <w:i/>
          <w:iCs/>
        </w:rPr>
        <w:t xml:space="preserve">8.30r</w:t>
      </w:r>
      <w:r>
        <w:t xml:space="preserve">.</w:t>
      </w:r>
    </w:p>
  </w:footnote>
  <w:footnote w:id="1726">
    <w:p>
      <w:pPr>
        <w:pStyle w:val="FootnoteText"/>
      </w:pPr>
      <w:r>
        <w:rPr>
          <w:rStyle w:val="FootnoteReference"/>
        </w:rPr>
        <w:footnoteRef/>
      </w:r>
      <w:r>
        <w:t xml:space="preserve">JE indicates intent to complete, concluding with John 16:11.</w:t>
      </w:r>
    </w:p>
  </w:footnote>
  <w:footnote w:id="1727">
    <w:p>
      <w:pPr>
        <w:pStyle w:val="FootnoteText"/>
      </w:pPr>
      <w:r>
        <w:rPr>
          <w:rStyle w:val="FootnoteReference"/>
        </w:rPr>
        <w:footnoteRef/>
      </w:r>
      <w:r>
        <w:t xml:space="preserve">JE indicates intent to quote from 1 Corinthians 1:21.</w:t>
      </w:r>
    </w:p>
  </w:footnote>
  <w:footnote w:id="1728">
    <w:p>
      <w:pPr>
        <w:pStyle w:val="FootnoteText"/>
      </w:pPr>
      <w:r>
        <w:rPr>
          <w:rStyle w:val="FootnoteReference"/>
        </w:rPr>
        <w:footnoteRef/>
      </w:r>
      <w:r>
        <w:t xml:space="preserve">1 Corinthians 1:27–28.</w:t>
      </w:r>
    </w:p>
  </w:footnote>
  <w:footnote w:id="1729">
    <w:p>
      <w:pPr>
        <w:pStyle w:val="FootnoteText"/>
      </w:pPr>
      <w:r>
        <w:rPr>
          <w:rStyle w:val="FootnoteReference"/>
        </w:rPr>
        <w:footnoteRef/>
      </w:r>
      <w:r>
        <w:t xml:space="preserve">JE indicates intent to develop a rhetorical conclusion for the paragraph.</w:t>
      </w:r>
    </w:p>
  </w:footnote>
  <w:footnote w:id="1730">
    <w:p>
      <w:pPr>
        <w:pStyle w:val="FootnoteText"/>
      </w:pPr>
      <w:r>
        <w:rPr>
          <w:rStyle w:val="FootnoteReference"/>
        </w:rPr>
        <w:footnoteRef/>
      </w:r>
      <w:r>
        <w:rPr>
          <w:i/>
          <w:iCs/>
        </w:rPr>
        <w:t xml:space="preserve">9.1r</w:t>
      </w:r>
      <w:r>
        <w:t xml:space="preserve">.</w:t>
      </w:r>
    </w:p>
  </w:footnote>
  <w:footnote w:id="1731">
    <w:p>
      <w:pPr>
        <w:pStyle w:val="FootnoteText"/>
      </w:pPr>
      <w:r>
        <w:rPr>
          <w:rStyle w:val="FootnoteReference"/>
        </w:rPr>
        <w:footnoteRef/>
      </w:r>
      <w:r>
        <w:t xml:space="preserve">JE does not indicate when this sermon was preached or whether it was one of a pair.</w:t>
      </w:r>
    </w:p>
  </w:footnote>
  <w:footnote w:id="1732">
    <w:p>
      <w:pPr>
        <w:pStyle w:val="FootnoteText"/>
      </w:pPr>
      <w:r>
        <w:rPr>
          <w:rStyle w:val="FootnoteReference"/>
        </w:rPr>
        <w:footnoteRef/>
      </w:r>
      <w:r>
        <w:t xml:space="preserve">JE indicates intent to complete phrase. Formulation has been taken from the introductory section of Sermon 28.</w:t>
      </w:r>
    </w:p>
  </w:footnote>
  <w:footnote w:id="1733">
    <w:p>
      <w:pPr>
        <w:pStyle w:val="FootnoteText"/>
      </w:pPr>
      <w:r>
        <w:rPr>
          <w:rStyle w:val="FootnoteReference"/>
        </w:rPr>
        <w:footnoteRef/>
      </w:r>
      <w:r>
        <w:t xml:space="preserve">JE's text requires completion.</w:t>
      </w:r>
    </w:p>
  </w:footnote>
  <w:footnote w:id="1734">
    <w:p>
      <w:pPr>
        <w:pStyle w:val="FootnoteText"/>
      </w:pPr>
      <w:r>
        <w:rPr>
          <w:rStyle w:val="FootnoteReference"/>
        </w:rPr>
        <w:footnoteRef/>
      </w:r>
      <w:r>
        <w:t xml:space="preserve">JE's text requires completion.</w:t>
      </w:r>
    </w:p>
  </w:footnote>
  <w:footnote w:id="1735">
    <w:p>
      <w:pPr>
        <w:pStyle w:val="FootnoteText"/>
      </w:pPr>
      <w:r>
        <w:rPr>
          <w:rStyle w:val="FootnoteReference"/>
        </w:rPr>
        <w:footnoteRef/>
      </w:r>
      <w:r>
        <w:rPr>
          <w:i/>
          <w:iCs/>
        </w:rPr>
        <w:t xml:space="preserve">c</w:t>
      </w:r>
      <w:r>
        <w:t xml:space="preserve">.</w:t>
      </w:r>
    </w:p>
  </w:footnote>
  <w:footnote w:id="1736">
    <w:p>
      <w:pPr>
        <w:pStyle w:val="FootnoteText"/>
      </w:pPr>
      <w:r>
        <w:rPr>
          <w:rStyle w:val="FootnoteReference"/>
        </w:rPr>
        <w:footnoteRef/>
      </w:r>
      <w:r>
        <w:rPr>
          <w:i/>
          <w:iCs/>
        </w:rPr>
        <w:t xml:space="preserve">9.1v</w:t>
      </w:r>
      <w:r>
        <w:t xml:space="preserve">.</w:t>
      </w:r>
    </w:p>
  </w:footnote>
  <w:footnote w:id="1737">
    <w:p>
      <w:pPr>
        <w:pStyle w:val="FootnoteText"/>
      </w:pPr>
      <w:r>
        <w:rPr>
          <w:rStyle w:val="FootnoteReference"/>
        </w:rPr>
        <w:footnoteRef/>
      </w:r>
      <w:r>
        <w:rPr>
          <w:i/>
          <w:iCs/>
        </w:rPr>
        <w:t xml:space="preserve">9.2r</w:t>
      </w:r>
      <w:r>
        <w:t xml:space="preserve">. JE directs himself to skip to the next leaf, recto.</w:t>
      </w:r>
    </w:p>
  </w:footnote>
  <w:footnote w:id="1738">
    <w:p>
      <w:pPr>
        <w:pStyle w:val="FootnoteText"/>
      </w:pPr>
      <w:r>
        <w:rPr>
          <w:rStyle w:val="FootnoteReference"/>
        </w:rPr>
        <w:footnoteRef/>
      </w:r>
      <w:r>
        <w:rPr>
          <w:i/>
          <w:iCs/>
        </w:rPr>
        <w:t xml:space="preserve">9.1v</w:t>
      </w:r>
      <w:r>
        <w:t xml:space="preserve">. JE directs himself to return to the verso of the preceding leaf.</w:t>
      </w:r>
    </w:p>
  </w:footnote>
  <w:footnote w:id="1739">
    <w:p>
      <w:pPr>
        <w:pStyle w:val="FootnoteText"/>
      </w:pPr>
      <w:r>
        <w:rPr>
          <w:rStyle w:val="FootnoteReference"/>
        </w:rPr>
        <w:footnoteRef/>
      </w:r>
      <w:r>
        <w:rPr>
          <w:i/>
          <w:iCs/>
        </w:rPr>
        <w:t xml:space="preserve">9.2v</w:t>
      </w:r>
      <w:r>
        <w:t xml:space="preserve">. JE moves to the verso of the next leaf.</w:t>
      </w:r>
    </w:p>
  </w:footnote>
  <w:footnote w:id="1740">
    <w:p>
      <w:pPr>
        <w:pStyle w:val="FootnoteText"/>
      </w:pPr>
      <w:r>
        <w:rPr>
          <w:rStyle w:val="FootnoteReference"/>
        </w:rPr>
        <w:footnoteRef/>
      </w:r>
      <w:r>
        <w:rPr>
          <w:i/>
          <w:iCs/>
        </w:rPr>
        <w:t xml:space="preserve">(1.)</w:t>
      </w:r>
      <w:r>
        <w:t xml:space="preserve">.</w:t>
      </w:r>
    </w:p>
  </w:footnote>
  <w:footnote w:id="1741">
    <w:p>
      <w:pPr>
        <w:pStyle w:val="FootnoteText"/>
      </w:pPr>
      <w:r>
        <w:rPr>
          <w:rStyle w:val="FootnoteReference"/>
        </w:rPr>
        <w:footnoteRef/>
      </w:r>
      <w:r>
        <w:rPr>
          <w:i/>
          <w:iCs/>
        </w:rPr>
        <w:t xml:space="preserve">(a.)</w:t>
      </w:r>
      <w:r>
        <w:t xml:space="preserve">.</w:t>
      </w:r>
    </w:p>
  </w:footnote>
  <w:footnote w:id="1742">
    <w:p>
      <w:pPr>
        <w:pStyle w:val="FootnoteText"/>
      </w:pPr>
      <w:r>
        <w:rPr>
          <w:rStyle w:val="FootnoteReference"/>
        </w:rPr>
        <w:footnoteRef/>
      </w:r>
      <w:r>
        <w:t xml:space="preserve">This whole paragraph refers to Revelation 12:7–15.</w:t>
      </w:r>
    </w:p>
  </w:footnote>
  <w:footnote w:id="1743">
    <w:p>
      <w:pPr>
        <w:pStyle w:val="FootnoteText"/>
      </w:pPr>
      <w:r>
        <w:rPr>
          <w:rStyle w:val="FootnoteReference"/>
        </w:rPr>
        <w:footnoteRef/>
      </w:r>
      <w:r>
        <w:rPr>
          <w:i/>
          <w:iCs/>
        </w:rPr>
        <w:t xml:space="preserve">9.3r</w:t>
      </w:r>
      <w:r>
        <w:t xml:space="preserve">.</w:t>
      </w:r>
    </w:p>
  </w:footnote>
  <w:footnote w:id="1744">
    <w:p>
      <w:pPr>
        <w:pStyle w:val="FootnoteText"/>
      </w:pPr>
      <w:r>
        <w:rPr>
          <w:rStyle w:val="FootnoteReference"/>
        </w:rPr>
        <w:footnoteRef/>
      </w:r>
      <w:r>
        <w:rPr>
          <w:i/>
          <w:iCs/>
        </w:rPr>
        <w:t xml:space="preserve">1</w:t>
      </w:r>
      <w:r>
        <w:t xml:space="preserve">.</w:t>
      </w:r>
    </w:p>
  </w:footnote>
  <w:footnote w:id="1745">
    <w:p>
      <w:pPr>
        <w:pStyle w:val="FootnoteText"/>
      </w:pPr>
      <w:r>
        <w:rPr>
          <w:rStyle w:val="FootnoteReference"/>
        </w:rPr>
        <w:footnoteRef/>
      </w:r>
      <w:r>
        <w:t xml:space="preserve">See Revelation 7:1–4; Revelation 8:1.</w:t>
      </w:r>
    </w:p>
  </w:footnote>
  <w:footnote w:id="1746">
    <w:p>
      <w:pPr>
        <w:pStyle w:val="FootnoteText"/>
      </w:pPr>
      <w:r>
        <w:rPr>
          <w:rStyle w:val="FootnoteReference"/>
        </w:rPr>
        <w:footnoteRef/>
      </w:r>
      <w:r>
        <w:rPr>
          <w:i/>
          <w:iCs/>
        </w:rPr>
        <w:t xml:space="preserve">9.3v</w:t>
      </w:r>
      <w:r>
        <w:t xml:space="preserve">.</w:t>
      </w:r>
    </w:p>
  </w:footnote>
  <w:footnote w:id="1747">
    <w:p>
      <w:pPr>
        <w:pStyle w:val="FootnoteText"/>
      </w:pPr>
      <w:r>
        <w:rPr>
          <w:rStyle w:val="FootnoteReference"/>
        </w:rPr>
        <w:footnoteRef/>
      </w:r>
      <w:r>
        <w:t xml:space="preserve">A second reference to Revelation 12:7–15.</w:t>
      </w:r>
    </w:p>
  </w:footnote>
  <w:footnote w:id="1748">
    <w:p>
      <w:pPr>
        <w:pStyle w:val="FootnoteText"/>
      </w:pPr>
      <w:r>
        <w:rPr>
          <w:rStyle w:val="FootnoteReference"/>
        </w:rPr>
        <w:footnoteRef/>
      </w:r>
      <w:r>
        <w:rPr>
          <w:i/>
          <w:iCs/>
        </w:rPr>
        <w:t xml:space="preserve">9.4r</w:t>
      </w:r>
      <w:r>
        <w:t xml:space="preserve">.</w:t>
      </w:r>
    </w:p>
  </w:footnote>
  <w:footnote w:id="1749">
    <w:p>
      <w:pPr>
        <w:pStyle w:val="FootnoteText"/>
      </w:pPr>
      <w:r>
        <w:rPr>
          <w:rStyle w:val="FootnoteReference"/>
        </w:rPr>
        <w:footnoteRef/>
      </w:r>
      <w:r>
        <w:rPr>
          <w:i/>
          <w:iCs/>
        </w:rPr>
        <w:t xml:space="preserve">2</w:t>
      </w:r>
      <w:r>
        <w:t xml:space="preserve">.</w:t>
      </w:r>
    </w:p>
  </w:footnote>
  <w:footnote w:id="1750">
    <w:p>
      <w:pPr>
        <w:pStyle w:val="FootnoteText"/>
      </w:pPr>
      <w:r>
        <w:rPr>
          <w:rStyle w:val="FootnoteReference"/>
        </w:rPr>
        <w:footnoteRef/>
      </w:r>
      <w:r>
        <w:rPr>
          <w:i/>
          <w:iCs/>
        </w:rPr>
        <w:t xml:space="preserve">a</w:t>
      </w:r>
      <w:r>
        <w:t xml:space="preserve">.</w:t>
      </w:r>
    </w:p>
  </w:footnote>
  <w:footnote w:id="1751">
    <w:p>
      <w:pPr>
        <w:pStyle w:val="FootnoteText"/>
      </w:pPr>
      <w:r>
        <w:rPr>
          <w:rStyle w:val="FootnoteReference"/>
        </w:rPr>
        <w:footnoteRef/>
      </w:r>
      <w:r>
        <w:rPr>
          <w:i/>
          <w:iCs/>
        </w:rPr>
        <w:t xml:space="preserve">9.4v</w:t>
      </w:r>
      <w:r>
        <w:t xml:space="preserve">.</w:t>
      </w:r>
    </w:p>
  </w:footnote>
  <w:footnote w:id="1752">
    <w:p>
      <w:pPr>
        <w:pStyle w:val="FootnoteText"/>
      </w:pPr>
      <w:r>
        <w:rPr>
          <w:rStyle w:val="FootnoteReference"/>
        </w:rPr>
        <w:footnoteRef/>
      </w:r>
      <w:r>
        <w:t xml:space="preserve">This legendary account is first recorded in the </w:t>
      </w:r>
      <w:r>
        <w:rPr>
          <w:i/>
          <w:iCs/>
        </w:rPr>
        <w:t xml:space="preserve">Ecclesiastical History</w:t>
      </w:r>
      <w:r>
        <w:t xml:space="preserve"> of Theodoret of Cyr (</w:t>
      </w:r>
      <w:r>
        <w:rPr>
          <w:i/>
          <w:iCs/>
        </w:rPr>
        <w:t xml:space="preserve">Hist. Eccl</w:t>
      </w:r>
      <w:r>
        <w:t xml:space="preserve">. 3.20).</w:t>
      </w:r>
    </w:p>
  </w:footnote>
  <w:footnote w:id="1753">
    <w:p>
      <w:pPr>
        <w:pStyle w:val="FootnoteText"/>
      </w:pPr>
      <w:r>
        <w:rPr>
          <w:rStyle w:val="FootnoteReference"/>
        </w:rPr>
        <w:footnoteRef/>
      </w:r>
      <w:r>
        <w:t xml:space="preserve">The "unpardonable sin" is normally taken to be blasphemy against the Holy Spirit (Matthew 12:31). JE apparently refers here to Julian's apostasy, which was commonly remarked upon in the tradition.</w:t>
      </w:r>
    </w:p>
  </w:footnote>
  <w:footnote w:id="1754">
    <w:p>
      <w:pPr>
        <w:pStyle w:val="FootnoteText"/>
      </w:pPr>
      <w:r>
        <w:rPr>
          <w:rStyle w:val="FootnoteReference"/>
        </w:rPr>
        <w:footnoteRef/>
      </w:r>
      <w:r>
        <w:rPr>
          <w:i/>
          <w:iCs/>
        </w:rPr>
        <w:t xml:space="preserve">9.5r</w:t>
      </w:r>
      <w:r>
        <w:t xml:space="preserve">. JE directs himself to the next leaf, recto. This single leaf appears to have been added by JE after the original composition of the sermon, probably prior to delivery. It is sewn to the preceding leaf.</w:t>
      </w:r>
    </w:p>
  </w:footnote>
  <w:footnote w:id="1755">
    <w:p>
      <w:pPr>
        <w:pStyle w:val="FootnoteText"/>
      </w:pPr>
      <w:r>
        <w:rPr>
          <w:rStyle w:val="FootnoteReference"/>
        </w:rPr>
        <w:footnoteRef/>
      </w:r>
      <w:r>
        <w:rPr>
          <w:i/>
          <w:iCs/>
        </w:rPr>
        <w:t xml:space="preserve">b</w:t>
      </w:r>
      <w:r>
        <w:t xml:space="preserve">.</w:t>
      </w:r>
    </w:p>
  </w:footnote>
  <w:footnote w:id="1756">
    <w:p>
      <w:pPr>
        <w:pStyle w:val="FootnoteText"/>
      </w:pPr>
      <w:r>
        <w:rPr>
          <w:rStyle w:val="FootnoteReference"/>
        </w:rPr>
        <w:footnoteRef/>
      </w:r>
      <w:r>
        <w:t xml:space="preserve">See e.g. Revelation 17:3, Revelation 17:12–18.</w:t>
      </w:r>
    </w:p>
  </w:footnote>
  <w:footnote w:id="1757">
    <w:p>
      <w:pPr>
        <w:pStyle w:val="FootnoteText"/>
      </w:pPr>
      <w:r>
        <w:rPr>
          <w:rStyle w:val="FootnoteReference"/>
        </w:rPr>
        <w:footnoteRef/>
      </w:r>
      <w:r>
        <w:t xml:space="preserve">For the image, see Daniel 2:31–45.</w:t>
      </w:r>
    </w:p>
  </w:footnote>
  <w:footnote w:id="1758">
    <w:p>
      <w:pPr>
        <w:pStyle w:val="FootnoteText"/>
      </w:pPr>
      <w:r>
        <w:rPr>
          <w:rStyle w:val="FootnoteReference"/>
        </w:rPr>
        <w:footnoteRef/>
      </w:r>
      <w:r>
        <w:rPr>
          <w:i/>
          <w:iCs/>
        </w:rPr>
        <w:t xml:space="preserve">9. 5v</w:t>
      </w:r>
      <w:r>
        <w:t xml:space="preserve">.</w:t>
      </w:r>
    </w:p>
  </w:footnote>
  <w:footnote w:id="1759">
    <w:p>
      <w:pPr>
        <w:pStyle w:val="FootnoteText"/>
      </w:pPr>
      <w:r>
        <w:rPr>
          <w:rStyle w:val="FootnoteReference"/>
        </w:rPr>
        <w:footnoteRef/>
      </w:r>
      <w:r>
        <w:t xml:space="preserve">See Revelation 8:6–13.</w:t>
      </w:r>
    </w:p>
  </w:footnote>
  <w:footnote w:id="1760">
    <w:p>
      <w:pPr>
        <w:pStyle w:val="FootnoteText"/>
      </w:pPr>
      <w:r>
        <w:rPr>
          <w:rStyle w:val="FootnoteReference"/>
        </w:rPr>
        <w:footnoteRef/>
      </w:r>
      <w:r>
        <w:rPr>
          <w:i/>
          <w:iCs/>
        </w:rPr>
        <w:t xml:space="preserve">9.4v</w:t>
      </w:r>
      <w:r>
        <w:t xml:space="preserve">. JE returns to the preceding leaf, verso.</w:t>
      </w:r>
    </w:p>
  </w:footnote>
  <w:footnote w:id="1761">
    <w:p>
      <w:pPr>
        <w:pStyle w:val="FootnoteText"/>
      </w:pPr>
      <w:r>
        <w:rPr>
          <w:rStyle w:val="FootnoteReference"/>
        </w:rPr>
        <w:footnoteRef/>
      </w:r>
      <w:r>
        <w:rPr>
          <w:i/>
          <w:iCs/>
        </w:rPr>
        <w:t xml:space="preserve">(b.)</w:t>
      </w:r>
      <w:r>
        <w:t xml:space="preserve">.</w:t>
      </w:r>
    </w:p>
  </w:footnote>
  <w:footnote w:id="1762">
    <w:p>
      <w:pPr>
        <w:pStyle w:val="FootnoteText"/>
      </w:pPr>
      <w:r>
        <w:rPr>
          <w:rStyle w:val="FootnoteReference"/>
        </w:rPr>
        <w:footnoteRef/>
      </w:r>
      <w:r>
        <w:rPr>
          <w:i/>
          <w:iCs/>
        </w:rPr>
        <w:t xml:space="preserve">9.6r</w:t>
      </w:r>
      <w:r>
        <w:t xml:space="preserve">. Leaf breaks at "notwith." JE moves forward several leaves to continue his discussion.</w:t>
      </w:r>
    </w:p>
  </w:footnote>
  <w:footnote w:id="1763">
    <w:p>
      <w:pPr>
        <w:pStyle w:val="FootnoteText"/>
      </w:pPr>
      <w:r>
        <w:rPr>
          <w:rStyle w:val="FootnoteReference"/>
        </w:rPr>
        <w:footnoteRef/>
      </w:r>
      <w:r>
        <w:rPr>
          <w:i/>
          <w:iCs/>
        </w:rPr>
        <w:t xml:space="preserve">1</w:t>
      </w:r>
      <w:r>
        <w:t xml:space="preserve">.</w:t>
      </w:r>
    </w:p>
  </w:footnote>
  <w:footnote w:id="1764">
    <w:p>
      <w:pPr>
        <w:pStyle w:val="FootnoteText"/>
      </w:pPr>
      <w:r>
        <w:rPr>
          <w:rStyle w:val="FootnoteReference"/>
        </w:rPr>
        <w:footnoteRef/>
      </w:r>
      <w:r>
        <w:t xml:space="preserve">See Revelation 12:15–16.</w:t>
      </w:r>
    </w:p>
  </w:footnote>
  <w:footnote w:id="1765">
    <w:p>
      <w:pPr>
        <w:pStyle w:val="FootnoteText"/>
      </w:pPr>
      <w:r>
        <w:rPr>
          <w:rStyle w:val="FootnoteReference"/>
        </w:rPr>
        <w:footnoteRef/>
      </w:r>
      <w:r>
        <w:t xml:space="preserve">At this point JE introduced a notation that is not elaborated. It reads, "I mention of the northern nations."</w:t>
      </w:r>
    </w:p>
  </w:footnote>
  <w:footnote w:id="1766">
    <w:p>
      <w:pPr>
        <w:pStyle w:val="FootnoteText"/>
      </w:pPr>
      <w:r>
        <w:rPr>
          <w:rStyle w:val="FootnoteReference"/>
        </w:rPr>
        <w:footnoteRef/>
      </w:r>
      <w:r>
        <w:rPr>
          <w:i/>
          <w:iCs/>
        </w:rPr>
        <w:t xml:space="preserve">2</w:t>
      </w:r>
      <w:r>
        <w:t xml:space="preserve">.</w:t>
      </w:r>
    </w:p>
  </w:footnote>
  <w:footnote w:id="1767">
    <w:p>
      <w:pPr>
        <w:pStyle w:val="FootnoteText"/>
      </w:pPr>
      <w:r>
        <w:rPr>
          <w:rStyle w:val="FootnoteReference"/>
        </w:rPr>
        <w:footnoteRef/>
      </w:r>
      <w:r>
        <w:t xml:space="preserve">It is clear from JE's reading that as books on the spread of Christianity came to his attention he sought them out. For example, in his "Catalogue of Books" there is the following entry, which must be dated roughly to the period when he was working on this sermon series: "Dr. George Bensons An History of the first planting of Christianity in two vols. quarto printed by Subscription. I saw an advertisement of it in a late Book at mr diodates at New haven in Novem. 1737. mention'd doddridge Exp. vol. 3 p. 2. note see p. 23. col. 1." Undoubtedly this and other like references came from such reading.</w:t>
      </w:r>
    </w:p>
  </w:footnote>
  <w:footnote w:id="1768">
    <w:p>
      <w:pPr>
        <w:pStyle w:val="FootnoteText"/>
      </w:pPr>
      <w:r>
        <w:rPr>
          <w:rStyle w:val="FootnoteReference"/>
        </w:rPr>
        <w:footnoteRef/>
      </w:r>
      <w:r>
        <w:rPr>
          <w:i/>
          <w:iCs/>
        </w:rPr>
        <w:t xml:space="preserve">9.6v</w:t>
      </w:r>
      <w:r>
        <w:t xml:space="preserve">.</w:t>
      </w:r>
    </w:p>
  </w:footnote>
  <w:footnote w:id="1769">
    <w:p>
      <w:pPr>
        <w:pStyle w:val="FootnoteText"/>
      </w:pPr>
      <w:r>
        <w:rPr>
          <w:rStyle w:val="FootnoteReference"/>
        </w:rPr>
        <w:footnoteRef/>
      </w:r>
      <w:r>
        <w:rPr>
          <w:i/>
          <w:iCs/>
        </w:rPr>
        <w:t xml:space="preserve">9.7r</w:t>
      </w:r>
      <w:r>
        <w:t xml:space="preserve">. JE deleted the following section: "And soon after the conclusion of this century, heathenism was entirely rooted out of the Roman empire. For after the great revolution in Constantine's time, there were [here JE moves to next leaf] numbers of people scattered up and down that were yet fond of heathenism which by degrees dwindled, till at length soon after the year of Christ 400 there were scarce any to be found in the Roman empire, but heathenism now had its seat only in distant barbarous nations."</w:t>
      </w:r>
    </w:p>
  </w:footnote>
  <w:footnote w:id="1770">
    <w:p>
      <w:pPr>
        <w:pStyle w:val="FootnoteText"/>
      </w:pPr>
      <w:r>
        <w:rPr>
          <w:rStyle w:val="FootnoteReference"/>
        </w:rPr>
        <w:footnoteRef/>
      </w:r>
      <w:r>
        <w:rPr>
          <w:i/>
          <w:iCs/>
        </w:rPr>
        <w:t xml:space="preserve">9.7v</w:t>
      </w:r>
      <w:r>
        <w:t xml:space="preserve">.</w:t>
      </w:r>
    </w:p>
  </w:footnote>
  <w:footnote w:id="1771">
    <w:p>
      <w:pPr>
        <w:pStyle w:val="FootnoteText"/>
      </w:pPr>
      <w:r>
        <w:rPr>
          <w:rStyle w:val="FootnoteReference"/>
        </w:rPr>
        <w:footnoteRef/>
      </w:r>
      <w:r>
        <w:t xml:space="preserve">JE deleted the following section: "After this, about the year of Christ 541, one Adad, King of Ethiopia, sent ambassadors to the Christian emperor, praying him to find him bishops and teachers to instruct himself and his people in the Christian faith and turn them from idolatry, which was accordingly done."</w:t>
      </w:r>
    </w:p>
  </w:footnote>
  <w:footnote w:id="1772">
    <w:p>
      <w:pPr>
        <w:pStyle w:val="FootnoteText"/>
      </w:pPr>
      <w:r>
        <w:rPr>
          <w:rStyle w:val="FootnoteReference"/>
        </w:rPr>
        <w:footnoteRef/>
      </w:r>
      <w:r>
        <w:t xml:space="preserve">JE deleted the following section, although a symbol may indicate that it was intended to follow the last deleted section. "In this century the Saxons, a people that had lately conquered and overrun England, then began to embrace the Christian religion; for though the Christian religion had been settled in England long before this, yet these Saxons that now conquered and came from oversea were till now heathen."</w:t>
      </w:r>
    </w:p>
  </w:footnote>
  <w:footnote w:id="1773">
    <w:p>
      <w:pPr>
        <w:pStyle w:val="FootnoteText"/>
      </w:pPr>
      <w:r>
        <w:rPr>
          <w:rStyle w:val="FootnoteReference"/>
        </w:rPr>
        <w:footnoteRef/>
      </w:r>
      <w:r>
        <w:rPr>
          <w:i/>
          <w:iCs/>
        </w:rPr>
        <w:t xml:space="preserve">9.8r</w:t>
      </w:r>
      <w:r>
        <w:t xml:space="preserve">.</w:t>
      </w:r>
    </w:p>
  </w:footnote>
  <w:footnote w:id="1774">
    <w:p>
      <w:pPr>
        <w:pStyle w:val="FootnoteText"/>
      </w:pPr>
      <w:r>
        <w:rPr>
          <w:rStyle w:val="FootnoteReference"/>
        </w:rPr>
        <w:footnoteRef/>
      </w:r>
      <w:r>
        <w:rPr>
          <w:i/>
          <w:iCs/>
        </w:rPr>
        <w:t xml:space="preserve">(2.)</w:t>
      </w:r>
      <w:r>
        <w:t xml:space="preserve">.</w:t>
      </w:r>
    </w:p>
  </w:footnote>
  <w:footnote w:id="1775">
    <w:p>
      <w:pPr>
        <w:pStyle w:val="FootnoteText"/>
      </w:pPr>
      <w:r>
        <w:rPr>
          <w:rStyle w:val="FootnoteReference"/>
        </w:rPr>
        <w:footnoteRef/>
      </w:r>
      <w:r>
        <w:t xml:space="preserve">A reference to Revelation 12:14.</w:t>
      </w:r>
    </w:p>
  </w:footnote>
  <w:footnote w:id="1776">
    <w:p>
      <w:pPr>
        <w:pStyle w:val="FootnoteText"/>
      </w:pPr>
      <w:r>
        <w:rPr>
          <w:rStyle w:val="FootnoteReference"/>
        </w:rPr>
        <w:footnoteRef/>
      </w:r>
      <w:r>
        <w:rPr>
          <w:i/>
          <w:iCs/>
        </w:rPr>
        <w:t xml:space="preserve">9.8v</w:t>
      </w:r>
      <w:r>
        <w:t xml:space="preserve">.</w:t>
      </w:r>
    </w:p>
  </w:footnote>
  <w:footnote w:id="1777">
    <w:p>
      <w:pPr>
        <w:pStyle w:val="FootnoteText"/>
      </w:pPr>
      <w:r>
        <w:rPr>
          <w:rStyle w:val="FootnoteReference"/>
        </w:rPr>
        <w:footnoteRef/>
      </w:r>
      <w:r>
        <w:rPr>
          <w:i/>
          <w:iCs/>
        </w:rPr>
        <w:t xml:space="preserve">(a.)</w:t>
      </w:r>
      <w:r>
        <w:t xml:space="preserve">.</w:t>
      </w:r>
    </w:p>
  </w:footnote>
  <w:footnote w:id="1778">
    <w:p>
      <w:pPr>
        <w:pStyle w:val="FootnoteText"/>
      </w:pPr>
      <w:r>
        <w:rPr>
          <w:rStyle w:val="FootnoteReference"/>
        </w:rPr>
        <w:footnoteRef/>
      </w:r>
      <w:r>
        <w:rPr>
          <w:i/>
          <w:iCs/>
        </w:rPr>
        <w:t xml:space="preserve">9.9r</w:t>
      </w:r>
      <w:r>
        <w:t xml:space="preserve">.</w:t>
      </w:r>
    </w:p>
  </w:footnote>
  <w:footnote w:id="1779">
    <w:p>
      <w:pPr>
        <w:pStyle w:val="FootnoteText"/>
      </w:pPr>
      <w:r>
        <w:rPr>
          <w:rStyle w:val="FootnoteReference"/>
        </w:rPr>
        <w:footnoteRef/>
      </w:r>
      <w:r>
        <w:rPr>
          <w:i/>
          <w:iCs/>
        </w:rPr>
        <w:t xml:space="preserve">9.9v</w:t>
      </w:r>
      <w:r>
        <w:t xml:space="preserve">.</w:t>
      </w:r>
    </w:p>
  </w:footnote>
  <w:footnote w:id="1780">
    <w:p>
      <w:pPr>
        <w:pStyle w:val="FootnoteText"/>
      </w:pPr>
      <w:r>
        <w:rPr>
          <w:rStyle w:val="FootnoteReference"/>
        </w:rPr>
        <w:footnoteRef/>
      </w:r>
      <w:r>
        <w:rPr>
          <w:i/>
          <w:iCs/>
        </w:rPr>
        <w:t xml:space="preserve">1</w:t>
      </w:r>
      <w:r>
        <w:t xml:space="preserve">.</w:t>
      </w:r>
    </w:p>
  </w:footnote>
  <w:footnote w:id="1781">
    <w:p>
      <w:pPr>
        <w:pStyle w:val="FootnoteText"/>
      </w:pPr>
      <w:r>
        <w:rPr>
          <w:rStyle w:val="FootnoteReference"/>
        </w:rPr>
        <w:footnoteRef/>
      </w:r>
      <w:r>
        <w:t xml:space="preserve">JE directs himself to the bottom of the leaf.</w:t>
      </w:r>
    </w:p>
  </w:footnote>
  <w:footnote w:id="1782">
    <w:p>
      <w:pPr>
        <w:pStyle w:val="FootnoteText"/>
      </w:pPr>
      <w:r>
        <w:rPr>
          <w:rStyle w:val="FootnoteReference"/>
        </w:rPr>
        <w:footnoteRef/>
      </w:r>
      <w:r>
        <w:rPr>
          <w:i/>
          <w:iCs/>
        </w:rPr>
        <w:t xml:space="preserve">9.10r</w:t>
      </w:r>
      <w:r>
        <w:t xml:space="preserve">.</w:t>
      </w:r>
    </w:p>
  </w:footnote>
  <w:footnote w:id="1783">
    <w:p>
      <w:pPr>
        <w:pStyle w:val="FootnoteText"/>
      </w:pPr>
      <w:r>
        <w:rPr>
          <w:rStyle w:val="FootnoteReference"/>
        </w:rPr>
        <w:footnoteRef/>
      </w:r>
      <w:r>
        <w:rPr>
          <w:i/>
          <w:iCs/>
        </w:rPr>
        <w:t xml:space="preserve">9.10v</w:t>
      </w:r>
      <w:r>
        <w:t xml:space="preserve">.</w:t>
      </w:r>
    </w:p>
  </w:footnote>
  <w:footnote w:id="1784">
    <w:p>
      <w:pPr>
        <w:pStyle w:val="FootnoteText"/>
      </w:pPr>
      <w:r>
        <w:rPr>
          <w:rStyle w:val="FootnoteReference"/>
        </w:rPr>
        <w:footnoteRef/>
      </w:r>
      <w:r>
        <w:t xml:space="preserve">JE loosely paraphrases Revelation 13:3–4.</w:t>
      </w:r>
    </w:p>
  </w:footnote>
  <w:footnote w:id="1785">
    <w:p>
      <w:pPr>
        <w:pStyle w:val="FootnoteText"/>
      </w:pPr>
      <w:r>
        <w:rPr>
          <w:rStyle w:val="FootnoteReference"/>
        </w:rPr>
        <w:footnoteRef/>
      </w:r>
      <w:r>
        <w:rPr>
          <w:i/>
          <w:iCs/>
        </w:rPr>
        <w:t xml:space="preserve">9.9v</w:t>
      </w:r>
      <w:r>
        <w:t xml:space="preserve">. JE directs himself to return to the verso of the preceding leaf.</w:t>
      </w:r>
    </w:p>
  </w:footnote>
  <w:footnote w:id="1786">
    <w:p>
      <w:pPr>
        <w:pStyle w:val="FootnoteText"/>
      </w:pPr>
      <w:r>
        <w:rPr>
          <w:rStyle w:val="FootnoteReference"/>
        </w:rPr>
        <w:footnoteRef/>
      </w:r>
      <w:r>
        <w:t xml:space="preserve">JE here alludes to one of his consuming interests, that of decoding the apocalyptic passages of Scripture and harmonizing them. This interest led to the creation of a substantial notebook known as "Notes on the Apocalypse." This has been transcribed, edited, and published by Stephen J. Stein in </w:t>
      </w:r>
      <w:r>
        <w:rPr>
          <w:i/>
          <w:iCs/>
        </w:rPr>
        <w:t xml:space="preserve">Works</w:t>
      </w:r>
      <w:r>
        <w:t xml:space="preserve"> (Yale ed.), </w:t>
      </w:r>
      <w:r>
        <w:rPr>
          <w:i/>
          <w:iCs/>
        </w:rPr>
        <w:t xml:space="preserve">5</w:t>
      </w:r>
      <w:r>
        <w:t xml:space="preserve">. For a brief discussion of the "divines and expositors" JE knew well see the editor's introduction to that volume, especially "Edwards' Sources," pp. 54–74.</w:t>
      </w:r>
    </w:p>
  </w:footnote>
  <w:footnote w:id="1787">
    <w:p>
      <w:pPr>
        <w:pStyle w:val="FootnoteText"/>
      </w:pPr>
      <w:r>
        <w:rPr>
          <w:rStyle w:val="FootnoteReference"/>
        </w:rPr>
        <w:footnoteRef/>
      </w:r>
      <w:r>
        <w:t xml:space="preserve">JE apparently has in mind the formula of three and one-half days, each day symbolically standing for 360 years, which may be found in Revelation 12:14. The period of 1,290 days is also found in Daniel 12:11. Since JE is preaching in 1739, he assumes that, since the "1260 days" are not completed, the reign of Antichrist could not have begun prior to 480.</w:t>
      </w:r>
    </w:p>
  </w:footnote>
  <w:footnote w:id="1788">
    <w:p>
      <w:pPr>
        <w:pStyle w:val="FootnoteText"/>
      </w:pPr>
      <w:r>
        <w:rPr>
          <w:rStyle w:val="FootnoteReference"/>
        </w:rPr>
        <w:footnoteRef/>
      </w:r>
      <w:r>
        <w:rPr>
          <w:i/>
          <w:iCs/>
        </w:rPr>
        <w:t xml:space="preserve">9.10v</w:t>
      </w:r>
      <w:r>
        <w:t xml:space="preserve">. JE directs himself forward to the next leaf, verso.</w:t>
      </w:r>
    </w:p>
  </w:footnote>
  <w:footnote w:id="1789">
    <w:p>
      <w:pPr>
        <w:pStyle w:val="FootnoteText"/>
      </w:pPr>
      <w:r>
        <w:rPr>
          <w:rStyle w:val="FootnoteReference"/>
        </w:rPr>
        <w:footnoteRef/>
      </w:r>
      <w:r>
        <w:rPr>
          <w:i/>
          <w:iCs/>
        </w:rPr>
        <w:t xml:space="preserve">9.11r</w:t>
      </w:r>
      <w:r>
        <w:t xml:space="preserve">.</w:t>
      </w:r>
    </w:p>
  </w:footnote>
  <w:footnote w:id="1790">
    <w:p>
      <w:pPr>
        <w:pStyle w:val="FootnoteText"/>
      </w:pPr>
      <w:r>
        <w:rPr>
          <w:rStyle w:val="FootnoteReference"/>
        </w:rPr>
        <w:footnoteRef/>
      </w:r>
      <w:r>
        <w:rPr>
          <w:i/>
          <w:iCs/>
        </w:rPr>
        <w:t xml:space="preserve">9.11v</w:t>
      </w:r>
      <w:r>
        <w:t xml:space="preserve">.</w:t>
      </w:r>
    </w:p>
  </w:footnote>
  <w:footnote w:id="1791">
    <w:p>
      <w:pPr>
        <w:pStyle w:val="FootnoteText"/>
      </w:pPr>
      <w:r>
        <w:rPr>
          <w:rStyle w:val="FootnoteReference"/>
        </w:rPr>
        <w:footnoteRef/>
      </w:r>
      <w:r>
        <w:rPr>
          <w:i/>
          <w:iCs/>
        </w:rPr>
        <w:t xml:space="preserve">9.12r</w:t>
      </w:r>
      <w:r>
        <w:t xml:space="preserve">. At this point two loose leaves were inserted in the booklet, presumably by JE as he considered revisions. They are not integral to the sermon manuscript. The first (</w:t>
      </w:r>
      <w:r>
        <w:rPr>
          <w:i/>
          <w:iCs/>
        </w:rPr>
        <w:t xml:space="preserve">9.IIa</w:t>
      </w:r>
      <w:r>
        <w:t xml:space="preserve">) appears to be a letter cover originally addressed to "The Rev'd mr. Edwards/Pastor of the Church, Northampton." This direction appears on </w:t>
      </w:r>
      <w:r>
        <w:rPr>
          <w:i/>
          <w:iCs/>
        </w:rPr>
        <w:t xml:space="preserve">9.IIa</w:t>
      </w:r>
      <w:r>
        <w:t xml:space="preserve">, verso. Leaf </w:t>
      </w:r>
      <w:r>
        <w:rPr>
          <w:i/>
          <w:iCs/>
        </w:rPr>
        <w:t xml:space="preserve">9.IIa</w:t>
      </w:r>
      <w:r>
        <w:t xml:space="preserve"> recto reads: The glorious time the people appointed season of actual redemption—new creation. As God has elect persons and elect nations, elect places and countries, so he has his elect times and seasons; Called accepted times. [See 2 Corinthians 6:2; Isaiah 49:8.] This above all other times is God's elect age. To observe as I go along through the times of the Old Testament what a trial the elect angels had of their obedience from time to time, at the time when the children of Israel were brought out of Egypt when they ministered to God's people then, and so under one remarkable dispensation and another. </w:t>
      </w:r>
      <w:r>
        <w:rPr>
          <w:i/>
          <w:iCs/>
        </w:rPr>
        <w:t xml:space="preserve">9.IIa</w:t>
      </w:r>
      <w:r>
        <w:t xml:space="preserve"> verso, in addition to the address, reads: Light was exhibited to the Gentile world by Jonah's preaching to the Ninevites and the things that attended it. So again light was exhibited by making known the true God to Alexander in his passing through Judea by the prophecies of his own conquests. When God shows great favor to his church accomplishing great things, it is to be remembered after some great offense, see Jeremiah 31 at the beginning and many other places [Jeremiah 31:1–7]. The glorious times how they will gradually come on the church of God on earth, will gradually ripen for that greatest glory when all things are settled in clearest brightness and greatest peace and purity, as the times are gradually prepared for their flourishing state in summer by the gradual increase of heat from the depth of the winter. Sometimes a very warm and pleasant season and then cold returns again to give a check to the sap. Otherwise the too sudden growth of the trees would issue in their death. The second leaf (</w:t>
      </w:r>
      <w:r>
        <w:rPr>
          <w:i/>
          <w:iCs/>
        </w:rPr>
        <w:t xml:space="preserve">9.IIb</w:t>
      </w:r>
      <w:r>
        <w:t xml:space="preserve">) is a small, irregularly shaped scrap of paper of which JE uses only one side. It reads: "It will greatly require the end of the world that such a glorious temple is wickedly destroyed. Because the life and last means will be rejected."</w:t>
      </w:r>
    </w:p>
  </w:footnote>
  <w:footnote w:id="1792">
    <w:p>
      <w:pPr>
        <w:pStyle w:val="FootnoteText"/>
      </w:pPr>
      <w:r>
        <w:rPr>
          <w:rStyle w:val="FootnoteReference"/>
        </w:rPr>
        <w:footnoteRef/>
      </w:r>
      <w:r>
        <w:t xml:space="preserve">Bracketed words are required by JE's rhetoric.</w:t>
      </w:r>
    </w:p>
  </w:footnote>
  <w:footnote w:id="1793">
    <w:p>
      <w:pPr>
        <w:pStyle w:val="FootnoteText"/>
      </w:pPr>
      <w:r>
        <w:rPr>
          <w:rStyle w:val="FootnoteReference"/>
        </w:rPr>
        <w:footnoteRef/>
      </w:r>
      <w:r>
        <w:rPr>
          <w:i/>
          <w:iCs/>
        </w:rPr>
        <w:t xml:space="preserve">9.12v</w:t>
      </w:r>
      <w:r>
        <w:t xml:space="preserve">.</w:t>
      </w:r>
    </w:p>
  </w:footnote>
  <w:footnote w:id="1794">
    <w:p>
      <w:pPr>
        <w:pStyle w:val="FootnoteText"/>
      </w:pPr>
      <w:r>
        <w:rPr>
          <w:rStyle w:val="FootnoteReference"/>
        </w:rPr>
        <w:footnoteRef/>
      </w:r>
      <w:r>
        <w:rPr>
          <w:i/>
          <w:iCs/>
        </w:rPr>
        <w:t xml:space="preserve">9.13r</w:t>
      </w:r>
      <w:r>
        <w:t xml:space="preserve">.</w:t>
      </w:r>
    </w:p>
  </w:footnote>
  <w:footnote w:id="1795">
    <w:p>
      <w:pPr>
        <w:pStyle w:val="FootnoteText"/>
      </w:pPr>
      <w:r>
        <w:rPr>
          <w:rStyle w:val="FootnoteReference"/>
        </w:rPr>
        <w:footnoteRef/>
      </w:r>
      <w:r>
        <w:t xml:space="preserve">See Revelation 11:3–14; Revelation 12:14.</w:t>
      </w:r>
    </w:p>
  </w:footnote>
  <w:footnote w:id="1796">
    <w:p>
      <w:pPr>
        <w:pStyle w:val="FootnoteText"/>
      </w:pPr>
      <w:r>
        <w:rPr>
          <w:rStyle w:val="FootnoteReference"/>
        </w:rPr>
        <w:footnoteRef/>
      </w:r>
      <w:r>
        <w:rPr>
          <w:i/>
          <w:iCs/>
        </w:rPr>
        <w:t xml:space="preserve">2</w:t>
      </w:r>
      <w:r>
        <w:t xml:space="preserve">.</w:t>
      </w:r>
    </w:p>
  </w:footnote>
  <w:footnote w:id="1797">
    <w:p>
      <w:pPr>
        <w:pStyle w:val="FootnoteText"/>
      </w:pPr>
      <w:r>
        <w:rPr>
          <w:rStyle w:val="FootnoteReference"/>
        </w:rPr>
        <w:footnoteRef/>
      </w:r>
      <w:r>
        <w:rPr>
          <w:i/>
          <w:iCs/>
        </w:rPr>
        <w:t xml:space="preserve">9.13v</w:t>
      </w:r>
      <w:r>
        <w:t xml:space="preserve">.</w:t>
      </w:r>
    </w:p>
  </w:footnote>
  <w:footnote w:id="1798">
    <w:p>
      <w:pPr>
        <w:pStyle w:val="FootnoteText"/>
      </w:pPr>
      <w:r>
        <w:rPr>
          <w:rStyle w:val="FootnoteReference"/>
        </w:rPr>
        <w:footnoteRef/>
      </w:r>
      <w:r>
        <w:t xml:space="preserve">JE confuses the year of Mohammed's hegira with his birth, which was in A.D. 570.</w:t>
      </w:r>
    </w:p>
  </w:footnote>
  <w:footnote w:id="1799">
    <w:p>
      <w:pPr>
        <w:pStyle w:val="FootnoteText"/>
      </w:pPr>
      <w:r>
        <w:rPr>
          <w:rStyle w:val="FootnoteReference"/>
        </w:rPr>
        <w:footnoteRef/>
      </w:r>
      <w:r>
        <w:rPr>
          <w:i/>
          <w:iCs/>
        </w:rPr>
        <w:t xml:space="preserve">9.14r</w:t>
      </w:r>
      <w:r>
        <w:t xml:space="preserve">.</w:t>
      </w:r>
    </w:p>
  </w:footnote>
  <w:footnote w:id="1800">
    <w:p>
      <w:pPr>
        <w:pStyle w:val="FootnoteText"/>
      </w:pPr>
      <w:r>
        <w:rPr>
          <w:rStyle w:val="FootnoteReference"/>
        </w:rPr>
        <w:footnoteRef/>
      </w:r>
      <w:r>
        <w:t xml:space="preserve">The passage is Revelation 9:3–11, the quotation from vv.Revelation 9:3 and 7.</w:t>
      </w:r>
    </w:p>
  </w:footnote>
  <w:footnote w:id="1801">
    <w:p>
      <w:pPr>
        <w:pStyle w:val="FootnoteText"/>
      </w:pPr>
      <w:r>
        <w:rPr>
          <w:rStyle w:val="FootnoteReference"/>
        </w:rPr>
        <w:footnoteRef/>
      </w:r>
      <w:r>
        <w:rPr>
          <w:i/>
          <w:iCs/>
        </w:rPr>
        <w:t xml:space="preserve">9.14v</w:t>
      </w:r>
      <w:r>
        <w:t xml:space="preserve">.</w:t>
      </w:r>
    </w:p>
  </w:footnote>
  <w:footnote w:id="1802">
    <w:p>
      <w:pPr>
        <w:pStyle w:val="FootnoteText"/>
      </w:pPr>
      <w:r>
        <w:rPr>
          <w:rStyle w:val="FootnoteReference"/>
        </w:rPr>
        <w:footnoteRef/>
      </w:r>
      <w:r>
        <w:t xml:space="preserve">JE indicates intent to fill out his list.</w:t>
      </w:r>
    </w:p>
  </w:footnote>
  <w:footnote w:id="1803">
    <w:p>
      <w:pPr>
        <w:pStyle w:val="FootnoteText"/>
      </w:pPr>
      <w:r>
        <w:rPr>
          <w:rStyle w:val="FootnoteReference"/>
        </w:rPr>
        <w:footnoteRef/>
      </w:r>
      <w:r>
        <w:rPr>
          <w:i/>
          <w:iCs/>
        </w:rPr>
        <w:t xml:space="preserve">9.15r</w:t>
      </w:r>
      <w:r>
        <w:t xml:space="preserve">.</w:t>
      </w:r>
    </w:p>
  </w:footnote>
  <w:footnote w:id="1804">
    <w:p>
      <w:pPr>
        <w:pStyle w:val="FootnoteText"/>
      </w:pPr>
      <w:r>
        <w:rPr>
          <w:rStyle w:val="FootnoteReference"/>
        </w:rPr>
        <w:footnoteRef/>
      </w:r>
      <w:r>
        <w:rPr>
          <w:i/>
          <w:iCs/>
        </w:rPr>
        <w:t xml:space="preserve">9.15r</w:t>
      </w:r>
      <w:r>
        <w:t xml:space="preserve">.</w:t>
      </w:r>
    </w:p>
  </w:footnote>
  <w:footnote w:id="1805">
    <w:p>
      <w:pPr>
        <w:pStyle w:val="FootnoteText"/>
      </w:pPr>
      <w:r>
        <w:rPr>
          <w:rStyle w:val="FootnoteReference"/>
        </w:rPr>
        <w:footnoteRef/>
      </w:r>
      <w:r>
        <w:t xml:space="preserve">This sermon contains no indication of the circumstances of its intended delivery. It begins on the same leaf on which Sermon 22 ends.</w:t>
      </w:r>
    </w:p>
  </w:footnote>
  <w:footnote w:id="1806">
    <w:p>
      <w:pPr>
        <w:pStyle w:val="FootnoteText"/>
      </w:pPr>
      <w:r>
        <w:rPr>
          <w:rStyle w:val="FootnoteReference"/>
        </w:rPr>
        <w:footnoteRef/>
      </w:r>
      <w:r>
        <w:t xml:space="preserve">JE indicates intent to provide a schematic outline, as in preceding sermons. Cf. Sermon 22.</w:t>
      </w:r>
    </w:p>
  </w:footnote>
  <w:footnote w:id="1807">
    <w:p>
      <w:pPr>
        <w:pStyle w:val="FootnoteText"/>
      </w:pPr>
      <w:r>
        <w:rPr>
          <w:rStyle w:val="FootnoteReference"/>
        </w:rPr>
        <w:footnoteRef/>
      </w:r>
      <w:r>
        <w:t xml:space="preserve">JE either meant to insert the verb or use "I" as the subject of the sentence in place of "it"</w:t>
      </w:r>
    </w:p>
  </w:footnote>
  <w:footnote w:id="1808">
    <w:p>
      <w:pPr>
        <w:pStyle w:val="FootnoteText"/>
      </w:pPr>
      <w:r>
        <w:rPr>
          <w:rStyle w:val="FootnoteReference"/>
        </w:rPr>
        <w:footnoteRef/>
      </w:r>
      <w:r>
        <w:t xml:space="preserve">Completion of thought required.</w:t>
      </w:r>
    </w:p>
  </w:footnote>
  <w:footnote w:id="1809">
    <w:p>
      <w:pPr>
        <w:pStyle w:val="FootnoteText"/>
      </w:pPr>
      <w:r>
        <w:rPr>
          <w:rStyle w:val="FootnoteReference"/>
        </w:rPr>
        <w:footnoteRef/>
      </w:r>
      <w:r>
        <w:t xml:space="preserve">See n. 4, above.</w:t>
      </w:r>
    </w:p>
  </w:footnote>
  <w:footnote w:id="1810">
    <w:p>
      <w:pPr>
        <w:pStyle w:val="FootnoteText"/>
      </w:pPr>
      <w:r>
        <w:rPr>
          <w:rStyle w:val="FootnoteReference"/>
        </w:rPr>
        <w:footnoteRef/>
      </w:r>
      <w:r>
        <w:rPr>
          <w:i/>
          <w:iCs/>
        </w:rPr>
        <w:t xml:space="preserve">9.15v</w:t>
      </w:r>
      <w:r>
        <w:t xml:space="preserve">.</w:t>
      </w:r>
    </w:p>
  </w:footnote>
  <w:footnote w:id="1811">
    <w:p>
      <w:pPr>
        <w:pStyle w:val="FootnoteText"/>
      </w:pPr>
      <w:r>
        <w:rPr>
          <w:rStyle w:val="FootnoteReference"/>
        </w:rPr>
        <w:footnoteRef/>
      </w:r>
      <w:r>
        <w:rPr>
          <w:i/>
          <w:iCs/>
        </w:rPr>
        <w:t xml:space="preserve">(b.)</w:t>
      </w:r>
      <w:r>
        <w:t xml:space="preserve">.</w:t>
      </w:r>
    </w:p>
  </w:footnote>
  <w:footnote w:id="1812">
    <w:p>
      <w:pPr>
        <w:pStyle w:val="FootnoteText"/>
      </w:pPr>
      <w:r>
        <w:rPr>
          <w:rStyle w:val="FootnoteReference"/>
        </w:rPr>
        <w:footnoteRef/>
      </w:r>
      <w:r>
        <w:rPr>
          <w:i/>
          <w:iCs/>
        </w:rPr>
        <w:t xml:space="preserve">1</w:t>
      </w:r>
      <w:r>
        <w:t xml:space="preserve">.</w:t>
      </w:r>
    </w:p>
  </w:footnote>
  <w:footnote w:id="1813">
    <w:p>
      <w:pPr>
        <w:pStyle w:val="FootnoteText"/>
      </w:pPr>
      <w:r>
        <w:rPr>
          <w:rStyle w:val="FootnoteReference"/>
        </w:rPr>
        <w:footnoteRef/>
      </w:r>
      <w:r>
        <w:t xml:space="preserve">An allusion to Revelation 13:3.</w:t>
      </w:r>
    </w:p>
  </w:footnote>
  <w:footnote w:id="1814">
    <w:p>
      <w:pPr>
        <w:pStyle w:val="FootnoteText"/>
      </w:pPr>
      <w:r>
        <w:rPr>
          <w:rStyle w:val="FootnoteReference"/>
        </w:rPr>
        <w:footnoteRef/>
      </w:r>
      <w:r>
        <w:rPr>
          <w:i/>
          <w:iCs/>
        </w:rPr>
        <w:t xml:space="preserve">9.16r</w:t>
      </w:r>
      <w:r>
        <w:t xml:space="preserve">.</w:t>
      </w:r>
    </w:p>
  </w:footnote>
  <w:footnote w:id="1815">
    <w:p>
      <w:pPr>
        <w:pStyle w:val="FootnoteText"/>
      </w:pPr>
      <w:r>
        <w:rPr>
          <w:rStyle w:val="FootnoteReference"/>
        </w:rPr>
        <w:footnoteRef/>
      </w:r>
      <w:r>
        <w:t xml:space="preserve">An allusion to Jeremiah 27:8.</w:t>
      </w:r>
    </w:p>
  </w:footnote>
  <w:footnote w:id="1816">
    <w:p>
      <w:pPr>
        <w:pStyle w:val="FootnoteText"/>
      </w:pPr>
      <w:r>
        <w:rPr>
          <w:rStyle w:val="FootnoteReference"/>
        </w:rPr>
        <w:footnoteRef/>
      </w:r>
      <w:r>
        <w:rPr>
          <w:i/>
          <w:iCs/>
        </w:rPr>
        <w:t xml:space="preserve">2</w:t>
      </w:r>
      <w:r>
        <w:t xml:space="preserve">.</w:t>
      </w:r>
    </w:p>
  </w:footnote>
  <w:footnote w:id="1817">
    <w:p>
      <w:pPr>
        <w:pStyle w:val="FootnoteText"/>
      </w:pPr>
      <w:r>
        <w:rPr>
          <w:rStyle w:val="FootnoteReference"/>
        </w:rPr>
        <w:footnoteRef/>
      </w:r>
      <w:r>
        <w:rPr>
          <w:i/>
          <w:iCs/>
        </w:rPr>
        <w:t xml:space="preserve">9.16v</w:t>
      </w:r>
      <w:r>
        <w:t xml:space="preserve">.</w:t>
      </w:r>
    </w:p>
  </w:footnote>
  <w:footnote w:id="1818">
    <w:p>
      <w:pPr>
        <w:pStyle w:val="FootnoteText"/>
      </w:pPr>
      <w:r>
        <w:rPr>
          <w:rStyle w:val="FootnoteReference"/>
        </w:rPr>
        <w:footnoteRef/>
      </w:r>
      <w:r>
        <w:rPr>
          <w:i/>
          <w:iCs/>
        </w:rPr>
        <w:t xml:space="preserve">3</w:t>
      </w:r>
      <w:r>
        <w:t xml:space="preserve">.</w:t>
      </w:r>
    </w:p>
  </w:footnote>
  <w:footnote w:id="1819">
    <w:p>
      <w:pPr>
        <w:pStyle w:val="FootnoteText"/>
      </w:pPr>
      <w:r>
        <w:rPr>
          <w:rStyle w:val="FootnoteReference"/>
        </w:rPr>
        <w:footnoteRef/>
      </w:r>
      <w:r>
        <w:rPr>
          <w:i/>
          <w:iCs/>
        </w:rPr>
        <w:t xml:space="preserve">9. 17r</w:t>
      </w:r>
      <w:r>
        <w:t xml:space="preserve">.</w:t>
      </w:r>
    </w:p>
  </w:footnote>
  <w:footnote w:id="1820">
    <w:p>
      <w:pPr>
        <w:pStyle w:val="FootnoteText"/>
      </w:pPr>
      <w:r>
        <w:rPr>
          <w:rStyle w:val="FootnoteReference"/>
        </w:rPr>
        <w:footnoteRef/>
      </w:r>
      <w:r>
        <w:rPr>
          <w:i/>
          <w:iCs/>
        </w:rPr>
        <w:t xml:space="preserve">9.17v</w:t>
      </w:r>
      <w:r>
        <w:t xml:space="preserve">.</w:t>
      </w:r>
    </w:p>
  </w:footnote>
  <w:footnote w:id="1821">
    <w:p>
      <w:pPr>
        <w:pStyle w:val="FootnoteText"/>
      </w:pPr>
      <w:r>
        <w:rPr>
          <w:rStyle w:val="FootnoteReference"/>
        </w:rPr>
        <w:footnoteRef/>
      </w:r>
      <w:r>
        <w:rPr>
          <w:i/>
          <w:iCs/>
        </w:rPr>
        <w:t xml:space="preserve">9.18r</w:t>
      </w:r>
    </w:p>
  </w:footnote>
  <w:footnote w:id="1822">
    <w:p>
      <w:pPr>
        <w:pStyle w:val="FootnoteText"/>
      </w:pPr>
      <w:r>
        <w:rPr>
          <w:rStyle w:val="FootnoteReference"/>
        </w:rPr>
        <w:footnoteRef/>
      </w:r>
      <w:r>
        <w:t xml:space="preserve">An allusion to Matthew 16:18. JE here offers an ironic and Protestant reading of the Petrine text normally associated with claims about the primacy of the bishop of Rome.</w:t>
      </w:r>
    </w:p>
  </w:footnote>
  <w:footnote w:id="1823">
    <w:p>
      <w:pPr>
        <w:pStyle w:val="FootnoteText"/>
      </w:pPr>
      <w:r>
        <w:rPr>
          <w:rStyle w:val="FootnoteReference"/>
        </w:rPr>
        <w:footnoteRef/>
      </w:r>
      <w:r>
        <w:rPr>
          <w:i/>
          <w:iCs/>
        </w:rPr>
        <w:t xml:space="preserve">9.18v</w:t>
      </w:r>
      <w:r>
        <w:t xml:space="preserve">.</w:t>
      </w:r>
    </w:p>
  </w:footnote>
  <w:footnote w:id="1824">
    <w:p>
      <w:pPr>
        <w:pStyle w:val="FootnoteText"/>
      </w:pPr>
      <w:r>
        <w:rPr>
          <w:rStyle w:val="FootnoteReference"/>
        </w:rPr>
        <w:footnoteRef/>
      </w:r>
      <w:r>
        <w:rPr>
          <w:i/>
          <w:iCs/>
        </w:rPr>
        <w:t xml:space="preserve">4</w:t>
      </w:r>
      <w:r>
        <w:t xml:space="preserve">.</w:t>
      </w:r>
    </w:p>
  </w:footnote>
  <w:footnote w:id="1825">
    <w:p>
      <w:pPr>
        <w:pStyle w:val="FootnoteText"/>
      </w:pPr>
      <w:r>
        <w:rPr>
          <w:rStyle w:val="FootnoteReference"/>
        </w:rPr>
        <w:footnoteRef/>
      </w:r>
      <w:r>
        <w:rPr>
          <w:i/>
          <w:iCs/>
        </w:rPr>
        <w:t xml:space="preserve">9.19r</w:t>
      </w:r>
      <w:r>
        <w:t xml:space="preserve">.</w:t>
      </w:r>
    </w:p>
  </w:footnote>
  <w:footnote w:id="1826">
    <w:p>
      <w:pPr>
        <w:pStyle w:val="FootnoteText"/>
      </w:pPr>
      <w:r>
        <w:rPr>
          <w:rStyle w:val="FootnoteReference"/>
        </w:rPr>
        <w:footnoteRef/>
      </w:r>
      <w:r>
        <w:rPr>
          <w:i/>
          <w:iCs/>
        </w:rPr>
        <w:t xml:space="preserve">(3.)</w:t>
      </w:r>
      <w:r>
        <w:t xml:space="preserve">.</w:t>
      </w:r>
    </w:p>
  </w:footnote>
  <w:footnote w:id="1827">
    <w:p>
      <w:pPr>
        <w:pStyle w:val="FootnoteText"/>
      </w:pPr>
      <w:r>
        <w:rPr>
          <w:rStyle w:val="FootnoteReference"/>
        </w:rPr>
        <w:footnoteRef/>
      </w:r>
      <w:r>
        <w:rPr>
          <w:i/>
          <w:iCs/>
        </w:rPr>
        <w:t xml:space="preserve">(a.)</w:t>
      </w:r>
      <w:r>
        <w:t xml:space="preserve">.</w:t>
      </w:r>
    </w:p>
  </w:footnote>
  <w:footnote w:id="1828">
    <w:p>
      <w:pPr>
        <w:pStyle w:val="FootnoteText"/>
      </w:pPr>
      <w:r>
        <w:rPr>
          <w:rStyle w:val="FootnoteReference"/>
        </w:rPr>
        <w:footnoteRef/>
      </w:r>
      <w:r>
        <w:rPr>
          <w:i/>
          <w:iCs/>
        </w:rPr>
        <w:t xml:space="preserve">9.19v</w:t>
      </w:r>
      <w:r>
        <w:t xml:space="preserve">. Leaf breaks at "Mar."</w:t>
      </w:r>
    </w:p>
  </w:footnote>
  <w:footnote w:id="1829">
    <w:p>
      <w:pPr>
        <w:pStyle w:val="FootnoteText"/>
      </w:pPr>
      <w:r>
        <w:rPr>
          <w:rStyle w:val="FootnoteReference"/>
        </w:rPr>
        <w:footnoteRef/>
      </w:r>
      <w:r>
        <w:t xml:space="preserve">JE echoes language used of the Old Testament prophets, and also with respect to Paul's preaching, in describing Luther's inauguration of the Reformation. See especially Acts 17:16. The remainder of the sentence may also have been intended to echo Deuteronomy 13:14. which speaks of the rejection of idolatrous practices in Israel.</w:t>
      </w:r>
    </w:p>
  </w:footnote>
  <w:footnote w:id="1830">
    <w:p>
      <w:pPr>
        <w:pStyle w:val="FootnoteText"/>
      </w:pPr>
      <w:r>
        <w:rPr>
          <w:rStyle w:val="FootnoteReference"/>
        </w:rPr>
        <w:footnoteRef/>
      </w:r>
      <w:r>
        <w:rPr>
          <w:i/>
          <w:iCs/>
        </w:rPr>
        <w:t xml:space="preserve">9.20r</w:t>
      </w:r>
      <w:r>
        <w:t xml:space="preserve">.</w:t>
      </w:r>
    </w:p>
  </w:footnote>
  <w:footnote w:id="1831">
    <w:p>
      <w:pPr>
        <w:pStyle w:val="FootnoteText"/>
      </w:pPr>
      <w:r>
        <w:rPr>
          <w:rStyle w:val="FootnoteReference"/>
        </w:rPr>
        <w:footnoteRef/>
      </w:r>
      <w:r>
        <w:t xml:space="preserve">In revising this section, presumably at the time of composition, JE transposed the rest of this sentence From the middle of the leaf.</w:t>
      </w:r>
    </w:p>
  </w:footnote>
  <w:footnote w:id="1832">
    <w:p>
      <w:pPr>
        <w:pStyle w:val="FootnoteText"/>
      </w:pPr>
      <w:r>
        <w:rPr>
          <w:rStyle w:val="FootnoteReference"/>
        </w:rPr>
        <w:footnoteRef/>
      </w:r>
      <w:r>
        <w:rPr>
          <w:i/>
          <w:iCs/>
        </w:rPr>
        <w:t xml:space="preserve">9.20v</w:t>
      </w:r>
      <w:r>
        <w:t xml:space="preserve">.</w:t>
      </w:r>
    </w:p>
  </w:footnote>
  <w:footnote w:id="1833">
    <w:p>
      <w:pPr>
        <w:pStyle w:val="FootnoteText"/>
      </w:pPr>
      <w:r>
        <w:rPr>
          <w:rStyle w:val="FootnoteReference"/>
        </w:rPr>
        <w:footnoteRef/>
      </w:r>
      <w:r>
        <w:t xml:space="preserve">This sentence required minor editing. It is undoubtedly a reference to Moses lowman (1680–1752), an English Dissenting clergyman. JE's appreciation for Lowman's interpretation of Revelation is clear in the writings edited by Stephen J. Stein, </w:t>
      </w:r>
      <w:r>
        <w:rPr>
          <w:i/>
          <w:iCs/>
        </w:rPr>
        <w:t xml:space="preserve">Works</w:t>
      </w:r>
      <w:r>
        <w:t xml:space="preserve"> (Yale ed.), </w:t>
      </w:r>
      <w:r>
        <w:rPr>
          <w:i/>
          <w:iCs/>
        </w:rPr>
        <w:t xml:space="preserve">5</w:t>
      </w:r>
      <w:r>
        <w:t xml:space="preserve">. Stein has determined that JE secured a copy of Lowman's </w:t>
      </w:r>
      <w:r>
        <w:rPr>
          <w:i/>
          <w:iCs/>
        </w:rPr>
        <w:t xml:space="preserve">Paraphrase and Notes on the Revelation</w:t>
      </w:r>
      <w:r>
        <w:t xml:space="preserve"> by mid-1738, and it is clear that he studied it assiduously in the next years, JE apparently does not imply, by the phrase "very late expositor," that Lowman is dead, but that he has only recently turned to this work. While JE appreciated Lowman's interpretation and more or less concurred in the significance of the fifth vial, his judgment was independent with respect to the interpretation of Revelation. See Stein, especially pp. 55–59.</w:t>
      </w:r>
    </w:p>
  </w:footnote>
  <w:footnote w:id="1834">
    <w:p>
      <w:pPr>
        <w:pStyle w:val="FootnoteText"/>
      </w:pPr>
      <w:r>
        <w:rPr>
          <w:rStyle w:val="FootnoteReference"/>
        </w:rPr>
        <w:footnoteRef/>
      </w:r>
      <w:r>
        <w:rPr>
          <w:i/>
          <w:iCs/>
        </w:rPr>
        <w:t xml:space="preserve">9.21r</w:t>
      </w:r>
      <w:r>
        <w:t xml:space="preserve">.</w:t>
      </w:r>
    </w:p>
  </w:footnote>
  <w:footnote w:id="1835">
    <w:p>
      <w:pPr>
        <w:pStyle w:val="FootnoteText"/>
      </w:pPr>
      <w:r>
        <w:rPr>
          <w:rStyle w:val="FootnoteReference"/>
        </w:rPr>
        <w:footnoteRef/>
      </w:r>
      <w:r>
        <w:t xml:space="preserve">This language is from Job 4:10.</w:t>
      </w:r>
    </w:p>
  </w:footnote>
  <w:footnote w:id="1836">
    <w:p>
      <w:pPr>
        <w:pStyle w:val="FootnoteText"/>
      </w:pPr>
      <w:r>
        <w:rPr>
          <w:rStyle w:val="FootnoteReference"/>
        </w:rPr>
        <w:footnoteRef/>
      </w:r>
      <w:r>
        <w:rPr>
          <w:i/>
          <w:iCs/>
        </w:rPr>
        <w:t xml:space="preserve">9.21v</w:t>
      </w:r>
      <w:r>
        <w:t xml:space="preserve">.</w:t>
      </w:r>
    </w:p>
  </w:footnote>
  <w:footnote w:id="1837">
    <w:p>
      <w:pPr>
        <w:pStyle w:val="FootnoteText"/>
      </w:pPr>
      <w:r>
        <w:rPr>
          <w:rStyle w:val="FootnoteReference"/>
        </w:rPr>
        <w:footnoteRef/>
      </w:r>
      <w:r>
        <w:t xml:space="preserve">This sentence alludes to Exodus 10:21–23.</w:t>
      </w:r>
    </w:p>
  </w:footnote>
  <w:footnote w:id="1838">
    <w:p>
      <w:pPr>
        <w:pStyle w:val="FootnoteText"/>
      </w:pPr>
      <w:r>
        <w:rPr>
          <w:rStyle w:val="FootnoteReference"/>
        </w:rPr>
        <w:footnoteRef/>
      </w:r>
      <w:r>
        <w:t xml:space="preserve">An allusion to Genesis 19:11.</w:t>
      </w:r>
    </w:p>
  </w:footnote>
  <w:footnote w:id="1839">
    <w:p>
      <w:pPr>
        <w:pStyle w:val="FootnoteText"/>
      </w:pPr>
      <w:r>
        <w:rPr>
          <w:rStyle w:val="FootnoteReference"/>
        </w:rPr>
        <w:footnoteRef/>
      </w:r>
      <w:r>
        <w:rPr>
          <w:i/>
          <w:iCs/>
        </w:rPr>
        <w:t xml:space="preserve">9.22r</w:t>
      </w:r>
      <w:r>
        <w:t xml:space="preserve">.</w:t>
      </w:r>
    </w:p>
  </w:footnote>
  <w:footnote w:id="1840">
    <w:p>
      <w:pPr>
        <w:pStyle w:val="FootnoteText"/>
      </w:pPr>
      <w:r>
        <w:rPr>
          <w:rStyle w:val="FootnoteReference"/>
        </w:rPr>
        <w:footnoteRef/>
      </w:r>
      <w:r>
        <w:t xml:space="preserve">Revelation 16:10.</w:t>
      </w:r>
    </w:p>
  </w:footnote>
  <w:footnote w:id="1841">
    <w:p>
      <w:pPr>
        <w:pStyle w:val="FootnoteText"/>
      </w:pPr>
      <w:r>
        <w:rPr>
          <w:rStyle w:val="FootnoteReference"/>
        </w:rPr>
        <w:footnoteRef/>
      </w:r>
      <w:r>
        <w:rPr>
          <w:i/>
          <w:iCs/>
        </w:rPr>
        <w:t xml:space="preserve">(b.)</w:t>
      </w:r>
      <w:r>
        <w:t xml:space="preserve">.</w:t>
      </w:r>
    </w:p>
  </w:footnote>
  <w:footnote w:id="1842">
    <w:p>
      <w:pPr>
        <w:pStyle w:val="FootnoteText"/>
      </w:pPr>
      <w:r>
        <w:rPr>
          <w:rStyle w:val="FootnoteReference"/>
        </w:rPr>
        <w:footnoteRef/>
      </w:r>
      <w:r>
        <w:rPr>
          <w:i/>
          <w:iCs/>
        </w:rPr>
        <w:t xml:space="preserve">1</w:t>
      </w:r>
      <w:r>
        <w:t xml:space="preserve">.</w:t>
      </w:r>
    </w:p>
  </w:footnote>
  <w:footnote w:id="1843">
    <w:p>
      <w:pPr>
        <w:pStyle w:val="FootnoteText"/>
      </w:pPr>
      <w:r>
        <w:rPr>
          <w:rStyle w:val="FootnoteReference"/>
        </w:rPr>
        <w:footnoteRef/>
      </w:r>
      <w:r>
        <w:rPr>
          <w:i/>
          <w:iCs/>
        </w:rPr>
        <w:t xml:space="preserve">9.22v</w:t>
      </w:r>
      <w:r>
        <w:t xml:space="preserve">.</w:t>
      </w:r>
    </w:p>
  </w:footnote>
  <w:footnote w:id="1844">
    <w:p>
      <w:pPr>
        <w:pStyle w:val="FootnoteText"/>
      </w:pPr>
      <w:r>
        <w:rPr>
          <w:rStyle w:val="FootnoteReference"/>
        </w:rPr>
        <w:footnoteRef/>
      </w:r>
      <w:r>
        <w:t xml:space="preserve">JE paraphrases and conflates Job 5:13–14 and Genesis 19:11.</w:t>
      </w:r>
    </w:p>
  </w:footnote>
  <w:footnote w:id="1845">
    <w:p>
      <w:pPr>
        <w:pStyle w:val="FootnoteText"/>
      </w:pPr>
      <w:r>
        <w:rPr>
          <w:rStyle w:val="FootnoteReference"/>
        </w:rPr>
        <w:footnoteRef/>
      </w:r>
      <w:r>
        <w:rPr>
          <w:i/>
          <w:iCs/>
        </w:rPr>
        <w:t xml:space="preserve">9.23r</w:t>
      </w:r>
      <w:r>
        <w:t xml:space="preserve">.</w:t>
      </w:r>
    </w:p>
  </w:footnote>
  <w:footnote w:id="1846">
    <w:p>
      <w:pPr>
        <w:pStyle w:val="FootnoteText"/>
      </w:pPr>
      <w:r>
        <w:rPr>
          <w:rStyle w:val="FootnoteReference"/>
        </w:rPr>
        <w:footnoteRef/>
      </w:r>
      <w:r>
        <w:t xml:space="preserve">Revelation 16:11.</w:t>
      </w:r>
    </w:p>
  </w:footnote>
  <w:footnote w:id="1847">
    <w:p>
      <w:pPr>
        <w:pStyle w:val="FootnoteText"/>
      </w:pPr>
      <w:r>
        <w:rPr>
          <w:rStyle w:val="FootnoteReference"/>
        </w:rPr>
        <w:footnoteRef/>
      </w:r>
      <w:r>
        <w:t xml:space="preserve">This echoes passages from the Exodus narrative (e.g. Exodus 14:17) and, more specifically, Joshua 11:20.</w:t>
      </w:r>
    </w:p>
  </w:footnote>
  <w:footnote w:id="1848">
    <w:p>
      <w:pPr>
        <w:pStyle w:val="FootnoteText"/>
      </w:pPr>
      <w:r>
        <w:rPr>
          <w:rStyle w:val="FootnoteReference"/>
        </w:rPr>
        <w:footnoteRef/>
      </w:r>
      <w:r>
        <w:t xml:space="preserve">At this points, JE has removed the following lines with three X marks: "The next kind of opposition I shall take notice of is that which has been laid from time to time by secret plans and stratagems, devices."</w:t>
      </w:r>
    </w:p>
  </w:footnote>
  <w:footnote w:id="1849">
    <w:p>
      <w:pPr>
        <w:pStyle w:val="FootnoteText"/>
      </w:pPr>
      <w:r>
        <w:rPr>
          <w:rStyle w:val="FootnoteReference"/>
        </w:rPr>
        <w:footnoteRef/>
      </w:r>
      <w:r>
        <w:rPr>
          <w:i/>
          <w:iCs/>
        </w:rPr>
        <w:t xml:space="preserve">9.23v</w:t>
      </w:r>
      <w:r>
        <w:t xml:space="preserve">.</w:t>
      </w:r>
    </w:p>
  </w:footnote>
  <w:footnote w:id="1850">
    <w:p>
      <w:pPr>
        <w:pStyle w:val="FootnoteText"/>
      </w:pPr>
      <w:r>
        <w:rPr>
          <w:rStyle w:val="FootnoteReference"/>
        </w:rPr>
        <w:footnoteRef/>
      </w:r>
      <w:r>
        <w:rPr>
          <w:i/>
          <w:iCs/>
        </w:rPr>
        <w:t xml:space="preserve">9.24r</w:t>
      </w:r>
      <w:r>
        <w:t xml:space="preserve">.</w:t>
      </w:r>
    </w:p>
  </w:footnote>
  <w:footnote w:id="1851">
    <w:p>
      <w:pPr>
        <w:pStyle w:val="FootnoteText"/>
      </w:pPr>
      <w:r>
        <w:rPr>
          <w:rStyle w:val="FootnoteReference"/>
        </w:rPr>
        <w:footnoteRef/>
      </w:r>
      <w:r>
        <w:t xml:space="preserve">JE again conflates allusions to Genesis 19:11; Job 5:14; and Revelation 16:10.</w:t>
      </w:r>
    </w:p>
  </w:footnote>
  <w:footnote w:id="1852">
    <w:p>
      <w:pPr>
        <w:pStyle w:val="FootnoteText"/>
      </w:pPr>
      <w:r>
        <w:rPr>
          <w:rStyle w:val="FootnoteReference"/>
        </w:rPr>
        <w:footnoteRef/>
      </w:r>
      <w:r>
        <w:rPr>
          <w:i/>
          <w:iCs/>
        </w:rPr>
        <w:t xml:space="preserve">3</w:t>
      </w:r>
      <w:r>
        <w:t xml:space="preserve">.</w:t>
      </w:r>
    </w:p>
  </w:footnote>
  <w:footnote w:id="1853">
    <w:p>
      <w:pPr>
        <w:pStyle w:val="FootnoteText"/>
      </w:pPr>
      <w:r>
        <w:rPr>
          <w:rStyle w:val="FootnoteReference"/>
        </w:rPr>
        <w:footnoteRef/>
      </w:r>
      <w:r>
        <w:rPr>
          <w:i/>
          <w:iCs/>
        </w:rPr>
        <w:t xml:space="preserve">9.24v</w:t>
      </w:r>
      <w:r>
        <w:t xml:space="preserve">.</w:t>
      </w:r>
    </w:p>
  </w:footnote>
  <w:footnote w:id="1854">
    <w:p>
      <w:pPr>
        <w:pStyle w:val="FootnoteText"/>
      </w:pPr>
      <w:r>
        <w:rPr>
          <w:rStyle w:val="FootnoteReference"/>
        </w:rPr>
        <w:footnoteRef/>
      </w:r>
      <w:r>
        <w:t xml:space="preserve">JE directs himself to the bottom of the leaf, where he continues his account.</w:t>
      </w:r>
    </w:p>
  </w:footnote>
  <w:footnote w:id="1855">
    <w:p>
      <w:pPr>
        <w:pStyle w:val="FootnoteText"/>
      </w:pPr>
      <w:r>
        <w:rPr>
          <w:rStyle w:val="FootnoteReference"/>
        </w:rPr>
        <w:footnoteRef/>
      </w:r>
      <w:r>
        <w:rPr>
          <w:i/>
          <w:iCs/>
        </w:rPr>
        <w:t xml:space="preserve">9.25r</w:t>
      </w:r>
      <w:r>
        <w:t xml:space="preserve">.</w:t>
      </w:r>
    </w:p>
  </w:footnote>
  <w:footnote w:id="1856">
    <w:p>
      <w:pPr>
        <w:pStyle w:val="FootnoteText"/>
      </w:pPr>
      <w:r>
        <w:rPr>
          <w:rStyle w:val="FootnoteReference"/>
        </w:rPr>
        <w:footnoteRef/>
      </w:r>
      <w:r>
        <w:rPr>
          <w:i/>
          <w:iCs/>
        </w:rPr>
        <w:t xml:space="preserve">9.24v</w:t>
      </w:r>
      <w:r>
        <w:t xml:space="preserve">. JE returns to the middle of the preceding leaf, verso, to continue his account.</w:t>
      </w:r>
    </w:p>
  </w:footnote>
  <w:footnote w:id="1857">
    <w:p>
      <w:pPr>
        <w:pStyle w:val="FootnoteText"/>
      </w:pPr>
      <w:r>
        <w:rPr>
          <w:rStyle w:val="FootnoteReference"/>
        </w:rPr>
        <w:footnoteRef/>
      </w:r>
      <w:r>
        <w:rPr>
          <w:i/>
          <w:iCs/>
        </w:rPr>
        <w:t xml:space="preserve">9.25r</w:t>
      </w:r>
      <w:r>
        <w:t xml:space="preserve">. JE returns to the next leaf, recto.</w:t>
      </w:r>
    </w:p>
  </w:footnote>
  <w:footnote w:id="1858">
    <w:p>
      <w:pPr>
        <w:pStyle w:val="FootnoteText"/>
      </w:pPr>
      <w:r>
        <w:rPr>
          <w:rStyle w:val="FootnoteReference"/>
        </w:rPr>
        <w:footnoteRef/>
      </w:r>
      <w:r>
        <w:rPr>
          <w:i/>
          <w:iCs/>
        </w:rPr>
        <w:t xml:space="preserve">4</w:t>
      </w:r>
      <w:r>
        <w:t xml:space="preserve">.</w:t>
      </w:r>
    </w:p>
  </w:footnote>
  <w:footnote w:id="1859">
    <w:p>
      <w:pPr>
        <w:pStyle w:val="FootnoteText"/>
      </w:pPr>
      <w:r>
        <w:rPr>
          <w:rStyle w:val="FootnoteReference"/>
        </w:rPr>
        <w:footnoteRef/>
      </w:r>
      <w:r>
        <w:rPr>
          <w:i/>
          <w:iCs/>
        </w:rPr>
        <w:t xml:space="preserve">9.25v</w:t>
      </w:r>
      <w:r>
        <w:t xml:space="preserve">.</w:t>
      </w:r>
    </w:p>
  </w:footnote>
  <w:footnote w:id="1860">
    <w:p>
      <w:pPr>
        <w:pStyle w:val="FootnoteText"/>
      </w:pPr>
      <w:r>
        <w:rPr>
          <w:rStyle w:val="FootnoteReference"/>
        </w:rPr>
        <w:footnoteRef/>
      </w:r>
      <w:r>
        <w:t xml:space="preserve">JE indicates intent to complete the phrase, an allusion to Revelation 17:3–14.</w:t>
      </w:r>
    </w:p>
  </w:footnote>
  <w:footnote w:id="1861">
    <w:p>
      <w:pPr>
        <w:pStyle w:val="FootnoteText"/>
      </w:pPr>
      <w:r>
        <w:rPr>
          <w:rStyle w:val="FootnoteReference"/>
        </w:rPr>
        <w:footnoteRef/>
      </w:r>
      <w:r>
        <w:rPr>
          <w:i/>
          <w:iCs/>
        </w:rPr>
        <w:t xml:space="preserve">9.26r</w:t>
      </w:r>
      <w:r>
        <w:t xml:space="preserve">.</w:t>
      </w:r>
    </w:p>
  </w:footnote>
  <w:footnote w:id="1862">
    <w:p>
      <w:pPr>
        <w:pStyle w:val="FootnoteText"/>
      </w:pPr>
      <w:r>
        <w:rPr>
          <w:rStyle w:val="FootnoteReference"/>
        </w:rPr>
        <w:footnoteRef/>
      </w:r>
      <w:r>
        <w:rPr>
          <w:i/>
          <w:iCs/>
        </w:rPr>
        <w:t xml:space="preserve">9.26v</w:t>
      </w:r>
      <w:r>
        <w:t xml:space="preserve">.</w:t>
      </w:r>
    </w:p>
  </w:footnote>
  <w:footnote w:id="1863">
    <w:p>
      <w:pPr>
        <w:pStyle w:val="FootnoteText"/>
      </w:pPr>
      <w:r>
        <w:rPr>
          <w:rStyle w:val="FootnoteReference"/>
        </w:rPr>
        <w:footnoteRef/>
      </w:r>
      <w:r>
        <w:rPr>
          <w:i/>
          <w:iCs/>
        </w:rPr>
        <w:t xml:space="preserve">9.27r</w:t>
      </w:r>
      <w:r>
        <w:t xml:space="preserve">.</w:t>
      </w:r>
    </w:p>
  </w:footnote>
  <w:footnote w:id="1864">
    <w:p>
      <w:pPr>
        <w:pStyle w:val="FootnoteText"/>
      </w:pPr>
      <w:r>
        <w:rPr>
          <w:rStyle w:val="FootnoteReference"/>
        </w:rPr>
        <w:footnoteRef/>
      </w:r>
      <w:r>
        <w:t xml:space="preserve">JE's text reads "4." It has been emended.</w:t>
      </w:r>
    </w:p>
  </w:footnote>
  <w:footnote w:id="1865">
    <w:p>
      <w:pPr>
        <w:pStyle w:val="FootnoteText"/>
      </w:pPr>
      <w:r>
        <w:rPr>
          <w:rStyle w:val="FootnoteReference"/>
        </w:rPr>
        <w:footnoteRef/>
      </w:r>
      <w:r>
        <w:t xml:space="preserve">See Revelation 13:7.</w:t>
      </w:r>
    </w:p>
  </w:footnote>
  <w:footnote w:id="1866">
    <w:p>
      <w:pPr>
        <w:pStyle w:val="FootnoteText"/>
      </w:pPr>
      <w:r>
        <w:rPr>
          <w:rStyle w:val="FootnoteReference"/>
        </w:rPr>
        <w:footnoteRef/>
      </w:r>
      <w:r>
        <w:rPr>
          <w:i/>
          <w:iCs/>
        </w:rPr>
        <w:t xml:space="preserve">9.27v</w:t>
      </w:r>
      <w:r>
        <w:t xml:space="preserve">.</w:t>
      </w:r>
    </w:p>
  </w:footnote>
  <w:footnote w:id="1867">
    <w:p>
      <w:pPr>
        <w:pStyle w:val="FootnoteText"/>
      </w:pPr>
      <w:r>
        <w:rPr>
          <w:rStyle w:val="FootnoteReference"/>
        </w:rPr>
        <w:footnoteRef/>
      </w:r>
      <w:r>
        <w:t xml:space="preserve">An allusion to Revelation 17:5–7.</w:t>
      </w:r>
    </w:p>
  </w:footnote>
  <w:footnote w:id="1868">
    <w:p>
      <w:pPr>
        <w:pStyle w:val="FootnoteText"/>
      </w:pPr>
      <w:r>
        <w:rPr>
          <w:rStyle w:val="FootnoteReference"/>
        </w:rPr>
        <w:footnoteRef/>
      </w:r>
      <w:r>
        <w:t xml:space="preserve">It may be that JE intended to conclude with the promise given in Matthew 16:18, that "the gates of hell shall not prevail against" the church.</w:t>
      </w:r>
    </w:p>
  </w:footnote>
  <w:footnote w:id="1869">
    <w:p>
      <w:pPr>
        <w:pStyle w:val="FootnoteText"/>
      </w:pPr>
      <w:r>
        <w:rPr>
          <w:rStyle w:val="FootnoteReference"/>
        </w:rPr>
        <w:footnoteRef/>
      </w:r>
      <w:r>
        <w:rPr>
          <w:i/>
          <w:iCs/>
        </w:rPr>
        <w:t xml:space="preserve">10. 1r</w:t>
      </w:r>
      <w:r>
        <w:t xml:space="preserve">.</w:t>
      </w:r>
    </w:p>
  </w:footnote>
  <w:footnote w:id="1870">
    <w:p>
      <w:pPr>
        <w:pStyle w:val="FootnoteText"/>
      </w:pPr>
      <w:r>
        <w:rPr>
          <w:rStyle w:val="FootnoteReference"/>
        </w:rPr>
        <w:footnoteRef/>
      </w:r>
      <w:r>
        <w:t xml:space="preserve">There is no indication as to when this sermon was preached or whether it was intended to accompany another.</w:t>
      </w:r>
    </w:p>
  </w:footnote>
  <w:footnote w:id="1871">
    <w:p>
      <w:pPr>
        <w:pStyle w:val="FootnoteText"/>
      </w:pPr>
      <w:r>
        <w:rPr>
          <w:rStyle w:val="FootnoteReference"/>
        </w:rPr>
        <w:footnoteRef/>
      </w:r>
      <w:r>
        <w:rPr>
          <w:i/>
          <w:iCs/>
        </w:rPr>
        <w:t xml:space="preserve">5</w:t>
      </w:r>
      <w:r>
        <w:t xml:space="preserve">.</w:t>
      </w:r>
    </w:p>
  </w:footnote>
  <w:footnote w:id="1872">
    <w:p>
      <w:pPr>
        <w:pStyle w:val="FootnoteText"/>
      </w:pPr>
      <w:r>
        <w:rPr>
          <w:rStyle w:val="FootnoteReference"/>
        </w:rPr>
        <w:footnoteRef/>
      </w:r>
      <w:r>
        <w:t xml:space="preserve">JE interlineated "Satan" here, but neglected to delete "been" after "has."</w:t>
      </w:r>
    </w:p>
  </w:footnote>
  <w:footnote w:id="1873">
    <w:p>
      <w:pPr>
        <w:pStyle w:val="FootnoteText"/>
      </w:pPr>
      <w:r>
        <w:rPr>
          <w:rStyle w:val="FootnoteReference"/>
        </w:rPr>
        <w:footnoteRef/>
      </w:r>
      <w:r>
        <w:rPr>
          <w:i/>
          <w:iCs/>
        </w:rPr>
        <w:t xml:space="preserve">a</w:t>
      </w:r>
      <w:r>
        <w:t xml:space="preserve">.</w:t>
      </w:r>
    </w:p>
  </w:footnote>
  <w:footnote w:id="1874">
    <w:p>
      <w:pPr>
        <w:pStyle w:val="FootnoteText"/>
      </w:pPr>
      <w:r>
        <w:rPr>
          <w:rStyle w:val="FootnoteReference"/>
        </w:rPr>
        <w:footnoteRef/>
      </w:r>
      <w:r>
        <w:rPr>
          <w:i/>
          <w:iCs/>
        </w:rPr>
        <w:t xml:space="preserve">10.1v</w:t>
      </w:r>
      <w:r>
        <w:t xml:space="preserve">.</w:t>
      </w:r>
    </w:p>
  </w:footnote>
  <w:footnote w:id="1875">
    <w:p>
      <w:pPr>
        <w:pStyle w:val="FootnoteText"/>
      </w:pPr>
      <w:r>
        <w:rPr>
          <w:rStyle w:val="FootnoteReference"/>
        </w:rPr>
        <w:footnoteRef/>
      </w:r>
      <w:r>
        <w:rPr>
          <w:i/>
          <w:iCs/>
        </w:rPr>
        <w:t xml:space="preserve">b</w:t>
      </w:r>
      <w:r>
        <w:t xml:space="preserve">.</w:t>
      </w:r>
    </w:p>
  </w:footnote>
  <w:footnote w:id="1876">
    <w:p>
      <w:pPr>
        <w:pStyle w:val="FootnoteText"/>
      </w:pPr>
      <w:r>
        <w:rPr>
          <w:rStyle w:val="FootnoteReference"/>
        </w:rPr>
        <w:footnoteRef/>
      </w:r>
      <w:r>
        <w:rPr>
          <w:i/>
          <w:iCs/>
        </w:rPr>
        <w:t xml:space="preserve">c</w:t>
      </w:r>
      <w:r>
        <w:t xml:space="preserve">.</w:t>
      </w:r>
    </w:p>
  </w:footnote>
  <w:footnote w:id="1877">
    <w:p>
      <w:pPr>
        <w:pStyle w:val="FootnoteText"/>
      </w:pPr>
      <w:r>
        <w:rPr>
          <w:rStyle w:val="FootnoteReference"/>
        </w:rPr>
        <w:footnoteRef/>
      </w:r>
      <w:r>
        <w:rPr>
          <w:i/>
          <w:iCs/>
        </w:rPr>
        <w:t xml:space="preserve">10.2r</w:t>
      </w:r>
    </w:p>
  </w:footnote>
  <w:footnote w:id="1878">
    <w:p>
      <w:pPr>
        <w:pStyle w:val="FootnoteText"/>
      </w:pPr>
      <w:r>
        <w:rPr>
          <w:rStyle w:val="FootnoteReference"/>
        </w:rPr>
        <w:footnoteRef/>
      </w:r>
      <w:r>
        <w:rPr>
          <w:i/>
          <w:iCs/>
        </w:rPr>
        <w:t xml:space="preserve">d</w:t>
      </w:r>
      <w:r>
        <w:t xml:space="preserve">.</w:t>
      </w:r>
    </w:p>
  </w:footnote>
  <w:footnote w:id="1879">
    <w:p>
      <w:pPr>
        <w:pStyle w:val="FootnoteText"/>
      </w:pPr>
      <w:r>
        <w:rPr>
          <w:rStyle w:val="FootnoteReference"/>
        </w:rPr>
        <w:footnoteRef/>
      </w:r>
      <w:r>
        <w:rPr>
          <w:i/>
          <w:iCs/>
        </w:rPr>
        <w:t xml:space="preserve">10.2v</w:t>
      </w:r>
    </w:p>
  </w:footnote>
  <w:footnote w:id="1880">
    <w:p>
      <w:pPr>
        <w:pStyle w:val="FootnoteText"/>
      </w:pPr>
      <w:r>
        <w:rPr>
          <w:rStyle w:val="FootnoteReference"/>
        </w:rPr>
        <w:footnoteRef/>
      </w:r>
      <w:r>
        <w:rPr>
          <w:i/>
          <w:iCs/>
        </w:rPr>
        <w:t xml:space="preserve">e</w:t>
      </w:r>
      <w:r>
        <w:t xml:space="preserve">.</w:t>
      </w:r>
    </w:p>
  </w:footnote>
  <w:footnote w:id="1881">
    <w:p>
      <w:pPr>
        <w:pStyle w:val="FootnoteText"/>
      </w:pPr>
      <w:r>
        <w:rPr>
          <w:rStyle w:val="FootnoteReference"/>
        </w:rPr>
        <w:footnoteRef/>
      </w:r>
      <w:r>
        <w:t xml:space="preserve">An allusion to Revelation 12:15.</w:t>
      </w:r>
    </w:p>
  </w:footnote>
  <w:footnote w:id="1882">
    <w:p>
      <w:pPr>
        <w:pStyle w:val="FootnoteText"/>
      </w:pPr>
      <w:r>
        <w:rPr>
          <w:rStyle w:val="FootnoteReference"/>
        </w:rPr>
        <w:footnoteRef/>
      </w:r>
      <w:r>
        <w:t xml:space="preserve">JE intends to complete his thought. He discussed the Arian heresy in Sermon 22.</w:t>
      </w:r>
    </w:p>
  </w:footnote>
  <w:footnote w:id="1883">
    <w:p>
      <w:pPr>
        <w:pStyle w:val="FootnoteText"/>
      </w:pPr>
      <w:r>
        <w:rPr>
          <w:rStyle w:val="FootnoteReference"/>
        </w:rPr>
        <w:footnoteRef/>
      </w:r>
      <w:r>
        <w:rPr>
          <w:i/>
          <w:iCs/>
        </w:rPr>
        <w:t xml:space="preserve">f</w:t>
      </w:r>
      <w:r>
        <w:t xml:space="preserve">.</w:t>
      </w:r>
    </w:p>
  </w:footnote>
  <w:footnote w:id="1884">
    <w:p>
      <w:pPr>
        <w:pStyle w:val="FootnoteText"/>
      </w:pPr>
      <w:r>
        <w:rPr>
          <w:rStyle w:val="FootnoteReference"/>
        </w:rPr>
        <w:footnoteRef/>
      </w:r>
      <w:r>
        <w:rPr>
          <w:i/>
          <w:iCs/>
        </w:rPr>
        <w:t xml:space="preserve">10.3r</w:t>
      </w:r>
      <w:r>
        <w:t xml:space="preserve">.</w:t>
      </w:r>
    </w:p>
  </w:footnote>
  <w:footnote w:id="1885">
    <w:p>
      <w:pPr>
        <w:pStyle w:val="FootnoteText"/>
      </w:pPr>
      <w:r>
        <w:rPr>
          <w:rStyle w:val="FootnoteReference"/>
        </w:rPr>
        <w:footnoteRef/>
      </w:r>
      <w:r>
        <w:rPr>
          <w:i/>
          <w:iCs/>
        </w:rPr>
        <w:t xml:space="preserve">(c.)</w:t>
      </w:r>
      <w:r>
        <w:t xml:space="preserve">.</w:t>
      </w:r>
    </w:p>
  </w:footnote>
  <w:footnote w:id="1886">
    <w:p>
      <w:pPr>
        <w:pStyle w:val="FootnoteText"/>
      </w:pPr>
      <w:r>
        <w:rPr>
          <w:rStyle w:val="FootnoteReference"/>
        </w:rPr>
        <w:footnoteRef/>
      </w:r>
      <w:r>
        <w:rPr>
          <w:i/>
          <w:iCs/>
        </w:rPr>
        <w:t xml:space="preserve">1</w:t>
      </w:r>
      <w:r>
        <w:t xml:space="preserve">.</w:t>
      </w:r>
    </w:p>
  </w:footnote>
  <w:footnote w:id="1887">
    <w:p>
      <w:pPr>
        <w:pStyle w:val="FootnoteText"/>
      </w:pPr>
      <w:r>
        <w:rPr>
          <w:rStyle w:val="FootnoteReference"/>
        </w:rPr>
        <w:footnoteRef/>
      </w:r>
      <w:r>
        <w:rPr>
          <w:i/>
          <w:iCs/>
        </w:rPr>
        <w:t xml:space="preserve">10.3v</w:t>
      </w:r>
      <w:r>
        <w:t xml:space="preserve">.</w:t>
      </w:r>
    </w:p>
  </w:footnote>
  <w:footnote w:id="1888">
    <w:p>
      <w:pPr>
        <w:pStyle w:val="FootnoteText"/>
      </w:pPr>
      <w:r>
        <w:rPr>
          <w:rStyle w:val="FootnoteReference"/>
        </w:rPr>
        <w:footnoteRef/>
      </w:r>
      <w:r>
        <w:rPr>
          <w:i/>
          <w:iCs/>
        </w:rPr>
        <w:t xml:space="preserve">10.4r</w:t>
      </w:r>
      <w:r>
        <w:t xml:space="preserve">. Leaf breaks at "wonder."</w:t>
      </w:r>
    </w:p>
  </w:footnote>
  <w:footnote w:id="1889">
    <w:p>
      <w:pPr>
        <w:pStyle w:val="FootnoteText"/>
      </w:pPr>
      <w:r>
        <w:rPr>
          <w:rStyle w:val="FootnoteReference"/>
        </w:rPr>
        <w:footnoteRef/>
      </w:r>
      <w:r>
        <w:rPr>
          <w:i/>
          <w:iCs/>
        </w:rPr>
        <w:t xml:space="preserve">2</w:t>
      </w:r>
      <w:r>
        <w:t xml:space="preserve">.</w:t>
      </w:r>
    </w:p>
  </w:footnote>
  <w:footnote w:id="1890">
    <w:p>
      <w:pPr>
        <w:pStyle w:val="FootnoteText"/>
      </w:pPr>
      <w:r>
        <w:rPr>
          <w:rStyle w:val="FootnoteReference"/>
        </w:rPr>
        <w:footnoteRef/>
      </w:r>
      <w:r>
        <w:rPr>
          <w:i/>
          <w:iCs/>
        </w:rPr>
        <w:t xml:space="preserve">a</w:t>
      </w:r>
      <w:r>
        <w:t xml:space="preserve">.</w:t>
      </w:r>
    </w:p>
  </w:footnote>
  <w:footnote w:id="1891">
    <w:p>
      <w:pPr>
        <w:pStyle w:val="FootnoteText"/>
      </w:pPr>
      <w:r>
        <w:rPr>
          <w:rStyle w:val="FootnoteReference"/>
        </w:rPr>
        <w:footnoteRef/>
      </w:r>
      <w:r>
        <w:rPr>
          <w:i/>
          <w:iCs/>
        </w:rPr>
        <w:t xml:space="preserve">10.4v</w:t>
      </w:r>
      <w:r>
        <w:t xml:space="preserve">.</w:t>
      </w:r>
    </w:p>
  </w:footnote>
  <w:footnote w:id="1892">
    <w:p>
      <w:pPr>
        <w:pStyle w:val="FootnoteText"/>
      </w:pPr>
      <w:r>
        <w:rPr>
          <w:rStyle w:val="FootnoteReference"/>
        </w:rPr>
        <w:footnoteRef/>
      </w:r>
      <w:r>
        <w:rPr>
          <w:i/>
          <w:iCs/>
        </w:rPr>
        <w:t xml:space="preserve">10.5v</w:t>
      </w:r>
      <w:r>
        <w:t xml:space="preserve">.</w:t>
      </w:r>
    </w:p>
  </w:footnote>
  <w:footnote w:id="1893">
    <w:p>
      <w:pPr>
        <w:pStyle w:val="FootnoteText"/>
      </w:pPr>
      <w:r>
        <w:rPr>
          <w:rStyle w:val="FootnoteReference"/>
        </w:rPr>
        <w:footnoteRef/>
      </w:r>
      <w:r>
        <w:rPr>
          <w:i/>
          <w:iCs/>
        </w:rPr>
        <w:t xml:space="preserve">10.5v</w:t>
      </w:r>
      <w:r>
        <w:t xml:space="preserve">.</w:t>
      </w:r>
    </w:p>
  </w:footnote>
  <w:footnote w:id="1894">
    <w:p>
      <w:pPr>
        <w:pStyle w:val="FootnoteText"/>
      </w:pPr>
      <w:r>
        <w:rPr>
          <w:rStyle w:val="FootnoteReference"/>
        </w:rPr>
        <w:footnoteRef/>
      </w:r>
      <w:r>
        <w:rPr>
          <w:i/>
          <w:iCs/>
        </w:rPr>
        <w:t xml:space="preserve">b</w:t>
      </w:r>
      <w:r>
        <w:t xml:space="preserve">.</w:t>
      </w:r>
    </w:p>
  </w:footnote>
  <w:footnote w:id="1895">
    <w:p>
      <w:pPr>
        <w:pStyle w:val="FootnoteText"/>
      </w:pPr>
      <w:r>
        <w:rPr>
          <w:rStyle w:val="FootnoteReference"/>
        </w:rPr>
        <w:footnoteRef/>
      </w:r>
      <w:r>
        <w:rPr>
          <w:i/>
          <w:iCs/>
        </w:rPr>
        <w:t xml:space="preserve">10.6r</w:t>
      </w:r>
      <w:r>
        <w:t xml:space="preserve">.</w:t>
      </w:r>
    </w:p>
  </w:footnote>
  <w:footnote w:id="1896">
    <w:p>
      <w:pPr>
        <w:pStyle w:val="FootnoteText"/>
      </w:pPr>
      <w:r>
        <w:rPr>
          <w:rStyle w:val="FootnoteReference"/>
        </w:rPr>
        <w:footnoteRef/>
      </w:r>
      <w:r>
        <w:rPr>
          <w:i/>
          <w:iCs/>
        </w:rPr>
        <w:t xml:space="preserve">c</w:t>
      </w:r>
      <w:r>
        <w:t xml:space="preserve">.</w:t>
      </w:r>
    </w:p>
  </w:footnote>
  <w:footnote w:id="1897">
    <w:p>
      <w:pPr>
        <w:pStyle w:val="FootnoteText"/>
      </w:pPr>
      <w:r>
        <w:rPr>
          <w:rStyle w:val="FootnoteReference"/>
        </w:rPr>
        <w:footnoteRef/>
      </w:r>
      <w:r>
        <w:rPr>
          <w:i/>
          <w:iCs/>
        </w:rPr>
        <w:t xml:space="preserve">3</w:t>
      </w:r>
      <w:r>
        <w:t xml:space="preserve">.</w:t>
      </w:r>
    </w:p>
  </w:footnote>
  <w:footnote w:id="1898">
    <w:p>
      <w:pPr>
        <w:pStyle w:val="FootnoteText"/>
      </w:pPr>
      <w:r>
        <w:rPr>
          <w:rStyle w:val="FootnoteReference"/>
        </w:rPr>
        <w:footnoteRef/>
      </w:r>
      <w:r>
        <w:rPr>
          <w:i/>
          <w:iCs/>
        </w:rPr>
        <w:t xml:space="preserve">10.6v</w:t>
      </w:r>
      <w:r>
        <w:t xml:space="preserve">.</w:t>
      </w:r>
    </w:p>
  </w:footnote>
  <w:footnote w:id="1899">
    <w:p>
      <w:pPr>
        <w:pStyle w:val="FootnoteText"/>
      </w:pPr>
      <w:r>
        <w:rPr>
          <w:rStyle w:val="FootnoteReference"/>
        </w:rPr>
        <w:footnoteRef/>
      </w:r>
      <w:r>
        <w:rPr>
          <w:i/>
          <w:iCs/>
        </w:rPr>
        <w:t xml:space="preserve">a</w:t>
      </w:r>
      <w:r>
        <w:t xml:space="preserve">.</w:t>
      </w:r>
    </w:p>
  </w:footnote>
  <w:footnote w:id="1900">
    <w:p>
      <w:pPr>
        <w:pStyle w:val="FootnoteText"/>
      </w:pPr>
      <w:r>
        <w:rPr>
          <w:rStyle w:val="FootnoteReference"/>
        </w:rPr>
        <w:footnoteRef/>
      </w:r>
      <w:r>
        <w:rPr>
          <w:i/>
          <w:iCs/>
        </w:rPr>
        <w:t xml:space="preserve">10.7r</w:t>
      </w:r>
      <w:r>
        <w:t xml:space="preserve">.</w:t>
      </w:r>
    </w:p>
  </w:footnote>
  <w:footnote w:id="1901">
    <w:p>
      <w:pPr>
        <w:pStyle w:val="FootnoteText"/>
      </w:pPr>
      <w:r>
        <w:rPr>
          <w:rStyle w:val="FootnoteReference"/>
        </w:rPr>
        <w:footnoteRef/>
      </w:r>
      <w:r>
        <w:rPr>
          <w:i/>
          <w:iCs/>
        </w:rPr>
        <w:t xml:space="preserve">b</w:t>
      </w:r>
      <w:r>
        <w:t xml:space="preserve">.</w:t>
      </w:r>
    </w:p>
  </w:footnote>
  <w:footnote w:id="1902">
    <w:p>
      <w:pPr>
        <w:pStyle w:val="FootnoteText"/>
      </w:pPr>
      <w:r>
        <w:rPr>
          <w:rStyle w:val="FootnoteReference"/>
        </w:rPr>
        <w:footnoteRef/>
      </w:r>
      <w:r>
        <w:t xml:space="preserve">Here JE makes reference to the 1734–35 revival, especially in the Northamptor church, which antedated the Great Awakening of the next decade. JE himself chronicled the earlier revival first in a letter to the Reverend Doctor Benjamin Coleman. This was subsequently expanded by JE, abridged by Coleman, and published. A more substantial account, titled </w:t>
      </w:r>
      <w:r>
        <w:rPr>
          <w:i/>
          <w:iCs/>
        </w:rPr>
        <w:t xml:space="preserve">A Faithful Narrative</w:t>
      </w:r>
      <w:r>
        <w:t xml:space="preserve">, was later published in London as well as Boston. See </w:t>
      </w:r>
      <w:r>
        <w:rPr>
          <w:i/>
          <w:iCs/>
        </w:rPr>
        <w:t xml:space="preserve">Works</w:t>
      </w:r>
      <w:r>
        <w:t xml:space="preserve"> (Yale ed.), </w:t>
      </w:r>
      <w:r>
        <w:rPr>
          <w:i/>
          <w:iCs/>
        </w:rPr>
        <w:t xml:space="preserve">4</w:t>
      </w:r>
      <w:r>
        <w:t xml:space="preserve"> (1972).</w:t>
      </w:r>
    </w:p>
  </w:footnote>
  <w:footnote w:id="1903">
    <w:p>
      <w:pPr>
        <w:pStyle w:val="FootnoteText"/>
      </w:pPr>
      <w:r>
        <w:rPr>
          <w:rStyle w:val="FootnoteReference"/>
        </w:rPr>
        <w:footnoteRef/>
      </w:r>
      <w:r>
        <w:rPr>
          <w:i/>
          <w:iCs/>
        </w:rPr>
        <w:t xml:space="preserve">(d.)</w:t>
      </w:r>
      <w:r>
        <w:t xml:space="preserve">.</w:t>
      </w:r>
    </w:p>
  </w:footnote>
  <w:footnote w:id="1904">
    <w:p>
      <w:pPr>
        <w:pStyle w:val="FootnoteText"/>
      </w:pPr>
      <w:r>
        <w:rPr>
          <w:rStyle w:val="FootnoteReference"/>
        </w:rPr>
        <w:footnoteRef/>
      </w:r>
      <w:r>
        <w:rPr>
          <w:i/>
          <w:iCs/>
        </w:rPr>
        <w:t xml:space="preserve">10.7v</w:t>
      </w:r>
      <w:r>
        <w:t xml:space="preserve">.</w:t>
      </w:r>
    </w:p>
  </w:footnote>
  <w:footnote w:id="1905">
    <w:p>
      <w:pPr>
        <w:pStyle w:val="FootnoteText"/>
      </w:pPr>
      <w:r>
        <w:rPr>
          <w:rStyle w:val="FootnoteReference"/>
        </w:rPr>
        <w:footnoteRef/>
      </w:r>
      <w:r>
        <w:rPr>
          <w:i/>
          <w:iCs/>
        </w:rPr>
        <w:t xml:space="preserve">1</w:t>
      </w:r>
      <w:r>
        <w:t xml:space="preserve">.</w:t>
      </w:r>
    </w:p>
  </w:footnote>
  <w:footnote w:id="1906">
    <w:p>
      <w:pPr>
        <w:pStyle w:val="FootnoteText"/>
      </w:pPr>
      <w:r>
        <w:rPr>
          <w:rStyle w:val="FootnoteReference"/>
        </w:rPr>
        <w:footnoteRef/>
      </w:r>
      <w:r>
        <w:rPr>
          <w:i/>
          <w:iCs/>
        </w:rPr>
        <w:t xml:space="preserve">a</w:t>
      </w:r>
      <w:r>
        <w:t xml:space="preserve">.</w:t>
      </w:r>
    </w:p>
  </w:footnote>
  <w:footnote w:id="1907">
    <w:p>
      <w:pPr>
        <w:pStyle w:val="FootnoteText"/>
      </w:pPr>
      <w:r>
        <w:rPr>
          <w:rStyle w:val="FootnoteReference"/>
        </w:rPr>
        <w:footnoteRef/>
      </w:r>
      <w:r>
        <w:rPr>
          <w:i/>
          <w:iCs/>
        </w:rPr>
        <w:t xml:space="preserve">10.8r</w:t>
      </w:r>
      <w:r>
        <w:t xml:space="preserve">.</w:t>
      </w:r>
    </w:p>
  </w:footnote>
  <w:footnote w:id="1908">
    <w:p>
      <w:pPr>
        <w:pStyle w:val="FootnoteText"/>
      </w:pPr>
      <w:r>
        <w:rPr>
          <w:rStyle w:val="FootnoteReference"/>
        </w:rPr>
        <w:footnoteRef/>
      </w:r>
      <w:r>
        <w:rPr>
          <w:i/>
          <w:iCs/>
        </w:rPr>
        <w:t xml:space="preserve">10.8v</w:t>
      </w:r>
    </w:p>
  </w:footnote>
  <w:footnote w:id="1909">
    <w:p>
      <w:pPr>
        <w:pStyle w:val="FootnoteText"/>
      </w:pPr>
      <w:r>
        <w:rPr>
          <w:rStyle w:val="FootnoteReference"/>
        </w:rPr>
        <w:footnoteRef/>
      </w:r>
      <w:r>
        <w:rPr>
          <w:i/>
          <w:iCs/>
        </w:rPr>
        <w:t xml:space="preserve">b</w:t>
      </w:r>
      <w:r>
        <w:t xml:space="preserve">.</w:t>
      </w:r>
    </w:p>
  </w:footnote>
  <w:footnote w:id="1910">
    <w:p>
      <w:pPr>
        <w:pStyle w:val="FootnoteText"/>
      </w:pPr>
      <w:r>
        <w:rPr>
          <w:rStyle w:val="FootnoteReference"/>
        </w:rPr>
        <w:footnoteRef/>
      </w:r>
      <w:r>
        <w:rPr>
          <w:i/>
          <w:iCs/>
        </w:rPr>
        <w:t xml:space="preserve">10.9r</w:t>
      </w:r>
      <w:r>
        <w:t xml:space="preserve">.</w:t>
      </w:r>
    </w:p>
  </w:footnote>
  <w:footnote w:id="1911">
    <w:p>
      <w:pPr>
        <w:pStyle w:val="FootnoteText"/>
      </w:pPr>
      <w:r>
        <w:rPr>
          <w:rStyle w:val="FootnoteReference"/>
        </w:rPr>
        <w:footnoteRef/>
      </w:r>
      <w:r>
        <w:rPr>
          <w:i/>
          <w:iCs/>
        </w:rPr>
        <w:t xml:space="preserve">c</w:t>
      </w:r>
      <w:r>
        <w:t xml:space="preserve">.</w:t>
      </w:r>
    </w:p>
  </w:footnote>
  <w:footnote w:id="1912">
    <w:p>
      <w:pPr>
        <w:pStyle w:val="FootnoteText"/>
      </w:pPr>
      <w:r>
        <w:rPr>
          <w:rStyle w:val="FootnoteReference"/>
        </w:rPr>
        <w:footnoteRef/>
      </w:r>
      <w:r>
        <w:rPr>
          <w:i/>
          <w:iCs/>
        </w:rPr>
        <w:t xml:space="preserve">10.9v</w:t>
      </w:r>
      <w:r>
        <w:t xml:space="preserve">.</w:t>
      </w:r>
    </w:p>
  </w:footnote>
  <w:footnote w:id="1913">
    <w:p>
      <w:pPr>
        <w:pStyle w:val="FootnoteText"/>
      </w:pPr>
      <w:r>
        <w:rPr>
          <w:rStyle w:val="FootnoteReference"/>
        </w:rPr>
        <w:footnoteRef/>
      </w:r>
      <w:r>
        <w:rPr>
          <w:i/>
          <w:iCs/>
        </w:rPr>
        <w:t xml:space="preserve">2</w:t>
      </w:r>
      <w:r>
        <w:t xml:space="preserve">.</w:t>
      </w:r>
    </w:p>
  </w:footnote>
  <w:footnote w:id="1914">
    <w:p>
      <w:pPr>
        <w:pStyle w:val="FootnoteText"/>
      </w:pPr>
      <w:r>
        <w:rPr>
          <w:rStyle w:val="FootnoteReference"/>
        </w:rPr>
        <w:footnoteRef/>
      </w:r>
      <w:r>
        <w:rPr>
          <w:i/>
          <w:iCs/>
        </w:rPr>
        <w:t xml:space="preserve">a</w:t>
      </w:r>
      <w:r>
        <w:t xml:space="preserve">.</w:t>
      </w:r>
    </w:p>
  </w:footnote>
  <w:footnote w:id="1915">
    <w:p>
      <w:pPr>
        <w:pStyle w:val="FootnoteText"/>
      </w:pPr>
      <w:r>
        <w:rPr>
          <w:rStyle w:val="FootnoteReference"/>
        </w:rPr>
        <w:footnoteRef/>
      </w:r>
      <w:r>
        <w:t xml:space="preserve">That is, the fifth vial. Revelation 16:10–11.</w:t>
      </w:r>
    </w:p>
  </w:footnote>
  <w:footnote w:id="1916">
    <w:p>
      <w:pPr>
        <w:pStyle w:val="FootnoteText"/>
      </w:pPr>
      <w:r>
        <w:rPr>
          <w:rStyle w:val="FootnoteReference"/>
        </w:rPr>
        <w:footnoteRef/>
      </w:r>
      <w:r>
        <w:rPr>
          <w:i/>
          <w:iCs/>
        </w:rPr>
        <w:t xml:space="preserve">b</w:t>
      </w:r>
      <w:r>
        <w:t xml:space="preserve">.</w:t>
      </w:r>
    </w:p>
  </w:footnote>
  <w:footnote w:id="1917">
    <w:p>
      <w:pPr>
        <w:pStyle w:val="FootnoteText"/>
      </w:pPr>
      <w:r>
        <w:rPr>
          <w:rStyle w:val="FootnoteReference"/>
        </w:rPr>
        <w:footnoteRef/>
      </w:r>
      <w:r>
        <w:rPr>
          <w:i/>
          <w:iCs/>
        </w:rPr>
        <w:t xml:space="preserve">10.10r</w:t>
      </w:r>
      <w:r>
        <w:t xml:space="preserve">.</w:t>
      </w:r>
    </w:p>
  </w:footnote>
  <w:footnote w:id="1918">
    <w:p>
      <w:pPr>
        <w:pStyle w:val="FootnoteText"/>
      </w:pPr>
      <w:r>
        <w:rPr>
          <w:rStyle w:val="FootnoteReference"/>
        </w:rPr>
        <w:footnoteRef/>
      </w:r>
      <w:r>
        <w:t xml:space="preserve">JE deleted with a vertical line a passage equivalent to </w:t>
      </w:r>
      <w:r>
        <w:rPr>
          <w:i/>
          <w:iCs/>
        </w:rPr>
        <w:t xml:space="preserve">c</w:t>
      </w:r>
      <w:r>
        <w:t xml:space="preserve">. (below): "3. There is less enthusiasm, i.e. less of false pretenses to inspiration. As there is less of the Spirit of God poured out in his saving influences, so there seems to be less of the contestants of the Spirit; enthusiasts such as Quakers and others are not so wild and extravagant as they have heretofore been."</w:t>
      </w:r>
    </w:p>
  </w:footnote>
  <w:footnote w:id="1919">
    <w:p>
      <w:pPr>
        <w:pStyle w:val="FootnoteText"/>
      </w:pPr>
      <w:r>
        <w:rPr>
          <w:rStyle w:val="FootnoteReference"/>
        </w:rPr>
        <w:footnoteRef/>
      </w:r>
      <w:r>
        <w:rPr>
          <w:i/>
          <w:iCs/>
        </w:rPr>
        <w:t xml:space="preserve">10.10v</w:t>
      </w:r>
      <w:r>
        <w:t xml:space="preserve">.</w:t>
      </w:r>
    </w:p>
  </w:footnote>
  <w:footnote w:id="1920">
    <w:p>
      <w:pPr>
        <w:pStyle w:val="FootnoteText"/>
      </w:pPr>
      <w:r>
        <w:rPr>
          <w:rStyle w:val="FootnoteReference"/>
        </w:rPr>
        <w:footnoteRef/>
      </w:r>
      <w:r>
        <w:rPr>
          <w:i/>
          <w:iCs/>
        </w:rPr>
        <w:t xml:space="preserve">c</w:t>
      </w:r>
      <w:r>
        <w:t xml:space="preserve">.</w:t>
      </w:r>
    </w:p>
  </w:footnote>
  <w:footnote w:id="1921">
    <w:p>
      <w:pPr>
        <w:pStyle w:val="FootnoteText"/>
      </w:pPr>
      <w:r>
        <w:rPr>
          <w:rStyle w:val="FootnoteReference"/>
        </w:rPr>
        <w:footnoteRef/>
      </w:r>
      <w:r>
        <w:t xml:space="preserve">Text unclear. JE probably wrote "think," intending "thought" or "work."</w:t>
      </w:r>
    </w:p>
  </w:footnote>
  <w:footnote w:id="1922">
    <w:p>
      <w:pPr>
        <w:pStyle w:val="FootnoteText"/>
      </w:pPr>
      <w:r>
        <w:rPr>
          <w:rStyle w:val="FootnoteReference"/>
        </w:rPr>
        <w:footnoteRef/>
      </w:r>
      <w:r>
        <w:rPr>
          <w:i/>
          <w:iCs/>
        </w:rPr>
        <w:t xml:space="preserve">10.11r</w:t>
      </w:r>
      <w:r>
        <w:t xml:space="preserve">.</w:t>
      </w:r>
    </w:p>
  </w:footnote>
  <w:footnote w:id="1923">
    <w:p>
      <w:pPr>
        <w:pStyle w:val="FootnoteText"/>
      </w:pPr>
      <w:r>
        <w:rPr>
          <w:rStyle w:val="FootnoteReference"/>
        </w:rPr>
        <w:footnoteRef/>
      </w:r>
      <w:r>
        <w:rPr>
          <w:i/>
          <w:iCs/>
        </w:rPr>
        <w:t xml:space="preserve">10.11v</w:t>
      </w:r>
    </w:p>
  </w:footnote>
  <w:footnote w:id="1924">
    <w:p>
      <w:pPr>
        <w:pStyle w:val="FootnoteText"/>
      </w:pPr>
      <w:r>
        <w:rPr>
          <w:rStyle w:val="FootnoteReference"/>
        </w:rPr>
        <w:footnoteRef/>
      </w:r>
      <w:r>
        <w:t xml:space="preserve">1 Corinthians 1:21.</w:t>
      </w:r>
    </w:p>
  </w:footnote>
  <w:footnote w:id="1925">
    <w:p>
      <w:pPr>
        <w:pStyle w:val="FootnoteText"/>
      </w:pPr>
      <w:r>
        <w:rPr>
          <w:rStyle w:val="FootnoteReference"/>
        </w:rPr>
        <w:footnoteRef/>
      </w:r>
      <w:r>
        <w:t xml:space="preserve">An allusion to Job 5:14.</w:t>
      </w:r>
    </w:p>
  </w:footnote>
  <w:footnote w:id="1926">
    <w:p>
      <w:pPr>
        <w:pStyle w:val="FootnoteText"/>
      </w:pPr>
      <w:r>
        <w:rPr>
          <w:rStyle w:val="FootnoteReference"/>
        </w:rPr>
        <w:footnoteRef/>
      </w:r>
      <w:r>
        <w:rPr>
          <w:i/>
          <w:iCs/>
        </w:rPr>
        <w:t xml:space="preserve">10.12r</w:t>
      </w:r>
      <w:r>
        <w:t xml:space="preserve">.</w:t>
      </w:r>
    </w:p>
  </w:footnote>
  <w:footnote w:id="1927">
    <w:p>
      <w:pPr>
        <w:pStyle w:val="FootnoteText"/>
      </w:pPr>
      <w:r>
        <w:rPr>
          <w:rStyle w:val="FootnoteReference"/>
        </w:rPr>
        <w:footnoteRef/>
      </w:r>
      <w:r>
        <w:t xml:space="preserve">JE has paraphrased these verses from Romans. It is unclear whether he intended to quote further from them.</w:t>
      </w:r>
    </w:p>
  </w:footnote>
  <w:footnote w:id="1928">
    <w:p>
      <w:pPr>
        <w:pStyle w:val="FootnoteText"/>
      </w:pPr>
      <w:r>
        <w:rPr>
          <w:rStyle w:val="FootnoteReference"/>
        </w:rPr>
        <w:footnoteRef/>
      </w:r>
      <w:r>
        <w:t xml:space="preserve">The verso of leaf </w:t>
      </w:r>
      <w:r>
        <w:rPr>
          <w:i/>
          <w:iCs/>
        </w:rPr>
        <w:t xml:space="preserve">10.12</w:t>
      </w:r>
      <w:r>
        <w:t xml:space="preserve"> is blank, indicating that JE likely began drafting Sermon 25 before completing Sermon 24.</w:t>
      </w:r>
    </w:p>
  </w:footnote>
  <w:footnote w:id="1929">
    <w:p>
      <w:pPr>
        <w:pStyle w:val="FootnoteText"/>
      </w:pPr>
      <w:r>
        <w:rPr>
          <w:rStyle w:val="FootnoteReference"/>
        </w:rPr>
        <w:footnoteRef/>
      </w:r>
      <w:r>
        <w:rPr>
          <w:i/>
          <w:iCs/>
        </w:rPr>
        <w:t xml:space="preserve">10.13r</w:t>
      </w:r>
      <w:r>
        <w:t xml:space="preserve">.</w:t>
      </w:r>
    </w:p>
  </w:footnote>
  <w:footnote w:id="1930">
    <w:p>
      <w:pPr>
        <w:pStyle w:val="FootnoteText"/>
      </w:pPr>
      <w:r>
        <w:rPr>
          <w:rStyle w:val="FootnoteReference"/>
        </w:rPr>
        <w:footnoteRef/>
      </w:r>
      <w:r>
        <w:t xml:space="preserve">There is no indication about when this sermon was to be delivered. The text begins on a fresh leaf following an unused verso at the end of Sermon 24. It may be inferred that JE developed Sermon 25 as an independent application of the preceding segments of the sermon series.</w:t>
      </w:r>
    </w:p>
  </w:footnote>
  <w:footnote w:id="1931">
    <w:p>
      <w:pPr>
        <w:pStyle w:val="FootnoteText"/>
      </w:pPr>
      <w:r>
        <w:rPr>
          <w:rStyle w:val="FootnoteReference"/>
        </w:rPr>
        <w:footnoteRef/>
      </w:r>
      <w:r>
        <w:rPr>
          <w:i/>
          <w:iCs/>
        </w:rPr>
        <w:t xml:space="preserve">I</w:t>
      </w:r>
      <w:r>
        <w:t xml:space="preserve">.</w:t>
      </w:r>
    </w:p>
  </w:footnote>
  <w:footnote w:id="1932">
    <w:p>
      <w:pPr>
        <w:pStyle w:val="FootnoteText"/>
      </w:pPr>
      <w:r>
        <w:rPr>
          <w:rStyle w:val="FootnoteReference"/>
        </w:rPr>
        <w:footnoteRef/>
      </w:r>
      <w:r>
        <w:rPr>
          <w:i/>
          <w:iCs/>
        </w:rPr>
        <w:t xml:space="preserve">First</w:t>
      </w:r>
      <w:r>
        <w:t xml:space="preserve">.</w:t>
      </w:r>
    </w:p>
  </w:footnote>
  <w:footnote w:id="1933">
    <w:p>
      <w:pPr>
        <w:pStyle w:val="FootnoteText"/>
      </w:pPr>
      <w:r>
        <w:rPr>
          <w:rStyle w:val="FootnoteReference"/>
        </w:rPr>
        <w:footnoteRef/>
      </w:r>
      <w:r>
        <w:rPr>
          <w:i/>
          <w:iCs/>
        </w:rPr>
        <w:t xml:space="preserve">10.13v</w:t>
      </w:r>
      <w:r>
        <w:t xml:space="preserve">.</w:t>
      </w:r>
    </w:p>
  </w:footnote>
  <w:footnote w:id="1934">
    <w:p>
      <w:pPr>
        <w:pStyle w:val="FootnoteText"/>
      </w:pPr>
      <w:r>
        <w:rPr>
          <w:rStyle w:val="FootnoteReference"/>
        </w:rPr>
        <w:footnoteRef/>
      </w:r>
      <w:r>
        <w:t xml:space="preserve">JE's language echoes Romans 11:13–17.</w:t>
      </w:r>
    </w:p>
  </w:footnote>
  <w:footnote w:id="1935">
    <w:p>
      <w:pPr>
        <w:pStyle w:val="FootnoteText"/>
      </w:pPr>
      <w:r>
        <w:rPr>
          <w:rStyle w:val="FootnoteReference"/>
        </w:rPr>
        <w:footnoteRef/>
      </w:r>
      <w:r>
        <w:rPr>
          <w:i/>
          <w:iCs/>
        </w:rPr>
        <w:t xml:space="preserve">10.14r</w:t>
      </w:r>
      <w:r>
        <w:t xml:space="preserve">.</w:t>
      </w:r>
    </w:p>
  </w:footnote>
  <w:footnote w:id="1936">
    <w:p>
      <w:pPr>
        <w:pStyle w:val="FootnoteText"/>
      </w:pPr>
      <w:r>
        <w:rPr>
          <w:rStyle w:val="FootnoteReference"/>
        </w:rPr>
        <w:footnoteRef/>
      </w:r>
      <w:r>
        <w:rPr>
          <w:i/>
          <w:iCs/>
        </w:rPr>
        <w:t xml:space="preserve">10.14v</w:t>
      </w:r>
      <w:r>
        <w:t xml:space="preserve">.</w:t>
      </w:r>
    </w:p>
  </w:footnote>
  <w:footnote w:id="1937">
    <w:p>
      <w:pPr>
        <w:pStyle w:val="FootnoteText"/>
      </w:pPr>
      <w:r>
        <w:rPr>
          <w:rStyle w:val="FootnoteReference"/>
        </w:rPr>
        <w:footnoteRef/>
      </w:r>
      <w:r>
        <w:rPr>
          <w:i/>
          <w:iCs/>
        </w:rPr>
        <w:t xml:space="preserve">10.15:</w:t>
      </w:r>
    </w:p>
  </w:footnote>
  <w:footnote w:id="1938">
    <w:p>
      <w:pPr>
        <w:pStyle w:val="FootnoteText"/>
      </w:pPr>
      <w:r>
        <w:rPr>
          <w:rStyle w:val="FootnoteReference"/>
        </w:rPr>
        <w:footnoteRef/>
      </w:r>
      <w:r>
        <w:rPr>
          <w:i/>
          <w:iCs/>
        </w:rPr>
        <w:t xml:space="preserve">10.15v</w:t>
      </w:r>
      <w:r>
        <w:t xml:space="preserve">. Leaf breaks at "spite."</w:t>
      </w:r>
    </w:p>
  </w:footnote>
  <w:footnote w:id="1939">
    <w:p>
      <w:pPr>
        <w:pStyle w:val="FootnoteText"/>
      </w:pPr>
      <w:r>
        <w:rPr>
          <w:rStyle w:val="FootnoteReference"/>
        </w:rPr>
        <w:footnoteRef/>
      </w:r>
      <w:r>
        <w:rPr>
          <w:i/>
          <w:iCs/>
        </w:rPr>
        <w:t xml:space="preserve">10.16r</w:t>
      </w:r>
      <w:r>
        <w:t xml:space="preserve">.</w:t>
      </w:r>
    </w:p>
  </w:footnote>
  <w:footnote w:id="1940">
    <w:p>
      <w:pPr>
        <w:pStyle w:val="FootnoteText"/>
      </w:pPr>
      <w:r>
        <w:rPr>
          <w:rStyle w:val="FootnoteReference"/>
        </w:rPr>
        <w:footnoteRef/>
      </w:r>
      <w:r>
        <w:t xml:space="preserve">JE shows at least a general familiarity with the issues raised by critical deism as it developed in late seventeenth- and early eighteenth-century England.</w:t>
      </w:r>
    </w:p>
  </w:footnote>
  <w:footnote w:id="1941">
    <w:p>
      <w:pPr>
        <w:pStyle w:val="FootnoteText"/>
      </w:pPr>
      <w:r>
        <w:rPr>
          <w:rStyle w:val="FootnoteReference"/>
        </w:rPr>
        <w:footnoteRef/>
      </w:r>
      <w:r>
        <w:rPr>
          <w:i/>
          <w:iCs/>
        </w:rPr>
        <w:t xml:space="preserve">10.16v</w:t>
      </w:r>
      <w:r>
        <w:t xml:space="preserve">.</w:t>
      </w:r>
    </w:p>
  </w:footnote>
  <w:footnote w:id="1942">
    <w:p>
      <w:pPr>
        <w:pStyle w:val="FootnoteText"/>
      </w:pPr>
      <w:r>
        <w:rPr>
          <w:rStyle w:val="FootnoteReference"/>
        </w:rPr>
        <w:footnoteRef/>
      </w:r>
      <w:r>
        <w:t xml:space="preserve">JE may be alluding to Josephus, </w:t>
      </w:r>
      <w:r>
        <w:rPr>
          <w:i/>
          <w:iCs/>
        </w:rPr>
        <w:t xml:space="preserve">Jewish Antiquities</w:t>
      </w:r>
      <w:r>
        <w:t xml:space="preserve">, (</w:t>
      </w:r>
      <w:r>
        <w:rPr>
          <w:i/>
          <w:iCs/>
        </w:rPr>
        <w:t xml:space="preserve">AJ</w:t>
      </w:r>
      <w:r>
        <w:t xml:space="preserve"> 18, sections 1–10).</w:t>
      </w:r>
    </w:p>
  </w:footnote>
  <w:footnote w:id="1943">
    <w:p>
      <w:pPr>
        <w:pStyle w:val="FootnoteText"/>
      </w:pPr>
      <w:r>
        <w:rPr>
          <w:rStyle w:val="FootnoteReference"/>
        </w:rPr>
        <w:footnoteRef/>
      </w:r>
      <w:r>
        <w:rPr>
          <w:i/>
          <w:iCs/>
        </w:rPr>
        <w:t xml:space="preserve">10.17r</w:t>
      </w:r>
      <w:r>
        <w:t xml:space="preserve">.</w:t>
      </w:r>
    </w:p>
  </w:footnote>
  <w:footnote w:id="1944">
    <w:p>
      <w:pPr>
        <w:pStyle w:val="FootnoteText"/>
      </w:pPr>
      <w:r>
        <w:rPr>
          <w:rStyle w:val="FootnoteReference"/>
        </w:rPr>
        <w:footnoteRef/>
      </w:r>
      <w:r>
        <w:rPr>
          <w:i/>
          <w:iCs/>
        </w:rPr>
        <w:t xml:space="preserve">Second</w:t>
      </w:r>
      <w:r>
        <w:t xml:space="preserve">.</w:t>
      </w:r>
    </w:p>
  </w:footnote>
  <w:footnote w:id="1945">
    <w:p>
      <w:pPr>
        <w:pStyle w:val="FootnoteText"/>
      </w:pPr>
      <w:r>
        <w:rPr>
          <w:rStyle w:val="FootnoteReference"/>
        </w:rPr>
        <w:footnoteRef/>
      </w:r>
      <w:r>
        <w:rPr>
          <w:i/>
          <w:iCs/>
        </w:rPr>
        <w:t xml:space="preserve">10.17v</w:t>
      </w:r>
      <w:r>
        <w:t xml:space="preserve">.</w:t>
      </w:r>
    </w:p>
  </w:footnote>
  <w:footnote w:id="1946">
    <w:p>
      <w:pPr>
        <w:pStyle w:val="FootnoteText"/>
      </w:pPr>
      <w:r>
        <w:rPr>
          <w:rStyle w:val="FootnoteReference"/>
        </w:rPr>
        <w:footnoteRef/>
      </w:r>
      <w:r>
        <w:t xml:space="preserve">JE indicates intent to give additional kingdoms. "Those" is understood.</w:t>
      </w:r>
    </w:p>
  </w:footnote>
  <w:footnote w:id="1947">
    <w:p>
      <w:pPr>
        <w:pStyle w:val="FootnoteText"/>
      </w:pPr>
      <w:r>
        <w:rPr>
          <w:rStyle w:val="FootnoteReference"/>
        </w:rPr>
        <w:footnoteRef/>
      </w:r>
      <w:r>
        <w:t xml:space="preserve">JE alters the verb tenses of Isaiah 51:8 and paraphrases.</w:t>
      </w:r>
    </w:p>
  </w:footnote>
  <w:footnote w:id="1948">
    <w:p>
      <w:pPr>
        <w:pStyle w:val="FootnoteText"/>
      </w:pPr>
      <w:r>
        <w:rPr>
          <w:rStyle w:val="FootnoteReference"/>
        </w:rPr>
        <w:footnoteRef/>
      </w:r>
      <w:r>
        <w:rPr>
          <w:i/>
          <w:iCs/>
        </w:rPr>
        <w:t xml:space="preserve">10.18r</w:t>
      </w:r>
      <w:r>
        <w:t xml:space="preserve">.</w:t>
      </w:r>
    </w:p>
  </w:footnote>
  <w:footnote w:id="1949">
    <w:p>
      <w:pPr>
        <w:pStyle w:val="FootnoteText"/>
      </w:pPr>
      <w:r>
        <w:rPr>
          <w:rStyle w:val="FootnoteReference"/>
        </w:rPr>
        <w:footnoteRef/>
      </w:r>
      <w:r>
        <w:rPr>
          <w:i/>
          <w:iCs/>
        </w:rPr>
        <w:t xml:space="preserve">10.18v</w:t>
      </w:r>
      <w:r>
        <w:t xml:space="preserve">. Leaf breaks at "persecu."</w:t>
      </w:r>
    </w:p>
  </w:footnote>
  <w:footnote w:id="1950">
    <w:p>
      <w:pPr>
        <w:pStyle w:val="FootnoteText"/>
      </w:pPr>
      <w:r>
        <w:rPr>
          <w:rStyle w:val="FootnoteReference"/>
        </w:rPr>
        <w:footnoteRef/>
      </w:r>
      <w:r>
        <w:t xml:space="preserve">JE's text clearly reads "only" at this point, although "any" might provide a reading that is more conventionally expected. "Only" does suggest that JE intends to argue that they offered spiritual resistance to heathenism but refrained only from forcible resistance.</w:t>
      </w:r>
    </w:p>
  </w:footnote>
  <w:footnote w:id="1951">
    <w:p>
      <w:pPr>
        <w:pStyle w:val="FootnoteText"/>
      </w:pPr>
      <w:r>
        <w:rPr>
          <w:rStyle w:val="FootnoteReference"/>
        </w:rPr>
        <w:footnoteRef/>
      </w:r>
      <w:r>
        <w:rPr>
          <w:i/>
          <w:iCs/>
        </w:rPr>
        <w:t xml:space="preserve">10.19r</w:t>
      </w:r>
      <w:r>
        <w:t xml:space="preserve">.</w:t>
      </w:r>
    </w:p>
  </w:footnote>
  <w:footnote w:id="1952">
    <w:p>
      <w:pPr>
        <w:pStyle w:val="FootnoteText"/>
      </w:pPr>
      <w:r>
        <w:rPr>
          <w:rStyle w:val="FootnoteReference"/>
        </w:rPr>
        <w:footnoteRef/>
      </w:r>
      <w:r>
        <w:t xml:space="preserve">Conjectural reading; "still" may have been underlined by JE.</w:t>
      </w:r>
    </w:p>
  </w:footnote>
  <w:footnote w:id="1953">
    <w:p>
      <w:pPr>
        <w:pStyle w:val="FootnoteText"/>
      </w:pPr>
      <w:r>
        <w:rPr>
          <w:rStyle w:val="FootnoteReference"/>
        </w:rPr>
        <w:footnoteRef/>
      </w:r>
      <w:r>
        <w:t xml:space="preserve">An allusion to Revelation 13:3.</w:t>
      </w:r>
    </w:p>
  </w:footnote>
  <w:footnote w:id="1954">
    <w:p>
      <w:pPr>
        <w:pStyle w:val="FootnoteText"/>
      </w:pPr>
      <w:r>
        <w:rPr>
          <w:rStyle w:val="FootnoteReference"/>
        </w:rPr>
        <w:footnoteRef/>
      </w:r>
      <w:r>
        <w:rPr>
          <w:i/>
          <w:iCs/>
        </w:rPr>
        <w:t xml:space="preserve">10.19v</w:t>
      </w:r>
      <w:r>
        <w:t xml:space="preserve">.</w:t>
      </w:r>
    </w:p>
  </w:footnote>
  <w:footnote w:id="1955">
    <w:p>
      <w:pPr>
        <w:pStyle w:val="FootnoteText"/>
      </w:pPr>
      <w:r>
        <w:rPr>
          <w:rStyle w:val="FootnoteReference"/>
        </w:rPr>
        <w:footnoteRef/>
      </w:r>
      <w:r>
        <w:rPr>
          <w:i/>
          <w:iCs/>
        </w:rPr>
        <w:t xml:space="preserve">10.20r</w:t>
      </w:r>
      <w:r>
        <w:t xml:space="preserve">.</w:t>
      </w:r>
    </w:p>
  </w:footnote>
  <w:footnote w:id="1956">
    <w:p>
      <w:pPr>
        <w:pStyle w:val="FootnoteText"/>
      </w:pPr>
      <w:r>
        <w:rPr>
          <w:rStyle w:val="FootnoteReference"/>
        </w:rPr>
        <w:footnoteRef/>
      </w:r>
      <w:r>
        <w:rPr>
          <w:i/>
          <w:iCs/>
        </w:rPr>
        <w:t xml:space="preserve">Third</w:t>
      </w:r>
      <w:r>
        <w:t xml:space="preserve">.</w:t>
      </w:r>
    </w:p>
  </w:footnote>
  <w:footnote w:id="1957">
    <w:p>
      <w:pPr>
        <w:pStyle w:val="FootnoteText"/>
      </w:pPr>
      <w:r>
        <w:rPr>
          <w:rStyle w:val="FootnoteReference"/>
        </w:rPr>
        <w:footnoteRef/>
      </w:r>
      <w:r>
        <w:rPr>
          <w:i/>
          <w:iCs/>
        </w:rPr>
        <w:t xml:space="preserve">1</w:t>
      </w:r>
      <w:r>
        <w:t xml:space="preserve">.</w:t>
      </w:r>
    </w:p>
  </w:footnote>
  <w:footnote w:id="1958">
    <w:p>
      <w:pPr>
        <w:pStyle w:val="FootnoteText"/>
      </w:pPr>
      <w:r>
        <w:rPr>
          <w:rStyle w:val="FootnoteReference"/>
        </w:rPr>
        <w:footnoteRef/>
      </w:r>
      <w:r>
        <w:t xml:space="preserve">JE indicates intent to repeat Isaiah 51:8, but again does so in a different tense.</w:t>
      </w:r>
    </w:p>
  </w:footnote>
  <w:footnote w:id="1959">
    <w:p>
      <w:pPr>
        <w:pStyle w:val="FootnoteText"/>
      </w:pPr>
      <w:r>
        <w:rPr>
          <w:rStyle w:val="FootnoteReference"/>
        </w:rPr>
        <w:footnoteRef/>
      </w:r>
      <w:r>
        <w:rPr>
          <w:i/>
          <w:iCs/>
        </w:rPr>
        <w:t xml:space="preserve">10.20v</w:t>
      </w:r>
      <w:r>
        <w:t xml:space="preserve">.</w:t>
      </w:r>
    </w:p>
  </w:footnote>
  <w:footnote w:id="1960">
    <w:p>
      <w:pPr>
        <w:pStyle w:val="FootnoteText"/>
      </w:pPr>
      <w:r>
        <w:rPr>
          <w:rStyle w:val="FootnoteReference"/>
        </w:rPr>
        <w:footnoteRef/>
      </w:r>
      <w:r>
        <w:t xml:space="preserve">Matthew 16:18; JE indicates intent to complete quotation.</w:t>
      </w:r>
    </w:p>
  </w:footnote>
  <w:footnote w:id="1961">
    <w:p>
      <w:pPr>
        <w:pStyle w:val="FootnoteText"/>
      </w:pPr>
      <w:r>
        <w:rPr>
          <w:rStyle w:val="FootnoteReference"/>
        </w:rPr>
        <w:footnoteRef/>
      </w:r>
      <w:r>
        <w:rPr>
          <w:i/>
          <w:iCs/>
        </w:rPr>
        <w:t xml:space="preserve">10.21r</w:t>
      </w:r>
      <w:r>
        <w:t xml:space="preserve">.</w:t>
      </w:r>
    </w:p>
  </w:footnote>
  <w:footnote w:id="1962">
    <w:p>
      <w:pPr>
        <w:pStyle w:val="FootnoteText"/>
      </w:pPr>
      <w:r>
        <w:rPr>
          <w:rStyle w:val="FootnoteReference"/>
        </w:rPr>
        <w:footnoteRef/>
      </w:r>
      <w:r>
        <w:rPr>
          <w:i/>
          <w:iCs/>
        </w:rPr>
        <w:t xml:space="preserve">2</w:t>
      </w:r>
      <w:r>
        <w:t xml:space="preserve">.</w:t>
      </w:r>
    </w:p>
  </w:footnote>
  <w:footnote w:id="1963">
    <w:p>
      <w:pPr>
        <w:pStyle w:val="FootnoteText"/>
      </w:pPr>
      <w:r>
        <w:rPr>
          <w:rStyle w:val="FootnoteReference"/>
        </w:rPr>
        <w:footnoteRef/>
      </w:r>
      <w:r>
        <w:rPr>
          <w:i/>
          <w:iCs/>
        </w:rPr>
        <w:t xml:space="preserve">10.21v</w:t>
      </w:r>
      <w:r>
        <w:t xml:space="preserve">.</w:t>
      </w:r>
    </w:p>
  </w:footnote>
  <w:footnote w:id="1964">
    <w:p>
      <w:pPr>
        <w:pStyle w:val="FootnoteText"/>
      </w:pPr>
      <w:r>
        <w:rPr>
          <w:rStyle w:val="FootnoteReference"/>
        </w:rPr>
        <w:footnoteRef/>
      </w:r>
      <w:r>
        <w:t xml:space="preserve">Daniel 7:8, which JE does not indicate intent to quote.</w:t>
      </w:r>
    </w:p>
  </w:footnote>
  <w:footnote w:id="1965">
    <w:p>
      <w:pPr>
        <w:pStyle w:val="FootnoteText"/>
      </w:pPr>
      <w:r>
        <w:rPr>
          <w:rStyle w:val="FootnoteReference"/>
        </w:rPr>
        <w:footnoteRef/>
      </w:r>
      <w:r>
        <w:t xml:space="preserve">The remainder of this section is only roughly sketched in by JE. Necessary editorial insertions are indicated by brackets and conform to JE's formulaic treatment of the materials.</w:t>
      </w:r>
    </w:p>
  </w:footnote>
  <w:footnote w:id="1966">
    <w:p>
      <w:pPr>
        <w:pStyle w:val="FootnoteText"/>
      </w:pPr>
      <w:r>
        <w:rPr>
          <w:rStyle w:val="FootnoteReference"/>
        </w:rPr>
        <w:footnoteRef/>
      </w:r>
      <w:r>
        <w:rPr>
          <w:i/>
          <w:iCs/>
        </w:rPr>
        <w:t xml:space="preserve">10.22r</w:t>
      </w:r>
      <w:r>
        <w:t xml:space="preserve">. JE may have intended to quote the whole verse, much of which he has already given.</w:t>
      </w:r>
    </w:p>
  </w:footnote>
  <w:footnote w:id="1967">
    <w:p>
      <w:pPr>
        <w:pStyle w:val="FootnoteText"/>
      </w:pPr>
      <w:r>
        <w:rPr>
          <w:rStyle w:val="FootnoteReference"/>
        </w:rPr>
        <w:footnoteRef/>
      </w:r>
      <w:r>
        <w:t xml:space="preserve">JE indicates intent to quote from this and further Scripture passages below, as indicated, with frequent minor paraphrases.</w:t>
      </w:r>
    </w:p>
  </w:footnote>
  <w:footnote w:id="1968">
    <w:p>
      <w:pPr>
        <w:pStyle w:val="FootnoteText"/>
      </w:pPr>
      <w:r>
        <w:rPr>
          <w:rStyle w:val="FootnoteReference"/>
        </w:rPr>
        <w:footnoteRef/>
      </w:r>
      <w:r>
        <w:t xml:space="preserve">JE's text cites Dan. 8:20, but he paraphrases Daniel 7:20. The citation has been changed accordingly.</w:t>
      </w:r>
    </w:p>
  </w:footnote>
  <w:footnote w:id="1969">
    <w:p>
      <w:pPr>
        <w:pStyle w:val="FootnoteText"/>
      </w:pPr>
      <w:r>
        <w:rPr>
          <w:rStyle w:val="FootnoteReference"/>
        </w:rPr>
        <w:footnoteRef/>
      </w:r>
      <w:r>
        <w:rPr>
          <w:i/>
          <w:iCs/>
        </w:rPr>
        <w:t xml:space="preserve">10.22v</w:t>
      </w:r>
      <w:r>
        <w:t xml:space="preserve">.</w:t>
      </w:r>
    </w:p>
  </w:footnote>
  <w:footnote w:id="1970">
    <w:p>
      <w:pPr>
        <w:pStyle w:val="FootnoteText"/>
      </w:pPr>
      <w:r>
        <w:rPr>
          <w:rStyle w:val="FootnoteReference"/>
        </w:rPr>
        <w:footnoteRef/>
      </w:r>
      <w:r>
        <w:t xml:space="preserve">JE's text cites I Tim. 4:1, although he paraphrases 1 Timothy 4:3. The citation has been changed accordingly.</w:t>
      </w:r>
    </w:p>
  </w:footnote>
  <w:footnote w:id="1971">
    <w:p>
      <w:pPr>
        <w:pStyle w:val="FootnoteText"/>
      </w:pPr>
      <w:r>
        <w:rPr>
          <w:rStyle w:val="FootnoteReference"/>
        </w:rPr>
        <w:footnoteRef/>
      </w:r>
      <w:r>
        <w:rPr>
          <w:i/>
          <w:iCs/>
        </w:rPr>
        <w:t xml:space="preserve">10.23r</w:t>
      </w:r>
      <w:r>
        <w:t xml:space="preserve">.</w:t>
      </w:r>
    </w:p>
  </w:footnote>
  <w:footnote w:id="1972">
    <w:p>
      <w:pPr>
        <w:pStyle w:val="FootnoteText"/>
      </w:pPr>
      <w:r>
        <w:rPr>
          <w:rStyle w:val="FootnoteReference"/>
        </w:rPr>
        <w:footnoteRef/>
      </w:r>
      <w:r>
        <w:t xml:space="preserve">JE mis-cites passage as 17:13. I have changed the text.</w:t>
      </w:r>
    </w:p>
  </w:footnote>
  <w:footnote w:id="1973">
    <w:p>
      <w:pPr>
        <w:pStyle w:val="FootnoteText"/>
      </w:pPr>
      <w:r>
        <w:rPr>
          <w:rStyle w:val="FootnoteReference"/>
        </w:rPr>
        <w:footnoteRef/>
      </w:r>
      <w:r>
        <w:t xml:space="preserve">JE indicates intent to quote Revelation 11:8, but his specific reference is to v. 9.</w:t>
      </w:r>
    </w:p>
  </w:footnote>
  <w:footnote w:id="1974">
    <w:p>
      <w:pPr>
        <w:pStyle w:val="FootnoteText"/>
      </w:pPr>
      <w:r>
        <w:rPr>
          <w:rStyle w:val="FootnoteReference"/>
        </w:rPr>
        <w:footnoteRef/>
      </w:r>
      <w:r>
        <w:rPr>
          <w:i/>
          <w:iCs/>
        </w:rPr>
        <w:t xml:space="preserve">II</w:t>
      </w:r>
      <w:r>
        <w:t xml:space="preserve">.</w:t>
      </w:r>
    </w:p>
  </w:footnote>
  <w:footnote w:id="1975">
    <w:p>
      <w:pPr>
        <w:pStyle w:val="FootnoteText"/>
      </w:pPr>
      <w:r>
        <w:rPr>
          <w:rStyle w:val="FootnoteReference"/>
        </w:rPr>
        <w:footnoteRef/>
      </w:r>
      <w:r>
        <w:rPr>
          <w:i/>
          <w:iCs/>
        </w:rPr>
        <w:t xml:space="preserve">10.23v</w:t>
      </w:r>
      <w:r>
        <w:t xml:space="preserve">.</w:t>
      </w:r>
    </w:p>
  </w:footnote>
  <w:footnote w:id="1976">
    <w:p>
      <w:pPr>
        <w:pStyle w:val="FootnoteText"/>
      </w:pPr>
      <w:r>
        <w:rPr>
          <w:rStyle w:val="FootnoteReference"/>
        </w:rPr>
        <w:footnoteRef/>
      </w:r>
      <w:r>
        <w:t xml:space="preserve">JE does not cite a verse, but he seems to have in mind Mark 8:34 (or its parallels, Matthew 16:24 or Luke 9:23), from which he intends to quote.</w:t>
      </w:r>
    </w:p>
  </w:footnote>
  <w:footnote w:id="1977">
    <w:p>
      <w:pPr>
        <w:pStyle w:val="FootnoteText"/>
      </w:pPr>
      <w:r>
        <w:rPr>
          <w:rStyle w:val="FootnoteReference"/>
        </w:rPr>
        <w:footnoteRef/>
      </w:r>
      <w:r>
        <w:t xml:space="preserve">This may be seen as an allusion to such passages as Matthew 13:44 or Luke 18:22.</w:t>
      </w:r>
    </w:p>
  </w:footnote>
  <w:footnote w:id="1978">
    <w:p>
      <w:pPr>
        <w:pStyle w:val="FootnoteText"/>
      </w:pPr>
      <w:r>
        <w:rPr>
          <w:rStyle w:val="FootnoteReference"/>
        </w:rPr>
        <w:footnoteRef/>
      </w:r>
      <w:r>
        <w:rPr>
          <w:i/>
          <w:iCs/>
        </w:rPr>
        <w:t xml:space="preserve">10.24r</w:t>
      </w:r>
      <w:r>
        <w:t xml:space="preserve">.</w:t>
      </w:r>
    </w:p>
  </w:footnote>
  <w:footnote w:id="1979">
    <w:p>
      <w:pPr>
        <w:pStyle w:val="FootnoteText"/>
      </w:pPr>
      <w:r>
        <w:rPr>
          <w:rStyle w:val="FootnoteReference"/>
        </w:rPr>
        <w:footnoteRef/>
      </w:r>
      <w:r>
        <w:rPr>
          <w:i/>
          <w:iCs/>
        </w:rPr>
        <w:t xml:space="preserve">III</w:t>
      </w:r>
      <w:r>
        <w:t xml:space="preserve">.</w:t>
      </w:r>
    </w:p>
  </w:footnote>
  <w:footnote w:id="1980">
    <w:p>
      <w:pPr>
        <w:pStyle w:val="FootnoteText"/>
      </w:pPr>
      <w:r>
        <w:rPr>
          <w:rStyle w:val="FootnoteReference"/>
        </w:rPr>
        <w:footnoteRef/>
      </w:r>
      <w:r>
        <w:rPr>
          <w:i/>
          <w:iCs/>
        </w:rPr>
        <w:t xml:space="preserve">10.24v</w:t>
      </w:r>
      <w:r>
        <w:t xml:space="preserve">.</w:t>
      </w:r>
    </w:p>
  </w:footnote>
  <w:footnote w:id="1981">
    <w:p>
      <w:pPr>
        <w:pStyle w:val="FootnoteText"/>
      </w:pPr>
      <w:r>
        <w:rPr>
          <w:rStyle w:val="FootnoteReference"/>
        </w:rPr>
        <w:footnoteRef/>
      </w:r>
      <w:r>
        <w:t xml:space="preserve">This echoes Psalms 98:3 and Isaiah 51:8.</w:t>
      </w:r>
    </w:p>
  </w:footnote>
  <w:footnote w:id="1982">
    <w:p>
      <w:pPr>
        <w:pStyle w:val="FootnoteText"/>
      </w:pPr>
      <w:r>
        <w:rPr>
          <w:rStyle w:val="FootnoteReference"/>
        </w:rPr>
        <w:footnoteRef/>
      </w:r>
      <w:r>
        <w:t xml:space="preserve">JE paraphrases loosely.</w:t>
      </w:r>
    </w:p>
  </w:footnote>
  <w:footnote w:id="1983">
    <w:p>
      <w:pPr>
        <w:pStyle w:val="FootnoteText"/>
      </w:pPr>
      <w:r>
        <w:rPr>
          <w:rStyle w:val="FootnoteReference"/>
        </w:rPr>
        <w:footnoteRef/>
      </w:r>
      <w:r>
        <w:rPr>
          <w:i/>
          <w:iCs/>
        </w:rPr>
        <w:t xml:space="preserve">11.1r</w:t>
      </w:r>
      <w:r>
        <w:t xml:space="preserve">.</w:t>
      </w:r>
    </w:p>
  </w:footnote>
  <w:footnote w:id="1984">
    <w:p>
      <w:pPr>
        <w:pStyle w:val="FootnoteText"/>
      </w:pPr>
      <w:r>
        <w:rPr>
          <w:rStyle w:val="FootnoteReference"/>
        </w:rPr>
        <w:footnoteRef/>
      </w:r>
      <w:r>
        <w:t xml:space="preserve">This sermon and the following were intended to be delivered on the same day, presumably in the forenoon and the afternoon. See Sermon 27, which simply continues the series of points begun in Sermon 26 without any introductory material.</w:t>
      </w:r>
    </w:p>
  </w:footnote>
  <w:footnote w:id="1985">
    <w:p>
      <w:pPr>
        <w:pStyle w:val="FootnoteText"/>
      </w:pPr>
      <w:r>
        <w:rPr>
          <w:rStyle w:val="FootnoteReference"/>
        </w:rPr>
        <w:footnoteRef/>
      </w:r>
      <w:r>
        <w:t xml:space="preserve">JE departs from his previous practice in enunciating not only the text and doctrine but also his third proposition, which controls his discussion of the last period of time. For its formulation, see the beginning of Sermon 18.</w:t>
      </w:r>
    </w:p>
  </w:footnote>
  <w:footnote w:id="1986">
    <w:p>
      <w:pPr>
        <w:pStyle w:val="FootnoteText"/>
      </w:pPr>
      <w:r>
        <w:rPr>
          <w:rStyle w:val="FootnoteReference"/>
        </w:rPr>
        <w:footnoteRef/>
      </w:r>
      <w:r>
        <w:t xml:space="preserve">The manuscript is confused here. At one point JE appears to have used the symbol PR, presumably meaning "purchase of redemption," but later he deleted the R.</w:t>
      </w:r>
    </w:p>
  </w:footnote>
  <w:footnote w:id="1987">
    <w:p>
      <w:pPr>
        <w:pStyle w:val="FootnoteText"/>
      </w:pPr>
      <w:r>
        <w:rPr>
          <w:rStyle w:val="FootnoteReference"/>
        </w:rPr>
        <w:footnoteRef/>
      </w:r>
      <w:r>
        <w:rPr>
          <w:i/>
          <w:iCs/>
        </w:rPr>
        <w:t xml:space="preserve">11.1v</w:t>
      </w:r>
      <w:r>
        <w:t xml:space="preserve">.</w:t>
      </w:r>
    </w:p>
  </w:footnote>
  <w:footnote w:id="1988">
    <w:p>
      <w:pPr>
        <w:pStyle w:val="FootnoteText"/>
      </w:pPr>
      <w:r>
        <w:rPr>
          <w:rStyle w:val="FootnoteReference"/>
        </w:rPr>
        <w:footnoteRef/>
      </w:r>
      <w:r>
        <w:rPr>
          <w:i/>
          <w:iCs/>
        </w:rPr>
        <w:t xml:space="preserve">(4.)</w:t>
      </w:r>
      <w:r>
        <w:t xml:space="preserve">.</w:t>
      </w:r>
    </w:p>
  </w:footnote>
  <w:footnote w:id="1989">
    <w:p>
      <w:pPr>
        <w:pStyle w:val="FootnoteText"/>
      </w:pPr>
      <w:r>
        <w:rPr>
          <w:rStyle w:val="FootnoteReference"/>
        </w:rPr>
        <w:footnoteRef/>
      </w:r>
      <w:r>
        <w:rPr>
          <w:i/>
          <w:iCs/>
        </w:rPr>
        <w:t xml:space="preserve">11.2r</w:t>
      </w:r>
      <w:r>
        <w:t xml:space="preserve">.</w:t>
      </w:r>
    </w:p>
  </w:footnote>
  <w:footnote w:id="1990">
    <w:p>
      <w:pPr>
        <w:pStyle w:val="FootnoteText"/>
      </w:pPr>
      <w:r>
        <w:rPr>
          <w:rStyle w:val="FootnoteReference"/>
        </w:rPr>
        <w:footnoteRef/>
      </w:r>
      <w:r>
        <w:t xml:space="preserve">JE refers to </w:t>
      </w:r>
      <w:r>
        <w:rPr>
          <w:i/>
          <w:iCs/>
        </w:rPr>
        <w:t xml:space="preserve">Paraphrase and Notes on the Revelation</w:t>
      </w:r>
      <w:r>
        <w:t xml:space="preserve"> (1737), by Moses Lowman. Apparently he had secured a copy of this commentary in 1738. (See n. 3, p. 422.)</w:t>
      </w:r>
    </w:p>
  </w:footnote>
  <w:footnote w:id="1991">
    <w:p>
      <w:pPr>
        <w:pStyle w:val="FootnoteText"/>
      </w:pPr>
      <w:r>
        <w:rPr>
          <w:rStyle w:val="FootnoteReference"/>
        </w:rPr>
        <w:footnoteRef/>
      </w:r>
      <w:r>
        <w:t xml:space="preserve">Revelation 16:12–21.</w:t>
      </w:r>
    </w:p>
  </w:footnote>
  <w:footnote w:id="1992">
    <w:p>
      <w:pPr>
        <w:pStyle w:val="FootnoteText"/>
      </w:pPr>
      <w:r>
        <w:rPr>
          <w:rStyle w:val="FootnoteReference"/>
        </w:rPr>
        <w:footnoteRef/>
      </w:r>
      <w:r>
        <w:t xml:space="preserve">JE paraphrases Revelation 16:12.</w:t>
      </w:r>
    </w:p>
  </w:footnote>
  <w:footnote w:id="1993">
    <w:p>
      <w:pPr>
        <w:pStyle w:val="FootnoteText"/>
      </w:pPr>
      <w:r>
        <w:rPr>
          <w:rStyle w:val="FootnoteReference"/>
        </w:rPr>
        <w:footnoteRef/>
      </w:r>
      <w:r>
        <w:rPr>
          <w:i/>
          <w:iCs/>
        </w:rPr>
        <w:t xml:space="preserve">11.2v</w:t>
      </w:r>
      <w:r>
        <w:t xml:space="preserve">.</w:t>
      </w:r>
    </w:p>
  </w:footnote>
  <w:footnote w:id="1994">
    <w:p>
      <w:pPr>
        <w:pStyle w:val="FootnoteText"/>
      </w:pPr>
      <w:r>
        <w:rPr>
          <w:rStyle w:val="FootnoteReference"/>
        </w:rPr>
        <w:footnoteRef/>
      </w:r>
      <w:r>
        <w:rPr>
          <w:i/>
          <w:iCs/>
        </w:rPr>
        <w:t xml:space="preserve">(a.)</w:t>
      </w:r>
      <w:r>
        <w:t xml:space="preserve">.</w:t>
      </w:r>
    </w:p>
  </w:footnote>
  <w:footnote w:id="1995">
    <w:p>
      <w:pPr>
        <w:pStyle w:val="FootnoteText"/>
      </w:pPr>
      <w:r>
        <w:rPr>
          <w:rStyle w:val="FootnoteReference"/>
        </w:rPr>
        <w:footnoteRef/>
      </w:r>
      <w:r>
        <w:rPr>
          <w:i/>
          <w:iCs/>
        </w:rPr>
        <w:t xml:space="preserve">1</w:t>
      </w:r>
      <w:r>
        <w:t xml:space="preserve">.</w:t>
      </w:r>
    </w:p>
  </w:footnote>
  <w:footnote w:id="1996">
    <w:p>
      <w:pPr>
        <w:pStyle w:val="FootnoteText"/>
      </w:pPr>
      <w:r>
        <w:rPr>
          <w:rStyle w:val="FootnoteReference"/>
        </w:rPr>
        <w:footnoteRef/>
      </w:r>
      <w:r>
        <w:rPr>
          <w:i/>
          <w:iCs/>
        </w:rPr>
        <w:t xml:space="preserve">11.3r</w:t>
      </w:r>
      <w:r>
        <w:t xml:space="preserve">.</w:t>
      </w:r>
    </w:p>
  </w:footnote>
  <w:footnote w:id="1997">
    <w:p>
      <w:pPr>
        <w:pStyle w:val="FootnoteText"/>
      </w:pPr>
      <w:r>
        <w:rPr>
          <w:rStyle w:val="FootnoteReference"/>
        </w:rPr>
        <w:footnoteRef/>
      </w:r>
      <w:r>
        <w:t xml:space="preserve">JE loosely paraphrases the beginning of the verse and indicates intent to quote from the remainder.</w:t>
      </w:r>
    </w:p>
  </w:footnote>
  <w:footnote w:id="1998">
    <w:p>
      <w:pPr>
        <w:pStyle w:val="FootnoteText"/>
      </w:pPr>
      <w:r>
        <w:rPr>
          <w:rStyle w:val="FootnoteReference"/>
        </w:rPr>
        <w:footnoteRef/>
      </w:r>
      <w:r>
        <w:rPr>
          <w:i/>
          <w:iCs/>
        </w:rPr>
        <w:t xml:space="preserve">11.3v</w:t>
      </w:r>
      <w:r>
        <w:t xml:space="preserve">.</w:t>
      </w:r>
    </w:p>
  </w:footnote>
  <w:footnote w:id="1999">
    <w:p>
      <w:pPr>
        <w:pStyle w:val="FootnoteText"/>
      </w:pPr>
      <w:r>
        <w:rPr>
          <w:rStyle w:val="FootnoteReference"/>
        </w:rPr>
        <w:footnoteRef/>
      </w:r>
      <w:r>
        <w:rPr>
          <w:i/>
          <w:iCs/>
        </w:rPr>
        <w:t xml:space="preserve">2</w:t>
      </w:r>
      <w:r>
        <w:t xml:space="preserve">.</w:t>
      </w:r>
    </w:p>
  </w:footnote>
  <w:footnote w:id="2000">
    <w:p>
      <w:pPr>
        <w:pStyle w:val="FootnoteText"/>
      </w:pPr>
      <w:r>
        <w:rPr>
          <w:rStyle w:val="FootnoteReference"/>
        </w:rPr>
        <w:footnoteRef/>
      </w:r>
      <w:r>
        <w:t xml:space="preserve">JE has edited text; negative required by context.</w:t>
      </w:r>
    </w:p>
  </w:footnote>
  <w:footnote w:id="2001">
    <w:p>
      <w:pPr>
        <w:pStyle w:val="FootnoteText"/>
      </w:pPr>
      <w:r>
        <w:rPr>
          <w:rStyle w:val="FootnoteReference"/>
        </w:rPr>
        <w:footnoteRef/>
      </w:r>
      <w:r>
        <w:t xml:space="preserve">For texts concerning the resurrection of the dead at the end of the world, see 1 Corinthians 15:20–22 and Revelation 20:4–6, Revelation 20:12–13.</w:t>
      </w:r>
    </w:p>
  </w:footnote>
  <w:footnote w:id="2002">
    <w:p>
      <w:pPr>
        <w:pStyle w:val="FootnoteText"/>
      </w:pPr>
      <w:r>
        <w:rPr>
          <w:rStyle w:val="FootnoteReference"/>
        </w:rPr>
        <w:footnoteRef/>
      </w:r>
      <w:r>
        <w:rPr>
          <w:i/>
          <w:iCs/>
        </w:rPr>
        <w:t xml:space="preserve">11.4r</w:t>
      </w:r>
      <w:r>
        <w:t xml:space="preserve">.</w:t>
      </w:r>
    </w:p>
  </w:footnote>
  <w:footnote w:id="2003">
    <w:p>
      <w:pPr>
        <w:pStyle w:val="FootnoteText"/>
      </w:pPr>
      <w:r>
        <w:rPr>
          <w:rStyle w:val="FootnoteReference"/>
        </w:rPr>
        <w:footnoteRef/>
      </w:r>
      <w:r>
        <w:t xml:space="preserve">This passage seems to echo a distinction JE developed at some length in his sermon series on 1 Corinthians 13, delivered the year before. There the distinction was made between miraculous and ordinary, i.e. instituted, gifts of the Spirit. See </w:t>
      </w:r>
      <w:r>
        <w:rPr>
          <w:i/>
          <w:iCs/>
        </w:rPr>
        <w:t xml:space="preserve">Charity and Its Fruits</w:t>
      </w:r>
      <w:r>
        <w:t xml:space="preserve">, in </w:t>
      </w:r>
      <w:r>
        <w:rPr>
          <w:i/>
          <w:iCs/>
        </w:rPr>
        <w:t xml:space="preserve">Works</w:t>
      </w:r>
      <w:r>
        <w:t xml:space="preserve"> (Yale ed.), </w:t>
      </w:r>
      <w:r>
        <w:rPr>
          <w:i/>
          <w:iCs/>
        </w:rPr>
        <w:t xml:space="preserve">8</w:t>
      </w:r>
      <w:r>
        <w:t xml:space="preserve">.</w:t>
      </w:r>
    </w:p>
  </w:footnote>
  <w:footnote w:id="2004">
    <w:p>
      <w:pPr>
        <w:pStyle w:val="FootnoteText"/>
      </w:pPr>
      <w:r>
        <w:rPr>
          <w:rStyle w:val="FootnoteReference"/>
        </w:rPr>
        <w:footnoteRef/>
      </w:r>
      <w:r>
        <w:t xml:space="preserve">Text reads Daniel 2:3. The allusion, however, is to Daniel 2:34, Daniel 2:44–45. The citation has been changed accordingly.</w:t>
      </w:r>
    </w:p>
  </w:footnote>
  <w:footnote w:id="2005">
    <w:p>
      <w:pPr>
        <w:pStyle w:val="FootnoteText"/>
      </w:pPr>
      <w:r>
        <w:rPr>
          <w:rStyle w:val="FootnoteReference"/>
        </w:rPr>
        <w:footnoteRef/>
      </w:r>
      <w:r>
        <w:t xml:space="preserve">See Ezekiel 47:1–12, a vision of the waters which increase and rise out of the sanctuary, signifying the waters of life, as in Revelation 22:1. This reference is in a significantly different ink (black and glossy). The hand may be JE's. Folios </w:t>
      </w:r>
      <w:r>
        <w:rPr>
          <w:i/>
          <w:iCs/>
        </w:rPr>
        <w:t xml:space="preserve">11.4v</w:t>
      </w:r>
      <w:r>
        <w:t xml:space="preserve"> and </w:t>
      </w:r>
      <w:r>
        <w:rPr>
          <w:i/>
          <w:iCs/>
        </w:rPr>
        <w:t xml:space="preserve">11.5r</w:t>
      </w:r>
      <w:r>
        <w:t xml:space="preserve"> each have large inkblots in the upper corners of their outer edges, as well as smaller blots, which appear to be from an ink similar to that used in this reference.</w:t>
      </w:r>
    </w:p>
  </w:footnote>
  <w:footnote w:id="2006">
    <w:p>
      <w:pPr>
        <w:pStyle w:val="FootnoteText"/>
      </w:pPr>
      <w:r>
        <w:rPr>
          <w:rStyle w:val="FootnoteReference"/>
        </w:rPr>
        <w:footnoteRef/>
      </w:r>
      <w:r>
        <w:rPr>
          <w:i/>
          <w:iCs/>
        </w:rPr>
        <w:t xml:space="preserve">(b.)</w:t>
      </w:r>
      <w:r>
        <w:t xml:space="preserve">.</w:t>
      </w:r>
    </w:p>
  </w:footnote>
  <w:footnote w:id="2007">
    <w:p>
      <w:pPr>
        <w:pStyle w:val="FootnoteText"/>
      </w:pPr>
      <w:r>
        <w:rPr>
          <w:rStyle w:val="FootnoteReference"/>
        </w:rPr>
        <w:footnoteRef/>
      </w:r>
      <w:r>
        <w:rPr>
          <w:i/>
          <w:iCs/>
        </w:rPr>
        <w:t xml:space="preserve">11.4v</w:t>
      </w:r>
      <w:r>
        <w:t xml:space="preserve">.</w:t>
      </w:r>
    </w:p>
  </w:footnote>
  <w:footnote w:id="2008">
    <w:p>
      <w:pPr>
        <w:pStyle w:val="FootnoteText"/>
      </w:pPr>
      <w:r>
        <w:rPr>
          <w:rStyle w:val="FootnoteReference"/>
        </w:rPr>
        <w:footnoteRef/>
      </w:r>
      <w:r>
        <w:rPr>
          <w:i/>
          <w:iCs/>
        </w:rPr>
        <w:t xml:space="preserve">1</w:t>
      </w:r>
      <w:r>
        <w:t xml:space="preserve">.</w:t>
      </w:r>
    </w:p>
  </w:footnote>
  <w:footnote w:id="2009">
    <w:p>
      <w:pPr>
        <w:pStyle w:val="FootnoteText"/>
      </w:pPr>
      <w:r>
        <w:rPr>
          <w:rStyle w:val="FootnoteReference"/>
        </w:rPr>
        <w:footnoteRef/>
      </w:r>
      <w:r>
        <w:t xml:space="preserve">Conjectural reading of a blotted word.</w:t>
      </w:r>
    </w:p>
  </w:footnote>
  <w:footnote w:id="2010">
    <w:p>
      <w:pPr>
        <w:pStyle w:val="FootnoteText"/>
      </w:pPr>
      <w:r>
        <w:rPr>
          <w:rStyle w:val="FootnoteReference"/>
        </w:rPr>
        <w:footnoteRef/>
      </w:r>
      <w:r>
        <w:t xml:space="preserve">Reading conjectural because of inkblot.</w:t>
      </w:r>
    </w:p>
  </w:footnote>
  <w:footnote w:id="2011">
    <w:p>
      <w:pPr>
        <w:pStyle w:val="FootnoteText"/>
      </w:pPr>
      <w:r>
        <w:rPr>
          <w:rStyle w:val="FootnoteReference"/>
        </w:rPr>
        <w:footnoteRef/>
      </w:r>
      <w:r>
        <w:rPr>
          <w:i/>
          <w:iCs/>
        </w:rPr>
        <w:t xml:space="preserve">11.5r</w:t>
      </w:r>
      <w:r>
        <w:t xml:space="preserve">.</w:t>
      </w:r>
    </w:p>
  </w:footnote>
  <w:footnote w:id="2012">
    <w:p>
      <w:pPr>
        <w:pStyle w:val="FootnoteText"/>
      </w:pPr>
      <w:r>
        <w:rPr>
          <w:rStyle w:val="FootnoteReference"/>
        </w:rPr>
        <w:footnoteRef/>
      </w:r>
      <w:r>
        <w:t xml:space="preserve">Reading conjectural because of inkblot.</w:t>
      </w:r>
    </w:p>
  </w:footnote>
  <w:footnote w:id="2013">
    <w:p>
      <w:pPr>
        <w:pStyle w:val="FootnoteText"/>
      </w:pPr>
      <w:r>
        <w:rPr>
          <w:rStyle w:val="FootnoteReference"/>
        </w:rPr>
        <w:footnoteRef/>
      </w:r>
      <w:r>
        <w:t xml:space="preserve">Reading conjectural because of inkblot.</w:t>
      </w:r>
    </w:p>
  </w:footnote>
  <w:footnote w:id="2014">
    <w:p>
      <w:pPr>
        <w:pStyle w:val="FootnoteText"/>
      </w:pPr>
      <w:r>
        <w:rPr>
          <w:rStyle w:val="FootnoteReference"/>
        </w:rPr>
        <w:footnoteRef/>
      </w:r>
      <w:r>
        <w:t xml:space="preserve">This phrase echoes Colossians 1:9.</w:t>
      </w:r>
    </w:p>
  </w:footnote>
  <w:footnote w:id="2015">
    <w:p>
      <w:pPr>
        <w:pStyle w:val="FootnoteText"/>
      </w:pPr>
      <w:r>
        <w:rPr>
          <w:rStyle w:val="FootnoteReference"/>
        </w:rPr>
        <w:footnoteRef/>
      </w:r>
      <w:r>
        <w:rPr>
          <w:i/>
          <w:iCs/>
        </w:rPr>
        <w:t xml:space="preserve">11.5v</w:t>
      </w:r>
      <w:r>
        <w:t xml:space="preserve">.</w:t>
      </w:r>
    </w:p>
  </w:footnote>
  <w:footnote w:id="2016">
    <w:p>
      <w:pPr>
        <w:pStyle w:val="FootnoteText"/>
      </w:pPr>
      <w:r>
        <w:rPr>
          <w:rStyle w:val="FootnoteReference"/>
        </w:rPr>
        <w:footnoteRef/>
      </w:r>
      <w:r>
        <w:rPr>
          <w:i/>
          <w:iCs/>
        </w:rPr>
        <w:t xml:space="preserve">11.6r</w:t>
      </w:r>
      <w:r>
        <w:t xml:space="preserve">.</w:t>
      </w:r>
    </w:p>
  </w:footnote>
  <w:footnote w:id="2017">
    <w:p>
      <w:pPr>
        <w:pStyle w:val="FootnoteText"/>
      </w:pPr>
      <w:r>
        <w:rPr>
          <w:rStyle w:val="FootnoteReference"/>
        </w:rPr>
        <w:footnoteRef/>
      </w:r>
      <w:r>
        <w:t xml:space="preserve">JE paraphrases Revelation 14:6 and indicates intent to supply missing words.</w:t>
      </w:r>
    </w:p>
  </w:footnote>
  <w:footnote w:id="2018">
    <w:p>
      <w:pPr>
        <w:pStyle w:val="FootnoteText"/>
      </w:pPr>
      <w:r>
        <w:rPr>
          <w:rStyle w:val="FootnoteReference"/>
        </w:rPr>
        <w:footnoteRef/>
      </w:r>
      <w:r>
        <w:rPr>
          <w:i/>
          <w:iCs/>
        </w:rPr>
        <w:t xml:space="preserve">2</w:t>
      </w:r>
      <w:r>
        <w:t xml:space="preserve">.</w:t>
      </w:r>
    </w:p>
  </w:footnote>
  <w:footnote w:id="2019">
    <w:p>
      <w:pPr>
        <w:pStyle w:val="FootnoteText"/>
      </w:pPr>
      <w:r>
        <w:rPr>
          <w:rStyle w:val="FootnoteReference"/>
        </w:rPr>
        <w:footnoteRef/>
      </w:r>
      <w:r>
        <w:rPr>
          <w:i/>
          <w:iCs/>
        </w:rPr>
        <w:t xml:space="preserve">11.6v</w:t>
      </w:r>
      <w:r>
        <w:t xml:space="preserve">.</w:t>
      </w:r>
    </w:p>
  </w:footnote>
  <w:footnote w:id="2020">
    <w:p>
      <w:pPr>
        <w:pStyle w:val="FootnoteText"/>
      </w:pPr>
      <w:r>
        <w:rPr>
          <w:rStyle w:val="FootnoteReference"/>
        </w:rPr>
        <w:footnoteRef/>
      </w:r>
      <w:r>
        <w:t xml:space="preserve">JE indicates intent to give quotation, which has been supplied from Revelation 16:13–14.</w:t>
      </w:r>
    </w:p>
  </w:footnote>
  <w:footnote w:id="2021">
    <w:p>
      <w:pPr>
        <w:pStyle w:val="FootnoteText"/>
      </w:pPr>
      <w:r>
        <w:rPr>
          <w:rStyle w:val="FootnoteReference"/>
        </w:rPr>
        <w:footnoteRef/>
      </w:r>
      <w:r>
        <w:rPr>
          <w:i/>
          <w:iCs/>
        </w:rPr>
        <w:t xml:space="preserve">11.7r</w:t>
      </w:r>
      <w:r>
        <w:t xml:space="preserve">.</w:t>
      </w:r>
    </w:p>
  </w:footnote>
  <w:footnote w:id="2022">
    <w:p>
      <w:pPr>
        <w:pStyle w:val="FootnoteText"/>
      </w:pPr>
      <w:r>
        <w:rPr>
          <w:rStyle w:val="FootnoteReference"/>
        </w:rPr>
        <w:footnoteRef/>
      </w:r>
      <w:r>
        <w:t xml:space="preserve">This language suggests the story of Samson's destruction of the Philistines in Judges 16:29–30.</w:t>
      </w:r>
    </w:p>
  </w:footnote>
  <w:footnote w:id="2023">
    <w:p>
      <w:pPr>
        <w:pStyle w:val="FootnoteText"/>
      </w:pPr>
      <w:r>
        <w:rPr>
          <w:rStyle w:val="FootnoteReference"/>
        </w:rPr>
        <w:footnoteRef/>
      </w:r>
      <w:r>
        <w:rPr>
          <w:i/>
          <w:iCs/>
        </w:rPr>
        <w:t xml:space="preserve">11.7v</w:t>
      </w:r>
      <w:r>
        <w:t xml:space="preserve">.</w:t>
      </w:r>
    </w:p>
  </w:footnote>
  <w:footnote w:id="2024">
    <w:p>
      <w:pPr>
        <w:pStyle w:val="FootnoteText"/>
      </w:pPr>
      <w:r>
        <w:rPr>
          <w:rStyle w:val="FootnoteReference"/>
        </w:rPr>
        <w:footnoteRef/>
      </w:r>
      <w:r>
        <w:t xml:space="preserve">JE again refers to Revelation 16:14 and paraphrases slightly.</w:t>
      </w:r>
    </w:p>
  </w:footnote>
  <w:footnote w:id="2025">
    <w:p>
      <w:pPr>
        <w:pStyle w:val="FootnoteText"/>
      </w:pPr>
      <w:r>
        <w:rPr>
          <w:rStyle w:val="FootnoteReference"/>
        </w:rPr>
        <w:footnoteRef/>
      </w:r>
      <w:r>
        <w:t xml:space="preserve">JE indicates intent to paraphrase Revelation 16:13.</w:t>
      </w:r>
    </w:p>
  </w:footnote>
  <w:footnote w:id="2026">
    <w:p>
      <w:pPr>
        <w:pStyle w:val="FootnoteText"/>
      </w:pPr>
      <w:r>
        <w:rPr>
          <w:rStyle w:val="FootnoteReference"/>
        </w:rPr>
        <w:footnoteRef/>
      </w:r>
      <w:r>
        <w:rPr>
          <w:i/>
          <w:iCs/>
        </w:rPr>
        <w:t xml:space="preserve">11.8r</w:t>
      </w:r>
      <w:r>
        <w:t xml:space="preserve">.</w:t>
      </w:r>
    </w:p>
  </w:footnote>
  <w:footnote w:id="2027">
    <w:p>
      <w:pPr>
        <w:pStyle w:val="FootnoteText"/>
      </w:pPr>
      <w:r>
        <w:rPr>
          <w:rStyle w:val="FootnoteReference"/>
        </w:rPr>
        <w:footnoteRef/>
      </w:r>
      <w:r>
        <w:t xml:space="preserve">A reference to Revelation 16:14.</w:t>
      </w:r>
    </w:p>
  </w:footnote>
  <w:footnote w:id="2028">
    <w:p>
      <w:pPr>
        <w:pStyle w:val="FootnoteText"/>
      </w:pPr>
      <w:r>
        <w:rPr>
          <w:rStyle w:val="FootnoteReference"/>
        </w:rPr>
        <w:footnoteRef/>
      </w:r>
      <w:r>
        <w:rPr>
          <w:i/>
          <w:iCs/>
        </w:rPr>
        <w:t xml:space="preserve">3</w:t>
      </w:r>
      <w:r>
        <w:t xml:space="preserve">.</w:t>
      </w:r>
    </w:p>
  </w:footnote>
  <w:footnote w:id="2029">
    <w:p>
      <w:pPr>
        <w:pStyle w:val="FootnoteText"/>
      </w:pPr>
      <w:r>
        <w:rPr>
          <w:rStyle w:val="FootnoteReference"/>
        </w:rPr>
        <w:footnoteRef/>
      </w:r>
      <w:r>
        <w:rPr>
          <w:i/>
          <w:iCs/>
        </w:rPr>
        <w:t xml:space="preserve">11.8v</w:t>
      </w:r>
      <w:r>
        <w:t xml:space="preserve">.</w:t>
      </w:r>
    </w:p>
  </w:footnote>
  <w:footnote w:id="2030">
    <w:p>
      <w:pPr>
        <w:pStyle w:val="FootnoteText"/>
      </w:pPr>
      <w:r>
        <w:rPr>
          <w:rStyle w:val="FootnoteReference"/>
        </w:rPr>
        <w:footnoteRef/>
      </w:r>
      <w:r>
        <w:t xml:space="preserve">This language is reminiscent of Ephesians 6:1–13, Ephesians 6:17.</w:t>
      </w:r>
    </w:p>
  </w:footnote>
  <w:footnote w:id="2031">
    <w:p>
      <w:pPr>
        <w:pStyle w:val="FootnoteText"/>
      </w:pPr>
      <w:r>
        <w:rPr>
          <w:rStyle w:val="FootnoteReference"/>
        </w:rPr>
        <w:footnoteRef/>
      </w:r>
      <w:r>
        <w:t xml:space="preserve">Revelation 19:20–21.</w:t>
      </w:r>
    </w:p>
  </w:footnote>
  <w:footnote w:id="2032">
    <w:p>
      <w:pPr>
        <w:pStyle w:val="FootnoteText"/>
      </w:pPr>
      <w:r>
        <w:rPr>
          <w:rStyle w:val="FootnoteReference"/>
        </w:rPr>
        <w:footnoteRef/>
      </w:r>
      <w:r>
        <w:rPr>
          <w:i/>
          <w:iCs/>
        </w:rPr>
        <w:t xml:space="preserve">11.9r</w:t>
      </w:r>
      <w:r>
        <w:t xml:space="preserve">.</w:t>
      </w:r>
    </w:p>
  </w:footnote>
  <w:footnote w:id="2033">
    <w:p>
      <w:pPr>
        <w:pStyle w:val="FootnoteText"/>
      </w:pPr>
      <w:r>
        <w:rPr>
          <w:rStyle w:val="FootnoteReference"/>
        </w:rPr>
        <w:footnoteRef/>
      </w:r>
      <w:r>
        <w:t xml:space="preserve">Revelation 16:17.</w:t>
      </w:r>
    </w:p>
  </w:footnote>
  <w:footnote w:id="2034">
    <w:p>
      <w:pPr>
        <w:pStyle w:val="FootnoteText"/>
      </w:pPr>
      <w:r>
        <w:rPr>
          <w:rStyle w:val="FootnoteReference"/>
        </w:rPr>
        <w:footnoteRef/>
      </w:r>
      <w:r>
        <w:t xml:space="preserve">Revelation 6:10.</w:t>
      </w:r>
    </w:p>
  </w:footnote>
  <w:footnote w:id="2035">
    <w:p>
      <w:pPr>
        <w:pStyle w:val="FootnoteText"/>
      </w:pPr>
      <w:r>
        <w:rPr>
          <w:rStyle w:val="FootnoteReference"/>
        </w:rPr>
        <w:footnoteRef/>
      </w:r>
      <w:r>
        <w:t xml:space="preserve">JE paraphrases Revelation 10:5–7. Where he indicates intent to complete phrases, words are bracketed.</w:t>
      </w:r>
    </w:p>
  </w:footnote>
  <w:footnote w:id="2036">
    <w:p>
      <w:pPr>
        <w:pStyle w:val="FootnoteText"/>
      </w:pPr>
      <w:r>
        <w:rPr>
          <w:rStyle w:val="FootnoteReference"/>
        </w:rPr>
        <w:footnoteRef/>
      </w:r>
      <w:r>
        <w:rPr>
          <w:i/>
          <w:iCs/>
        </w:rPr>
        <w:t xml:space="preserve">11.9v</w:t>
      </w:r>
      <w:r>
        <w:t xml:space="preserve">.</w:t>
      </w:r>
    </w:p>
  </w:footnote>
  <w:footnote w:id="2037">
    <w:p>
      <w:pPr>
        <w:pStyle w:val="FootnoteText"/>
      </w:pPr>
      <w:r>
        <w:rPr>
          <w:rStyle w:val="FootnoteReference"/>
        </w:rPr>
        <w:footnoteRef/>
      </w:r>
      <w:r>
        <w:t xml:space="preserve">A close paraphrase of Daniel 2:34–35. JE has deleted with four vertical lines the following passage: "There are two things that I would especially note concerning this victory of Christ and his church over their enemies." JE deleted a passage of comparable length prior to this sentence with so many lines (21) that its recovery is unwarranted.</w:t>
      </w:r>
    </w:p>
  </w:footnote>
  <w:footnote w:id="2038">
    <w:p>
      <w:pPr>
        <w:pStyle w:val="FootnoteText"/>
      </w:pPr>
      <w:r>
        <w:rPr>
          <w:rStyle w:val="FootnoteReference"/>
        </w:rPr>
        <w:footnoteRef/>
      </w:r>
      <w:r>
        <w:rPr>
          <w:i/>
          <w:iCs/>
        </w:rPr>
        <w:t xml:space="preserve">11.10r</w:t>
      </w:r>
      <w:r>
        <w:t xml:space="preserve">.</w:t>
      </w:r>
    </w:p>
  </w:footnote>
  <w:footnote w:id="2039">
    <w:p>
      <w:pPr>
        <w:pStyle w:val="FootnoteText"/>
      </w:pPr>
      <w:r>
        <w:rPr>
          <w:rStyle w:val="FootnoteReference"/>
        </w:rPr>
        <w:footnoteRef/>
      </w:r>
      <w:r>
        <w:t xml:space="preserve">JE paraphrases Revelation 2:27.</w:t>
      </w:r>
    </w:p>
  </w:footnote>
  <w:footnote w:id="2040">
    <w:p>
      <w:pPr>
        <w:pStyle w:val="FootnoteText"/>
      </w:pPr>
      <w:r>
        <w:rPr>
          <w:rStyle w:val="FootnoteReference"/>
        </w:rPr>
        <w:footnoteRef/>
      </w:r>
      <w:r>
        <w:t xml:space="preserve">JE echoes 2 Corinthians 12:9–10.</w:t>
      </w:r>
    </w:p>
  </w:footnote>
  <w:footnote w:id="2041">
    <w:p>
      <w:pPr>
        <w:pStyle w:val="FootnoteText"/>
      </w:pPr>
      <w:r>
        <w:rPr>
          <w:rStyle w:val="FootnoteReference"/>
        </w:rPr>
        <w:footnoteRef/>
      </w:r>
      <w:r>
        <w:t xml:space="preserve">JE's text reads Isaiah 42:13–15, which would be plausible, but his argument suggests that he intended to quote the Isaiah 41 again. The text has been changed accordingly. JE eliminated with a single cross mark the following passage, which stood as a second note about the victory of Christ: "2. It shall be with the execution of very dreadful judgments on the enemies of the church when Christ comes forth to this battle to represent that he shall come to hand 'the wine press of the fierceness [and wrath of Almighty God].' Revelation 19:15. And in this victory shall that be fulfilled in."</w:t>
      </w:r>
    </w:p>
  </w:footnote>
  <w:footnote w:id="2042">
    <w:p>
      <w:pPr>
        <w:pStyle w:val="FootnoteText"/>
      </w:pPr>
      <w:r>
        <w:rPr>
          <w:rStyle w:val="FootnoteReference"/>
        </w:rPr>
        <w:footnoteRef/>
      </w:r>
      <w:r>
        <w:rPr>
          <w:i/>
          <w:iCs/>
        </w:rPr>
        <w:t xml:space="preserve">4</w:t>
      </w:r>
      <w:r>
        <w:t xml:space="preserve">.</w:t>
      </w:r>
    </w:p>
  </w:footnote>
  <w:footnote w:id="2043">
    <w:p>
      <w:pPr>
        <w:pStyle w:val="FootnoteText"/>
      </w:pPr>
      <w:r>
        <w:rPr>
          <w:rStyle w:val="FootnoteReference"/>
        </w:rPr>
        <w:footnoteRef/>
      </w:r>
      <w:r>
        <w:rPr>
          <w:i/>
          <w:iCs/>
        </w:rPr>
        <w:t xml:space="preserve">11.10v</w:t>
      </w:r>
      <w:r>
        <w:t xml:space="preserve">.</w:t>
      </w:r>
    </w:p>
  </w:footnote>
  <w:footnote w:id="2044">
    <w:p>
      <w:pPr>
        <w:pStyle w:val="FootnoteText"/>
      </w:pPr>
      <w:r>
        <w:rPr>
          <w:rStyle w:val="FootnoteReference"/>
        </w:rPr>
        <w:footnoteRef/>
      </w:r>
      <w:r>
        <w:t xml:space="preserve">See Joshua 10:6–14 for this and the reference above.</w:t>
      </w:r>
    </w:p>
  </w:footnote>
  <w:footnote w:id="2045">
    <w:p>
      <w:pPr>
        <w:pStyle w:val="FootnoteText"/>
      </w:pPr>
      <w:r>
        <w:rPr>
          <w:rStyle w:val="FootnoteReference"/>
        </w:rPr>
        <w:footnoteRef/>
      </w:r>
      <w:r>
        <w:t xml:space="preserve">See Joshua 11:9–11.</w:t>
      </w:r>
    </w:p>
  </w:footnote>
  <w:footnote w:id="2046">
    <w:p>
      <w:pPr>
        <w:pStyle w:val="FootnoteText"/>
      </w:pPr>
      <w:r>
        <w:rPr>
          <w:rStyle w:val="FootnoteReference"/>
        </w:rPr>
        <w:footnoteRef/>
      </w:r>
      <w:r>
        <w:t xml:space="preserve">See Joshua 11:1–8.</w:t>
      </w:r>
    </w:p>
  </w:footnote>
  <w:footnote w:id="2047">
    <w:p>
      <w:pPr>
        <w:pStyle w:val="FootnoteText"/>
      </w:pPr>
      <w:r>
        <w:rPr>
          <w:rStyle w:val="FootnoteReference"/>
        </w:rPr>
        <w:footnoteRef/>
      </w:r>
      <w:r>
        <w:t xml:space="preserve">JE paraphrases.</w:t>
      </w:r>
    </w:p>
  </w:footnote>
  <w:footnote w:id="2048">
    <w:p>
      <w:pPr>
        <w:pStyle w:val="FootnoteText"/>
      </w:pPr>
      <w:r>
        <w:rPr>
          <w:rStyle w:val="FootnoteReference"/>
        </w:rPr>
        <w:footnoteRef/>
      </w:r>
      <w:r>
        <w:t xml:space="preserve">JE indicates intent to supply this phrase, from Daniel 2:34–35.</w:t>
      </w:r>
    </w:p>
  </w:footnote>
  <w:footnote w:id="2049">
    <w:p>
      <w:pPr>
        <w:pStyle w:val="FootnoteText"/>
      </w:pPr>
      <w:r>
        <w:rPr>
          <w:rStyle w:val="FootnoteReference"/>
        </w:rPr>
        <w:footnoteRef/>
      </w:r>
      <w:r>
        <w:rPr>
          <w:i/>
          <w:iCs/>
        </w:rPr>
        <w:t xml:space="preserve">11.11r</w:t>
      </w:r>
      <w:r>
        <w:t xml:space="preserve">.</w:t>
      </w:r>
    </w:p>
  </w:footnote>
  <w:footnote w:id="2050">
    <w:p>
      <w:pPr>
        <w:pStyle w:val="FootnoteText"/>
      </w:pPr>
      <w:r>
        <w:rPr>
          <w:rStyle w:val="FootnoteReference"/>
        </w:rPr>
        <w:footnoteRef/>
      </w:r>
      <w:r>
        <w:t xml:space="preserve">Revelation 16:17.</w:t>
      </w:r>
    </w:p>
  </w:footnote>
  <w:footnote w:id="2051">
    <w:p>
      <w:pPr>
        <w:pStyle w:val="FootnoteText"/>
      </w:pPr>
      <w:r>
        <w:rPr>
          <w:rStyle w:val="FootnoteReference"/>
        </w:rPr>
        <w:footnoteRef/>
      </w:r>
      <w:r>
        <w:rPr>
          <w:i/>
          <w:iCs/>
        </w:rPr>
        <w:t xml:space="preserve">a</w:t>
      </w:r>
      <w:r>
        <w:t xml:space="preserve">.</w:t>
      </w:r>
    </w:p>
  </w:footnote>
  <w:footnote w:id="2052">
    <w:p>
      <w:pPr>
        <w:pStyle w:val="FootnoteText"/>
      </w:pPr>
      <w:r>
        <w:rPr>
          <w:rStyle w:val="FootnoteReference"/>
        </w:rPr>
        <w:footnoteRef/>
      </w:r>
      <w:r>
        <w:rPr>
          <w:i/>
          <w:iCs/>
        </w:rPr>
        <w:t xml:space="preserve">11.11v</w:t>
      </w:r>
      <w:r>
        <w:t xml:space="preserve">.</w:t>
      </w:r>
    </w:p>
  </w:footnote>
  <w:footnote w:id="2053">
    <w:p>
      <w:pPr>
        <w:pStyle w:val="FootnoteText"/>
      </w:pPr>
      <w:r>
        <w:rPr>
          <w:rStyle w:val="FootnoteReference"/>
        </w:rPr>
        <w:footnoteRef/>
      </w:r>
      <w:r>
        <w:t xml:space="preserve">JE appears to have reordered his text, bringing up the next paragraph from </w:t>
      </w:r>
      <w:r>
        <w:rPr>
          <w:i/>
          <w:iCs/>
        </w:rPr>
        <w:t xml:space="preserve">11.15v</w:t>
      </w:r>
      <w:r>
        <w:t xml:space="preserve">. and </w:t>
      </w:r>
      <w:r>
        <w:rPr>
          <w:i/>
          <w:iCs/>
        </w:rPr>
        <w:t xml:space="preserve">11.16r</w:t>
      </w:r>
      <w:r>
        <w:t xml:space="preserve">., from within the body of the following sermon. His usual symbols have not been used to mark this transposition, but the numbering of his points seems to require it.</w:t>
      </w:r>
    </w:p>
  </w:footnote>
  <w:footnote w:id="2054">
    <w:p>
      <w:pPr>
        <w:pStyle w:val="FootnoteText"/>
      </w:pPr>
      <w:r>
        <w:rPr>
          <w:rStyle w:val="FootnoteReference"/>
        </w:rPr>
        <w:footnoteRef/>
      </w:r>
      <w:r>
        <w:rPr>
          <w:i/>
          <w:iCs/>
        </w:rPr>
        <w:t xml:space="preserve">11.15v</w:t>
      </w:r>
      <w:r>
        <w:t xml:space="preserve">.</w:t>
      </w:r>
    </w:p>
  </w:footnote>
  <w:footnote w:id="2055">
    <w:p>
      <w:pPr>
        <w:pStyle w:val="FootnoteText"/>
      </w:pPr>
      <w:r>
        <w:rPr>
          <w:rStyle w:val="FootnoteReference"/>
        </w:rPr>
        <w:footnoteRef/>
      </w:r>
      <w:r>
        <w:rPr>
          <w:i/>
          <w:iCs/>
        </w:rPr>
        <w:t xml:space="preserve">(</w:t>
      </w:r>
      <w:r>
        <w:rPr>
          <w:i/>
          <w:iCs/>
        </w:rPr>
        <w:t xml:space="preserve">1</w:t>
      </w:r>
      <w:r>
        <w:rPr>
          <w:i/>
          <w:iCs/>
        </w:rPr>
        <w:t xml:space="preserve">.</w:t>
      </w:r>
      <w:r>
        <w:rPr>
          <w:i/>
          <w:iCs/>
        </w:rPr>
        <w:t xml:space="preserve">)</w:t>
      </w:r>
      <w:r>
        <w:t xml:space="preserve">.</w:t>
      </w:r>
    </w:p>
  </w:footnote>
  <w:footnote w:id="2056">
    <w:p>
      <w:pPr>
        <w:pStyle w:val="FootnoteText"/>
      </w:pPr>
      <w:r>
        <w:rPr>
          <w:rStyle w:val="FootnoteReference"/>
        </w:rPr>
        <w:footnoteRef/>
      </w:r>
      <w:r>
        <w:rPr>
          <w:i/>
          <w:iCs/>
        </w:rPr>
        <w:t xml:space="preserve">11. 16r</w:t>
      </w:r>
      <w:r>
        <w:t xml:space="preserve">.</w:t>
      </w:r>
    </w:p>
  </w:footnote>
  <w:footnote w:id="2057">
    <w:p>
      <w:pPr>
        <w:pStyle w:val="FootnoteText"/>
      </w:pPr>
      <w:r>
        <w:rPr>
          <w:rStyle w:val="FootnoteReference"/>
        </w:rPr>
        <w:footnoteRef/>
      </w:r>
      <w:r>
        <w:rPr>
          <w:i/>
          <w:iCs/>
        </w:rPr>
        <w:t xml:space="preserve">11.11v</w:t>
      </w:r>
      <w:r>
        <w:t xml:space="preserve">. JE returns to leaf </w:t>
      </w:r>
      <w:r>
        <w:rPr>
          <w:i/>
          <w:iCs/>
        </w:rPr>
        <w:t xml:space="preserve">11.11v</w:t>
      </w:r>
      <w:r>
        <w:t xml:space="preserve">., from which he broke off (as noted above), to continue his enumeration of the circumstances of the overthrow of Satan's kingdom.</w:t>
      </w:r>
    </w:p>
  </w:footnote>
  <w:footnote w:id="2058">
    <w:p>
      <w:pPr>
        <w:pStyle w:val="FootnoteText"/>
      </w:pPr>
      <w:r>
        <w:rPr>
          <w:rStyle w:val="FootnoteReference"/>
        </w:rPr>
        <w:footnoteRef/>
      </w:r>
      <w:r>
        <w:rPr>
          <w:i/>
          <w:iCs/>
        </w:rPr>
        <w:t xml:space="preserve">(</w:t>
      </w:r>
      <w:r>
        <w:rPr>
          <w:i/>
          <w:iCs/>
        </w:rPr>
        <w:t xml:space="preserve">2</w:t>
      </w:r>
      <w:r>
        <w:rPr>
          <w:i/>
          <w:iCs/>
        </w:rPr>
        <w:t xml:space="preserve">.</w:t>
      </w:r>
      <w:r>
        <w:rPr>
          <w:i/>
          <w:iCs/>
        </w:rPr>
        <w:t xml:space="preserve">)</w:t>
      </w:r>
      <w:r>
        <w:t xml:space="preserve">.</w:t>
      </w:r>
    </w:p>
  </w:footnote>
  <w:footnote w:id="2059">
    <w:p>
      <w:pPr>
        <w:pStyle w:val="FootnoteText"/>
      </w:pPr>
      <w:r>
        <w:rPr>
          <w:rStyle w:val="FootnoteReference"/>
        </w:rPr>
        <w:footnoteRef/>
      </w:r>
      <w:r>
        <w:t xml:space="preserve">The fifth vial of Revelation 16:10–11.</w:t>
      </w:r>
    </w:p>
  </w:footnote>
  <w:footnote w:id="2060">
    <w:p>
      <w:pPr>
        <w:pStyle w:val="FootnoteText"/>
      </w:pPr>
      <w:r>
        <w:rPr>
          <w:rStyle w:val="FootnoteReference"/>
        </w:rPr>
        <w:footnoteRef/>
      </w:r>
      <w:r>
        <w:t xml:space="preserve">Revelation 18:2.</w:t>
      </w:r>
    </w:p>
  </w:footnote>
  <w:footnote w:id="2061">
    <w:p>
      <w:pPr>
        <w:pStyle w:val="FootnoteText"/>
      </w:pPr>
      <w:r>
        <w:rPr>
          <w:rStyle w:val="FootnoteReference"/>
        </w:rPr>
        <w:footnoteRef/>
      </w:r>
      <w:r>
        <w:t xml:space="preserve">Revelation 12:14.</w:t>
      </w:r>
    </w:p>
  </w:footnote>
  <w:footnote w:id="2062">
    <w:p>
      <w:pPr>
        <w:pStyle w:val="FootnoteText"/>
      </w:pPr>
      <w:r>
        <w:rPr>
          <w:rStyle w:val="FootnoteReference"/>
        </w:rPr>
        <w:footnoteRef/>
      </w:r>
      <w:r>
        <w:t xml:space="preserve">Revelation 10:6.</w:t>
      </w:r>
    </w:p>
  </w:footnote>
  <w:footnote w:id="2063">
    <w:p>
      <w:pPr>
        <w:pStyle w:val="FootnoteText"/>
      </w:pPr>
      <w:r>
        <w:rPr>
          <w:rStyle w:val="FootnoteReference"/>
        </w:rPr>
        <w:footnoteRef/>
      </w:r>
      <w:r>
        <w:rPr>
          <w:i/>
          <w:iCs/>
        </w:rPr>
        <w:t xml:space="preserve">11.12r</w:t>
      </w:r>
      <w:r>
        <w:t xml:space="preserve">.</w:t>
      </w:r>
    </w:p>
  </w:footnote>
  <w:footnote w:id="2064">
    <w:p>
      <w:pPr>
        <w:pStyle w:val="FootnoteText"/>
      </w:pPr>
      <w:r>
        <w:rPr>
          <w:rStyle w:val="FootnoteReference"/>
        </w:rPr>
        <w:footnoteRef/>
      </w:r>
      <w:r>
        <w:t xml:space="preserve">This sentence conflates elements from Revelation 18:2, Revelation 18:21.</w:t>
      </w:r>
    </w:p>
  </w:footnote>
  <w:footnote w:id="2065">
    <w:p>
      <w:pPr>
        <w:pStyle w:val="FootnoteText"/>
      </w:pPr>
      <w:r>
        <w:rPr>
          <w:rStyle w:val="FootnoteReference"/>
        </w:rPr>
        <w:footnoteRef/>
      </w:r>
      <w:r>
        <w:t xml:space="preserve">This echoes John 15:6.</w:t>
      </w:r>
    </w:p>
  </w:footnote>
  <w:footnote w:id="2066">
    <w:p>
      <w:pPr>
        <w:pStyle w:val="FootnoteText"/>
      </w:pPr>
      <w:r>
        <w:rPr>
          <w:rStyle w:val="FootnoteReference"/>
        </w:rPr>
        <w:footnoteRef/>
      </w:r>
      <w:r>
        <w:t xml:space="preserve">Micah 7:10.</w:t>
      </w:r>
    </w:p>
  </w:footnote>
  <w:footnote w:id="2067">
    <w:p>
      <w:pPr>
        <w:pStyle w:val="FootnoteText"/>
      </w:pPr>
      <w:r>
        <w:rPr>
          <w:rStyle w:val="FootnoteReference"/>
        </w:rPr>
        <w:footnoteRef/>
      </w:r>
      <w:r>
        <w:t xml:space="preserve">A possible allusion to Joshua 10:24–25.</w:t>
      </w:r>
    </w:p>
  </w:footnote>
  <w:footnote w:id="2068">
    <w:p>
      <w:pPr>
        <w:pStyle w:val="FootnoteText"/>
      </w:pPr>
      <w:r>
        <w:rPr>
          <w:rStyle w:val="FootnoteReference"/>
        </w:rPr>
        <w:footnoteRef/>
      </w:r>
      <w:r>
        <w:t xml:space="preserve">This image is taken from Psalms 110:1; Mark 12:36; Hebrews 10:13.</w:t>
      </w:r>
    </w:p>
  </w:footnote>
  <w:footnote w:id="2069">
    <w:p>
      <w:pPr>
        <w:pStyle w:val="FootnoteText"/>
      </w:pPr>
      <w:r>
        <w:rPr>
          <w:rStyle w:val="FootnoteReference"/>
        </w:rPr>
        <w:footnoteRef/>
      </w:r>
      <w:r>
        <w:rPr>
          <w:i/>
          <w:iCs/>
        </w:rPr>
        <w:t xml:space="preserve">11.12v</w:t>
      </w:r>
      <w:r>
        <w:t xml:space="preserve">.</w:t>
      </w:r>
    </w:p>
  </w:footnote>
  <w:footnote w:id="2070">
    <w:p>
      <w:pPr>
        <w:pStyle w:val="FootnoteText"/>
      </w:pPr>
      <w:r>
        <w:rPr>
          <w:rStyle w:val="FootnoteReference"/>
        </w:rPr>
        <w:footnoteRef/>
      </w:r>
      <w:r>
        <w:rPr>
          <w:i/>
          <w:iCs/>
        </w:rPr>
        <w:t xml:space="preserve">(</w:t>
      </w:r>
      <w:r>
        <w:rPr>
          <w:i/>
          <w:iCs/>
        </w:rPr>
        <w:t xml:space="preserve">3</w:t>
      </w:r>
      <w:r>
        <w:rPr>
          <w:i/>
          <w:iCs/>
        </w:rPr>
        <w:t xml:space="preserve">.</w:t>
      </w:r>
      <w:r>
        <w:rPr>
          <w:i/>
          <w:iCs/>
        </w:rPr>
        <w:t xml:space="preserve">)</w:t>
      </w:r>
      <w:r>
        <w:t xml:space="preserve">.</w:t>
      </w:r>
    </w:p>
  </w:footnote>
  <w:footnote w:id="2071">
    <w:p>
      <w:pPr>
        <w:pStyle w:val="FootnoteText"/>
      </w:pPr>
      <w:r>
        <w:rPr>
          <w:rStyle w:val="FootnoteReference"/>
        </w:rPr>
        <w:footnoteRef/>
      </w:r>
      <w:r>
        <w:t xml:space="preserve">See Revelation 9:7; Revelation 19:20.</w:t>
      </w:r>
    </w:p>
  </w:footnote>
  <w:footnote w:id="2072">
    <w:p>
      <w:pPr>
        <w:pStyle w:val="FootnoteText"/>
      </w:pPr>
      <w:r>
        <w:rPr>
          <w:rStyle w:val="FootnoteReference"/>
        </w:rPr>
        <w:footnoteRef/>
      </w:r>
      <w:r>
        <w:t xml:space="preserve">See Revelation 9:1–2; Revelation 14:11.</w:t>
      </w:r>
    </w:p>
  </w:footnote>
  <w:footnote w:id="2073">
    <w:p>
      <w:pPr>
        <w:pStyle w:val="FootnoteText"/>
      </w:pPr>
      <w:r>
        <w:rPr>
          <w:rStyle w:val="FootnoteReference"/>
        </w:rPr>
        <w:footnoteRef/>
      </w:r>
      <w:r>
        <w:rPr>
          <w:i/>
          <w:iCs/>
        </w:rPr>
        <w:t xml:space="preserve">(</w:t>
      </w:r>
      <w:r>
        <w:rPr>
          <w:b/>
          <w:bCs/>
          <w:i/>
          <w:iCs/>
        </w:rPr>
        <w:t xml:space="preserve">4</w:t>
      </w:r>
      <w:r>
        <w:rPr>
          <w:i/>
          <w:iCs/>
        </w:rPr>
        <w:t xml:space="preserve">.)</w:t>
      </w:r>
      <w:r>
        <w:t xml:space="preserve">.</w:t>
      </w:r>
    </w:p>
  </w:footnote>
  <w:footnote w:id="2074">
    <w:p>
      <w:pPr>
        <w:pStyle w:val="FootnoteText"/>
      </w:pPr>
      <w:r>
        <w:rPr>
          <w:rStyle w:val="FootnoteReference"/>
        </w:rPr>
        <w:footnoteRef/>
      </w:r>
      <w:r>
        <w:rPr>
          <w:i/>
          <w:iCs/>
        </w:rPr>
        <w:t xml:space="preserve">11.13r</w:t>
      </w:r>
      <w:r>
        <w:t xml:space="preserve">.</w:t>
      </w:r>
    </w:p>
  </w:footnote>
  <w:footnote w:id="2075">
    <w:p>
      <w:pPr>
        <w:pStyle w:val="FootnoteText"/>
      </w:pPr>
      <w:r>
        <w:rPr>
          <w:rStyle w:val="FootnoteReference"/>
        </w:rPr>
        <w:footnoteRef/>
      </w:r>
      <w:r>
        <w:t xml:space="preserve">JE indicates intent to complete quote from this passage, after minor paraphrasing.</w:t>
      </w:r>
    </w:p>
  </w:footnote>
  <w:footnote w:id="2076">
    <w:p>
      <w:pPr>
        <w:pStyle w:val="FootnoteText"/>
      </w:pPr>
      <w:r>
        <w:rPr>
          <w:rStyle w:val="FootnoteReference"/>
        </w:rPr>
        <w:footnoteRef/>
      </w:r>
      <w:r>
        <w:t xml:space="preserve">A paraphrase of Romans 11:26.</w:t>
      </w:r>
    </w:p>
  </w:footnote>
  <w:footnote w:id="2077">
    <w:p>
      <w:pPr>
        <w:pStyle w:val="FootnoteText"/>
      </w:pPr>
      <w:r>
        <w:rPr>
          <w:rStyle w:val="FootnoteReference"/>
        </w:rPr>
        <w:footnoteRef/>
      </w:r>
      <w:r>
        <w:t xml:space="preserve">This echoes, among many texts, Isaiah 66:20; Jeremiah 50:4.</w:t>
      </w:r>
    </w:p>
  </w:footnote>
  <w:footnote w:id="2078">
    <w:p>
      <w:pPr>
        <w:pStyle w:val="FootnoteText"/>
      </w:pPr>
      <w:r>
        <w:rPr>
          <w:rStyle w:val="FootnoteReference"/>
        </w:rPr>
        <w:footnoteRef/>
      </w:r>
      <w:r>
        <w:rPr>
          <w:i/>
          <w:iCs/>
        </w:rPr>
        <w:t xml:space="preserve">11.13v</w:t>
      </w:r>
      <w:r>
        <w:t xml:space="preserve">.</w:t>
      </w:r>
    </w:p>
  </w:footnote>
  <w:footnote w:id="2079">
    <w:p>
      <w:pPr>
        <w:pStyle w:val="FootnoteText"/>
      </w:pPr>
      <w:r>
        <w:rPr>
          <w:rStyle w:val="FootnoteReference"/>
        </w:rPr>
        <w:footnoteRef/>
      </w:r>
      <w:r>
        <w:rPr>
          <w:i/>
          <w:iCs/>
        </w:rPr>
        <w:t xml:space="preserve">11.14r</w:t>
      </w:r>
      <w:r>
        <w:t xml:space="preserve">.</w:t>
      </w:r>
    </w:p>
  </w:footnote>
  <w:footnote w:id="2080">
    <w:p>
      <w:pPr>
        <w:pStyle w:val="FootnoteText"/>
      </w:pPr>
      <w:r>
        <w:rPr>
          <w:rStyle w:val="FootnoteReference"/>
        </w:rPr>
        <w:footnoteRef/>
      </w:r>
      <w:r>
        <w:t xml:space="preserve">Especially Hosea 14.</w:t>
      </w:r>
    </w:p>
  </w:footnote>
  <w:footnote w:id="2081">
    <w:p>
      <w:pPr>
        <w:pStyle w:val="FootnoteText"/>
      </w:pPr>
      <w:r>
        <w:rPr>
          <w:rStyle w:val="FootnoteReference"/>
        </w:rPr>
        <w:footnoteRef/>
      </w:r>
      <w:r>
        <w:rPr>
          <w:i/>
          <w:iCs/>
        </w:rPr>
        <w:t xml:space="preserve">11.14r</w:t>
      </w:r>
      <w:r>
        <w:t xml:space="preserve">.</w:t>
      </w:r>
    </w:p>
  </w:footnote>
  <w:footnote w:id="2082">
    <w:p>
      <w:pPr>
        <w:pStyle w:val="FootnoteText"/>
      </w:pPr>
      <w:r>
        <w:rPr>
          <w:rStyle w:val="FootnoteReference"/>
        </w:rPr>
        <w:footnoteRef/>
      </w:r>
      <w:r>
        <w:t xml:space="preserve">This sermon continues JE's discussion of the elements that will together constitute the overthrow of Satan's visible kingdom. In the absence of introductory or transitional material, we can assume that it was composed for delivery on the afternoon of the day on which Sermon 26 was to be delivered in the forenoon.</w:t>
      </w:r>
    </w:p>
  </w:footnote>
  <w:footnote w:id="2083">
    <w:p>
      <w:pPr>
        <w:pStyle w:val="FootnoteText"/>
      </w:pPr>
      <w:r>
        <w:rPr>
          <w:rStyle w:val="FootnoteReference"/>
        </w:rPr>
        <w:footnoteRef/>
      </w:r>
      <w:r>
        <w:rPr>
          <w:i/>
          <w:iCs/>
        </w:rPr>
        <w:t xml:space="preserve">(</w:t>
      </w:r>
      <w:r>
        <w:rPr>
          <w:b/>
          <w:bCs/>
          <w:i/>
          <w:iCs/>
        </w:rPr>
        <w:t xml:space="preserve">5</w:t>
      </w:r>
      <w:r>
        <w:rPr>
          <w:i/>
          <w:iCs/>
        </w:rPr>
        <w:t xml:space="preserve">.)</w:t>
      </w:r>
      <w:r>
        <w:t xml:space="preserve">.</w:t>
      </w:r>
    </w:p>
  </w:footnote>
  <w:footnote w:id="2084">
    <w:p>
      <w:pPr>
        <w:pStyle w:val="FootnoteText"/>
      </w:pPr>
      <w:r>
        <w:rPr>
          <w:rStyle w:val="FootnoteReference"/>
        </w:rPr>
        <w:footnoteRef/>
      </w:r>
      <w:r>
        <w:t xml:space="preserve">This passage echoes Revelation 14:6.</w:t>
      </w:r>
    </w:p>
  </w:footnote>
  <w:footnote w:id="2085">
    <w:p>
      <w:pPr>
        <w:pStyle w:val="FootnoteText"/>
      </w:pPr>
      <w:r>
        <w:rPr>
          <w:rStyle w:val="FootnoteReference"/>
        </w:rPr>
        <w:footnoteRef/>
      </w:r>
      <w:r>
        <w:rPr>
          <w:i/>
          <w:iCs/>
        </w:rPr>
        <w:t xml:space="preserve">11.14v</w:t>
      </w:r>
      <w:r>
        <w:t xml:space="preserve">.</w:t>
      </w:r>
    </w:p>
  </w:footnote>
  <w:footnote w:id="2086">
    <w:p>
      <w:pPr>
        <w:pStyle w:val="FootnoteText"/>
      </w:pPr>
      <w:r>
        <w:rPr>
          <w:rStyle w:val="FootnoteReference"/>
        </w:rPr>
        <w:footnoteRef/>
      </w:r>
      <w:r>
        <w:rPr>
          <w:i/>
          <w:iCs/>
        </w:rPr>
        <w:t xml:space="preserve">11.15r</w:t>
      </w:r>
      <w:r>
        <w:t xml:space="preserve">.</w:t>
      </w:r>
    </w:p>
  </w:footnote>
  <w:footnote w:id="2087">
    <w:p>
      <w:pPr>
        <w:pStyle w:val="FootnoteText"/>
      </w:pPr>
      <w:r>
        <w:rPr>
          <w:rStyle w:val="FootnoteReference"/>
        </w:rPr>
        <w:footnoteRef/>
      </w:r>
      <w:r>
        <w:t xml:space="preserve">JE's text is confused and by editorial discretion the word "and" is transposed. His word order is: "but little above the beasts and in many respects as much below them."</w:t>
      </w:r>
    </w:p>
  </w:footnote>
  <w:footnote w:id="2088">
    <w:p>
      <w:pPr>
        <w:pStyle w:val="FootnoteText"/>
      </w:pPr>
      <w:r>
        <w:rPr>
          <w:rStyle w:val="FootnoteReference"/>
        </w:rPr>
        <w:footnoteRef/>
      </w:r>
      <w:r>
        <w:rPr>
          <w:i/>
          <w:iCs/>
        </w:rPr>
        <w:t xml:space="preserve">11.15v</w:t>
      </w:r>
      <w:r>
        <w:t xml:space="preserve">.</w:t>
      </w:r>
    </w:p>
  </w:footnote>
  <w:footnote w:id="2089">
    <w:p>
      <w:pPr>
        <w:pStyle w:val="FootnoteText"/>
      </w:pPr>
      <w:r>
        <w:rPr>
          <w:rStyle w:val="FootnoteReference"/>
        </w:rPr>
        <w:footnoteRef/>
      </w:r>
      <w:r>
        <w:rPr>
          <w:i/>
          <w:iCs/>
        </w:rPr>
        <w:t xml:space="preserve">11.16r</w:t>
      </w:r>
      <w:r>
        <w:t xml:space="preserve">. JE moves to recto of next leaf, skipping over a section he had incorporated into Sermon 26.</w:t>
      </w:r>
    </w:p>
  </w:footnote>
  <w:footnote w:id="2090">
    <w:p>
      <w:pPr>
        <w:pStyle w:val="FootnoteText"/>
      </w:pPr>
      <w:r>
        <w:rPr>
          <w:rStyle w:val="FootnoteReference"/>
        </w:rPr>
        <w:footnoteRef/>
      </w:r>
      <w:r>
        <w:rPr>
          <w:i/>
          <w:iCs/>
        </w:rPr>
        <w:t xml:space="preserve">b</w:t>
      </w:r>
      <w:r>
        <w:t xml:space="preserve">.</w:t>
      </w:r>
    </w:p>
  </w:footnote>
  <w:footnote w:id="2091">
    <w:p>
      <w:pPr>
        <w:pStyle w:val="FootnoteText"/>
      </w:pPr>
      <w:r>
        <w:rPr>
          <w:rStyle w:val="FootnoteReference"/>
        </w:rPr>
        <w:footnoteRef/>
      </w:r>
      <w:r>
        <w:t xml:space="preserve">JE indicates intent to complete his paraphrase of Genesis 12:3.</w:t>
      </w:r>
    </w:p>
  </w:footnote>
  <w:footnote w:id="2092">
    <w:p>
      <w:pPr>
        <w:pStyle w:val="FootnoteText"/>
      </w:pPr>
      <w:r>
        <w:rPr>
          <w:rStyle w:val="FootnoteReference"/>
        </w:rPr>
        <w:footnoteRef/>
      </w:r>
      <w:r>
        <w:rPr>
          <w:i/>
          <w:iCs/>
        </w:rPr>
        <w:t xml:space="preserve">11.16v</w:t>
      </w:r>
      <w:r>
        <w:t xml:space="preserve">. JE has eliminated with a single vertical line two-and-a-half lines of text on the recto of this leaf (</w:t>
      </w:r>
      <w:r>
        <w:rPr>
          <w:i/>
          <w:iCs/>
        </w:rPr>
        <w:t xml:space="preserve">11.16</w:t>
      </w:r>
      <w:r>
        <w:t xml:space="preserve">) and has deleted five lines at the top of </w:t>
      </w:r>
      <w:r>
        <w:rPr>
          <w:i/>
          <w:iCs/>
        </w:rPr>
        <w:t xml:space="preserve">11.16v</w:t>
      </w:r>
      <w:r>
        <w:t xml:space="preserve"> with a single large X. These deleted sections read as follows: Now shall be the time when the number of the house of the Lord shall … [JE apparently intended to conclude this section with phrases possibly taken from Scripture]. The Roman empire used formerly [</w:t>
      </w:r>
      <w:r>
        <w:rPr>
          <w:i/>
          <w:iCs/>
        </w:rPr>
        <w:t xml:space="preserve">11.16v</w:t>
      </w:r>
      <w:r>
        <w:t xml:space="preserve">] to be called all the world because it was the chief part of it; it contained all the civilized nations of the world and the bigger part of the then known world. This has been once already subdued to Christ. The text resumes on </w:t>
      </w:r>
      <w:r>
        <w:rPr>
          <w:i/>
          <w:iCs/>
        </w:rPr>
        <w:t xml:space="preserve">11.16v</w:t>
      </w:r>
      <w:r>
        <w:t xml:space="preserve">.</w:t>
      </w:r>
    </w:p>
  </w:footnote>
  <w:footnote w:id="2093">
    <w:p>
      <w:pPr>
        <w:pStyle w:val="FootnoteText"/>
      </w:pPr>
      <w:r>
        <w:rPr>
          <w:rStyle w:val="FootnoteReference"/>
        </w:rPr>
        <w:footnoteRef/>
      </w:r>
      <w:r>
        <w:t xml:space="preserve">JE revised this sentence, creating a difficulty. Originally it read "there is no part of the sea anywhere but that there is water." Adding "channel or cavity of" did not affect the sentence structure, but adding "covered with" did. The editorial solution has been deletion of the second "there."</w:t>
      </w:r>
    </w:p>
  </w:footnote>
  <w:footnote w:id="2094">
    <w:p>
      <w:pPr>
        <w:pStyle w:val="FootnoteText"/>
      </w:pPr>
      <w:r>
        <w:rPr>
          <w:rStyle w:val="FootnoteReference"/>
        </w:rPr>
        <w:footnoteRef/>
      </w:r>
      <w:r>
        <w:rPr>
          <w:i/>
          <w:iCs/>
        </w:rPr>
        <w:t xml:space="preserve">11.17r</w:t>
      </w:r>
      <w:r>
        <w:t xml:space="preserve">. JE deletes several lines with large X's. The deleted passage reads: So [</w:t>
      </w:r>
      <w:r>
        <w:rPr>
          <w:i/>
          <w:iCs/>
        </w:rPr>
        <w:t xml:space="preserve">11.17r</w:t>
      </w:r>
      <w:r>
        <w:t xml:space="preserve">] as the flooding of the world into the church is prophesied by that in the Isaiah 60, that the abundance of the sea shall be converted unto him, see Isaiah 60:4–5 [JE intends to quote]. So the times are universal in Psalms 72:10–11 [JE intends to quote].</w:t>
      </w:r>
    </w:p>
  </w:footnote>
  <w:footnote w:id="2095">
    <w:p>
      <w:pPr>
        <w:pStyle w:val="FootnoteText"/>
      </w:pPr>
      <w:r>
        <w:rPr>
          <w:rStyle w:val="FootnoteReference"/>
        </w:rPr>
        <w:footnoteRef/>
      </w:r>
      <w:r>
        <w:t xml:space="preserve">JE has added "God" to the passage.</w:t>
      </w:r>
    </w:p>
  </w:footnote>
  <w:footnote w:id="2096">
    <w:p>
      <w:pPr>
        <w:pStyle w:val="FootnoteText"/>
      </w:pPr>
      <w:r>
        <w:rPr>
          <w:rStyle w:val="FootnoteReference"/>
        </w:rPr>
        <w:footnoteRef/>
      </w:r>
      <w:r>
        <w:t xml:space="preserve">JE deletes another short section at this point with a large X. It reads: "Now the stone, after it has smitten the image, shall be given so great as to fill the whole earth." This echoes Daniel 2:35.</w:t>
      </w:r>
    </w:p>
  </w:footnote>
  <w:footnote w:id="2097">
    <w:p>
      <w:pPr>
        <w:pStyle w:val="FootnoteText"/>
      </w:pPr>
      <w:r>
        <w:rPr>
          <w:rStyle w:val="FootnoteReference"/>
        </w:rPr>
        <w:footnoteRef/>
      </w:r>
      <w:r>
        <w:rPr>
          <w:i/>
          <w:iCs/>
        </w:rPr>
        <w:t xml:space="preserve">11.17v</w:t>
      </w:r>
      <w:r>
        <w:t xml:space="preserve">. Leaf breaks at "repre."</w:t>
      </w:r>
    </w:p>
  </w:footnote>
  <w:footnote w:id="2098">
    <w:p>
      <w:pPr>
        <w:pStyle w:val="FootnoteText"/>
      </w:pPr>
      <w:r>
        <w:rPr>
          <w:rStyle w:val="FootnoteReference"/>
        </w:rPr>
        <w:footnoteRef/>
      </w:r>
      <w:r>
        <w:t xml:space="preserve">At this point the text includes a bracketed insertion by JE, "[see note on Romans 11:25]," undoubtedly a reference to a notation in his "Blank Bible" on that verse which concerns the eventual inclusion of the whole Gentile world in the church and makes reference to "Mr. Locke's note" about the point. The insertion is in an ink that may be different from the batch he used for the main text. JE deletes the following section with a single vertical line: Now shall be fulfilled the promises made to Christ of his seeing his seed and the [illegible; perhaps an allusion to Galatians 3:16–17]. Now he shall gloriously observe the "joy that was set before him" [Hebrews 12:2]. And as Christ, being the son of the creator of the world, is the heir of the whole world, so now God will give him his inheritance, Psalms 2:8.</w:t>
      </w:r>
    </w:p>
  </w:footnote>
  <w:footnote w:id="2099">
    <w:p>
      <w:pPr>
        <w:pStyle w:val="FootnoteText"/>
      </w:pPr>
      <w:r>
        <w:rPr>
          <w:rStyle w:val="FootnoteReference"/>
        </w:rPr>
        <w:footnoteRef/>
      </w:r>
      <w:r>
        <w:rPr>
          <w:i/>
          <w:iCs/>
        </w:rPr>
        <w:t xml:space="preserve">11.18r</w:t>
      </w:r>
      <w:r>
        <w:t xml:space="preserve">.</w:t>
      </w:r>
    </w:p>
  </w:footnote>
  <w:footnote w:id="2100">
    <w:p>
      <w:pPr>
        <w:pStyle w:val="FootnoteText"/>
      </w:pPr>
      <w:r>
        <w:rPr>
          <w:rStyle w:val="FootnoteReference"/>
        </w:rPr>
        <w:footnoteRef/>
      </w:r>
      <w:r>
        <w:t xml:space="preserve">JE paraphrases.</w:t>
      </w:r>
    </w:p>
  </w:footnote>
  <w:footnote w:id="2101">
    <w:p>
      <w:pPr>
        <w:pStyle w:val="FootnoteText"/>
      </w:pPr>
      <w:r>
        <w:rPr>
          <w:rStyle w:val="FootnoteReference"/>
        </w:rPr>
        <w:footnoteRef/>
      </w:r>
      <w:r>
        <w:t xml:space="preserve">In an interlineation JE indicates that this sentence and the next refer to Daniel 7:13–14. They are in an ink different from that of the main text.</w:t>
      </w:r>
    </w:p>
  </w:footnote>
  <w:footnote w:id="2102">
    <w:p>
      <w:pPr>
        <w:pStyle w:val="FootnoteText"/>
      </w:pPr>
      <w:r>
        <w:rPr>
          <w:rStyle w:val="FootnoteReference"/>
        </w:rPr>
        <w:footnoteRef/>
      </w:r>
      <w:r>
        <w:rPr>
          <w:i/>
          <w:iCs/>
        </w:rPr>
        <w:t xml:space="preserve">(</w:t>
      </w:r>
      <w:r>
        <w:rPr>
          <w:i/>
          <w:iCs/>
        </w:rPr>
        <w:t xml:space="preserve">1</w:t>
      </w:r>
      <w:r>
        <w:rPr>
          <w:i/>
          <w:iCs/>
        </w:rPr>
        <w:t xml:space="preserve">.</w:t>
      </w:r>
      <w:r>
        <w:rPr>
          <w:i/>
          <w:iCs/>
        </w:rPr>
        <w:t xml:space="preserve">)</w:t>
      </w:r>
      <w:r>
        <w:t xml:space="preserve">.</w:t>
      </w:r>
    </w:p>
  </w:footnote>
  <w:footnote w:id="2103">
    <w:p>
      <w:pPr>
        <w:pStyle w:val="FootnoteText"/>
      </w:pPr>
      <w:r>
        <w:rPr>
          <w:rStyle w:val="FootnoteReference"/>
        </w:rPr>
        <w:footnoteRef/>
      </w:r>
      <w:r>
        <w:rPr>
          <w:i/>
          <w:iCs/>
        </w:rPr>
        <w:t xml:space="preserve">(</w:t>
      </w:r>
      <w:r>
        <w:rPr>
          <w:i/>
          <w:iCs/>
        </w:rPr>
        <w:t xml:space="preserve">2</w:t>
      </w:r>
      <w:r>
        <w:rPr>
          <w:i/>
          <w:iCs/>
        </w:rPr>
        <w:t xml:space="preserve">.</w:t>
      </w:r>
      <w:r>
        <w:rPr>
          <w:i/>
          <w:iCs/>
        </w:rPr>
        <w:t xml:space="preserve">)</w:t>
      </w:r>
      <w:r>
        <w:t xml:space="preserve">.</w:t>
      </w:r>
    </w:p>
  </w:footnote>
  <w:footnote w:id="2104">
    <w:p>
      <w:pPr>
        <w:pStyle w:val="FootnoteText"/>
      </w:pPr>
      <w:r>
        <w:rPr>
          <w:rStyle w:val="FootnoteReference"/>
        </w:rPr>
        <w:footnoteRef/>
      </w:r>
      <w:r>
        <w:rPr>
          <w:i/>
          <w:iCs/>
        </w:rPr>
        <w:t xml:space="preserve">11.18v</w:t>
      </w:r>
      <w:r>
        <w:t xml:space="preserve">.</w:t>
      </w:r>
    </w:p>
  </w:footnote>
  <w:footnote w:id="2105">
    <w:p>
      <w:pPr>
        <w:pStyle w:val="FootnoteText"/>
      </w:pPr>
      <w:r>
        <w:rPr>
          <w:rStyle w:val="FootnoteReference"/>
        </w:rPr>
        <w:footnoteRef/>
      </w:r>
      <w:r>
        <w:t xml:space="preserve">(</w:t>
      </w:r>
      <w:r>
        <w:rPr>
          <w:i/>
          <w:iCs/>
        </w:rPr>
        <w:t xml:space="preserve">3</w:t>
      </w:r>
      <w:r>
        <w:t xml:space="preserve">.</w:t>
      </w:r>
      <w:r>
        <w:rPr>
          <w:i/>
          <w:iCs/>
        </w:rPr>
        <w:t xml:space="preserve">)</w:t>
      </w:r>
      <w:r>
        <w:t xml:space="preserve">.</w:t>
      </w:r>
    </w:p>
  </w:footnote>
  <w:footnote w:id="2106">
    <w:p>
      <w:pPr>
        <w:pStyle w:val="FootnoteText"/>
      </w:pPr>
      <w:r>
        <w:rPr>
          <w:rStyle w:val="FootnoteReference"/>
        </w:rPr>
        <w:footnoteRef/>
      </w:r>
      <w:r>
        <w:rPr>
          <w:i/>
          <w:iCs/>
        </w:rPr>
        <w:t xml:space="preserve">11.19r</w:t>
      </w:r>
      <w:r>
        <w:t xml:space="preserve">.</w:t>
      </w:r>
    </w:p>
  </w:footnote>
  <w:footnote w:id="2107">
    <w:p>
      <w:pPr>
        <w:pStyle w:val="FootnoteText"/>
      </w:pPr>
      <w:r>
        <w:rPr>
          <w:rStyle w:val="FootnoteReference"/>
        </w:rPr>
        <w:footnoteRef/>
      </w:r>
      <w:r>
        <w:t xml:space="preserve">JE incorrectly identified the passage as Revelation 16:2. The text has been changed accordingly.</w:t>
      </w:r>
    </w:p>
  </w:footnote>
  <w:footnote w:id="2108">
    <w:p>
      <w:pPr>
        <w:pStyle w:val="FootnoteText"/>
      </w:pPr>
      <w:r>
        <w:rPr>
          <w:rStyle w:val="FootnoteReference"/>
        </w:rPr>
        <w:footnoteRef/>
      </w:r>
      <w:r>
        <w:rPr>
          <w:i/>
          <w:iCs/>
        </w:rPr>
        <w:t xml:space="preserve">(</w:t>
      </w:r>
      <w:r>
        <w:rPr>
          <w:i/>
          <w:iCs/>
        </w:rPr>
        <w:t xml:space="preserve">4</w:t>
      </w:r>
      <w:r>
        <w:rPr>
          <w:i/>
          <w:iCs/>
        </w:rPr>
        <w:t xml:space="preserve">.</w:t>
      </w:r>
      <w:r>
        <w:rPr>
          <w:i/>
          <w:iCs/>
        </w:rPr>
        <w:t xml:space="preserve">)</w:t>
      </w:r>
      <w:r>
        <w:t xml:space="preserve">.</w:t>
      </w:r>
    </w:p>
  </w:footnote>
  <w:footnote w:id="2109">
    <w:p>
      <w:pPr>
        <w:pStyle w:val="FootnoteText"/>
      </w:pPr>
      <w:r>
        <w:rPr>
          <w:rStyle w:val="FootnoteReference"/>
        </w:rPr>
        <w:footnoteRef/>
      </w:r>
      <w:r>
        <w:t xml:space="preserve">The text originally read "long continuing"; "being" is interlineated without any other change, so the form has been altered to "continued."</w:t>
      </w:r>
    </w:p>
  </w:footnote>
  <w:footnote w:id="2110">
    <w:p>
      <w:pPr>
        <w:pStyle w:val="FootnoteText"/>
      </w:pPr>
      <w:r>
        <w:rPr>
          <w:rStyle w:val="FootnoteReference"/>
        </w:rPr>
        <w:footnoteRef/>
      </w:r>
      <w:r>
        <w:rPr>
          <w:i/>
          <w:iCs/>
        </w:rPr>
        <w:t xml:space="preserve">11.19v</w:t>
      </w:r>
      <w:r>
        <w:t xml:space="preserve">.</w:t>
      </w:r>
    </w:p>
  </w:footnote>
  <w:footnote w:id="2111">
    <w:p>
      <w:pPr>
        <w:pStyle w:val="FootnoteText"/>
      </w:pPr>
      <w:r>
        <w:rPr>
          <w:rStyle w:val="FootnoteReference"/>
        </w:rPr>
        <w:footnoteRef/>
      </w:r>
      <w:r>
        <w:t xml:space="preserve">In revising his text, JE neglected to delete a word, probably "saving."</w:t>
      </w:r>
    </w:p>
  </w:footnote>
  <w:footnote w:id="2112">
    <w:p>
      <w:pPr>
        <w:pStyle w:val="FootnoteText"/>
      </w:pPr>
      <w:r>
        <w:rPr>
          <w:rStyle w:val="FootnoteReference"/>
        </w:rPr>
        <w:footnoteRef/>
      </w:r>
      <w:r>
        <w:t xml:space="preserve">JE has eliminated with a vertical line the following sentence: "They shall have the kingdom given 'em and 'tis said that they shall reign forever, Daniel 7:14."</w:t>
      </w:r>
    </w:p>
  </w:footnote>
  <w:footnote w:id="2113">
    <w:p>
      <w:pPr>
        <w:pStyle w:val="FootnoteText"/>
      </w:pPr>
      <w:r>
        <w:rPr>
          <w:rStyle w:val="FootnoteReference"/>
        </w:rPr>
        <w:footnoteRef/>
      </w:r>
      <w:r>
        <w:t xml:space="preserve">JE deletes the following passage with a single vertical line: "So in Isaiah 25:8. It is said that at this time 'God will wipe away tears from all faces,' and that 'sorrow and mourning shall flee away,' Isaiah 51:11."</w:t>
      </w:r>
    </w:p>
  </w:footnote>
  <w:footnote w:id="2114">
    <w:p>
      <w:pPr>
        <w:pStyle w:val="FootnoteText"/>
      </w:pPr>
      <w:r>
        <w:rPr>
          <w:rStyle w:val="FootnoteReference"/>
        </w:rPr>
        <w:footnoteRef/>
      </w:r>
      <w:r>
        <w:rPr>
          <w:i/>
          <w:iCs/>
        </w:rPr>
        <w:t xml:space="preserve">11.20r</w:t>
      </w:r>
      <w:r>
        <w:t xml:space="preserve">.</w:t>
      </w:r>
    </w:p>
  </w:footnote>
  <w:footnote w:id="2115">
    <w:p>
      <w:pPr>
        <w:pStyle w:val="FootnoteText"/>
      </w:pPr>
      <w:r>
        <w:rPr>
          <w:rStyle w:val="FootnoteReference"/>
        </w:rPr>
        <w:footnoteRef/>
      </w:r>
      <w:r>
        <w:t xml:space="preserve">JE gives no chapter or book citation.</w:t>
      </w:r>
    </w:p>
  </w:footnote>
  <w:footnote w:id="2116">
    <w:p>
      <w:pPr>
        <w:pStyle w:val="FootnoteText"/>
      </w:pPr>
      <w:r>
        <w:rPr>
          <w:rStyle w:val="FootnoteReference"/>
        </w:rPr>
        <w:footnoteRef/>
      </w:r>
      <w:r>
        <w:t xml:space="preserve">A loose paraphrase of Psalms 126:6.</w:t>
      </w:r>
    </w:p>
  </w:footnote>
  <w:footnote w:id="2117">
    <w:p>
      <w:pPr>
        <w:pStyle w:val="FootnoteText"/>
      </w:pPr>
      <w:r>
        <w:rPr>
          <w:rStyle w:val="FootnoteReference"/>
        </w:rPr>
        <w:footnoteRef/>
      </w:r>
      <w:r>
        <w:t xml:space="preserve">An allusion to Revelation 12:1–2, 5.</w:t>
      </w:r>
    </w:p>
  </w:footnote>
  <w:footnote w:id="2118">
    <w:p>
      <w:pPr>
        <w:pStyle w:val="FootnoteText"/>
      </w:pPr>
      <w:r>
        <w:rPr>
          <w:rStyle w:val="FootnoteReference"/>
        </w:rPr>
        <w:footnoteRef/>
      </w:r>
      <w:r>
        <w:rPr>
          <w:i/>
          <w:iCs/>
        </w:rPr>
        <w:t xml:space="preserve">11.20v</w:t>
      </w:r>
      <w:r>
        <w:t xml:space="preserve">. Leaf breaks at "Isaiah 26:".</w:t>
      </w:r>
    </w:p>
  </w:footnote>
  <w:footnote w:id="2119">
    <w:p>
      <w:pPr>
        <w:pStyle w:val="FootnoteText"/>
      </w:pPr>
      <w:r>
        <w:rPr>
          <w:rStyle w:val="FootnoteReference"/>
        </w:rPr>
        <w:footnoteRef/>
      </w:r>
      <w:r>
        <w:t xml:space="preserve">JE adds a note that reads: "See Isaiah 60:20 and Isaiah 61:1–3." It does not appear that he intended to quote from these passages.</w:t>
      </w:r>
    </w:p>
  </w:footnote>
  <w:footnote w:id="2120">
    <w:p>
      <w:pPr>
        <w:pStyle w:val="FootnoteText"/>
      </w:pPr>
      <w:r>
        <w:rPr>
          <w:rStyle w:val="FootnoteReference"/>
        </w:rPr>
        <w:footnoteRef/>
      </w:r>
      <w:r>
        <w:t xml:space="preserve">JE deleted with a single vertical line the following section: "And these praises shall fill both heaven and earth. The church and the church on earth shall rejoice and praise God on this occasion when.…"</w:t>
      </w:r>
    </w:p>
  </w:footnote>
  <w:footnote w:id="2121">
    <w:p>
      <w:pPr>
        <w:pStyle w:val="FootnoteText"/>
      </w:pPr>
      <w:r>
        <w:rPr>
          <w:rStyle w:val="FootnoteReference"/>
        </w:rPr>
        <w:footnoteRef/>
      </w:r>
      <w:r>
        <w:t xml:space="preserve">"ing" is conjectural.</w:t>
      </w:r>
    </w:p>
  </w:footnote>
  <w:footnote w:id="2122">
    <w:p>
      <w:pPr>
        <w:pStyle w:val="FootnoteText"/>
      </w:pPr>
      <w:r>
        <w:rPr>
          <w:rStyle w:val="FootnoteReference"/>
        </w:rPr>
        <w:footnoteRef/>
      </w:r>
      <w:r>
        <w:rPr>
          <w:i/>
          <w:iCs/>
        </w:rPr>
        <w:t xml:space="preserve">11.21r</w:t>
      </w:r>
      <w:r>
        <w:t xml:space="preserve">.</w:t>
      </w:r>
    </w:p>
  </w:footnote>
  <w:footnote w:id="2123">
    <w:p>
      <w:pPr>
        <w:pStyle w:val="FootnoteText"/>
      </w:pPr>
      <w:r>
        <w:rPr>
          <w:rStyle w:val="FootnoteReference"/>
        </w:rPr>
        <w:footnoteRef/>
      </w:r>
      <w:r>
        <w:t xml:space="preserve">Revelation 19:6–7.</w:t>
      </w:r>
    </w:p>
  </w:footnote>
  <w:footnote w:id="2124">
    <w:p>
      <w:pPr>
        <w:pStyle w:val="FootnoteText"/>
      </w:pPr>
      <w:r>
        <w:rPr>
          <w:rStyle w:val="FootnoteReference"/>
        </w:rPr>
        <w:footnoteRef/>
      </w:r>
      <w:r>
        <w:rPr>
          <w:i/>
          <w:iCs/>
        </w:rPr>
        <w:t xml:space="preserve">(5.)</w:t>
      </w:r>
      <w:r>
        <w:t xml:space="preserve">.</w:t>
      </w:r>
    </w:p>
  </w:footnote>
  <w:footnote w:id="2125">
    <w:p>
      <w:pPr>
        <w:pStyle w:val="FootnoteText"/>
      </w:pPr>
      <w:r>
        <w:rPr>
          <w:rStyle w:val="FootnoteReference"/>
        </w:rPr>
        <w:footnoteRef/>
      </w:r>
      <w:r>
        <w:rPr>
          <w:i/>
          <w:iCs/>
        </w:rPr>
        <w:t xml:space="preserve">11.21v</w:t>
      </w:r>
      <w:r>
        <w:t xml:space="preserve">.</w:t>
      </w:r>
    </w:p>
  </w:footnote>
  <w:footnote w:id="2126">
    <w:p>
      <w:pPr>
        <w:pStyle w:val="FootnoteText"/>
      </w:pPr>
      <w:r>
        <w:rPr>
          <w:rStyle w:val="FootnoteReference"/>
        </w:rPr>
        <w:footnoteRef/>
      </w:r>
      <w:r>
        <w:t xml:space="preserve">An allusion to Revelation 21:1–9.</w:t>
      </w:r>
    </w:p>
  </w:footnote>
  <w:footnote w:id="2127">
    <w:p>
      <w:pPr>
        <w:pStyle w:val="FootnoteText"/>
      </w:pPr>
      <w:r>
        <w:rPr>
          <w:rStyle w:val="FootnoteReference"/>
        </w:rPr>
        <w:footnoteRef/>
      </w:r>
      <w:r>
        <w:rPr>
          <w:i/>
          <w:iCs/>
        </w:rPr>
        <w:t xml:space="preserve">11.22r</w:t>
      </w:r>
      <w:r>
        <w:t xml:space="preserve">. At this point the remainder of </w:t>
      </w:r>
      <w:r>
        <w:rPr>
          <w:i/>
          <w:iCs/>
        </w:rPr>
        <w:t xml:space="preserve">11.21v</w:t>
      </w:r>
      <w:r>
        <w:t xml:space="preserve"> and most of </w:t>
      </w:r>
      <w:r>
        <w:rPr>
          <w:i/>
          <w:iCs/>
        </w:rPr>
        <w:t xml:space="preserve">11.22r</w:t>
      </w:r>
      <w:r>
        <w:t xml:space="preserve"> have been crossed out with single vertical strokes, presumably by JE. The deleted passages read as follows, brackets indicating leaf break and supplied words or phrases: And now let us once more take a view of that building of God's that had its foundation immediately after the fall of man and see to what a glorious height it is now erected. Now it appears, as it were, reaching far above the tops of the highest mountains, with its head towering to the very skies. You may remember that in order to show how the success of Christ's purchase is carried on from the time of Christ's resurrec- [leaf break] tion to the end of the world I observed that the success is of two kinds, viz. of grace and glory, and that the former, that success that consists in the bestowment of grace, is carried on while the Christian church continues under means of grace, which is from Christ's resurrection till he appears in the clouds of heaven coming to judgment. And to show how the success of Christ's redemption is carried on through this where it was proposed, 1. to show [how it was carried on] through its afflicted state from the resurrection of Christ till Antichrist should be slain and Satan's visible kingdom [destroyed]. And, 2. how it is carried on through the space wherein the church on earth should chiefly be in a state of peace and prosperity, reaching from hence till Christ appears in the clouds of heaven. [We] have gone through the former; I therefore come now.… Text resumes on </w:t>
      </w:r>
      <w:r>
        <w:rPr>
          <w:i/>
          <w:iCs/>
        </w:rPr>
        <w:t xml:space="preserve">11.22r</w:t>
      </w:r>
      <w:r>
        <w:t xml:space="preserve">.</w:t>
      </w:r>
    </w:p>
  </w:footnote>
  <w:footnote w:id="2128">
    <w:p>
      <w:pPr>
        <w:pStyle w:val="FootnoteText"/>
      </w:pPr>
      <w:r>
        <w:rPr>
          <w:rStyle w:val="FootnoteReference"/>
        </w:rPr>
        <w:footnoteRef/>
      </w:r>
      <w:r>
        <w:rPr>
          <w:i/>
          <w:iCs/>
        </w:rPr>
        <w:t xml:space="preserve">2</w:t>
      </w:r>
      <w:r>
        <w:t xml:space="preserve">.</w:t>
      </w:r>
    </w:p>
  </w:footnote>
  <w:footnote w:id="2129">
    <w:p>
      <w:pPr>
        <w:pStyle w:val="FootnoteText"/>
      </w:pPr>
      <w:r>
        <w:rPr>
          <w:rStyle w:val="FootnoteReference"/>
        </w:rPr>
        <w:footnoteRef/>
      </w:r>
      <w:r>
        <w:rPr>
          <w:i/>
          <w:iCs/>
        </w:rPr>
        <w:t xml:space="preserve">11.22v</w:t>
      </w:r>
      <w:r>
        <w:t xml:space="preserve">.</w:t>
      </w:r>
    </w:p>
  </w:footnote>
  <w:footnote w:id="2130">
    <w:p>
      <w:pPr>
        <w:pStyle w:val="FootnoteText"/>
      </w:pPr>
      <w:r>
        <w:rPr>
          <w:rStyle w:val="FootnoteReference"/>
        </w:rPr>
        <w:footnoteRef/>
      </w:r>
      <w:r>
        <w:rPr>
          <w:i/>
          <w:iCs/>
        </w:rPr>
        <w:t xml:space="preserve">a</w:t>
      </w:r>
      <w:r>
        <w:t xml:space="preserve">.</w:t>
      </w:r>
    </w:p>
  </w:footnote>
  <w:footnote w:id="2131">
    <w:p>
      <w:pPr>
        <w:pStyle w:val="FootnoteText"/>
      </w:pPr>
      <w:r>
        <w:rPr>
          <w:rStyle w:val="FootnoteReference"/>
        </w:rPr>
        <w:footnoteRef/>
      </w:r>
      <w:r>
        <w:rPr>
          <w:i/>
          <w:iCs/>
        </w:rPr>
        <w:t xml:space="preserve">(1.)</w:t>
      </w:r>
      <w:r>
        <w:t xml:space="preserve">.</w:t>
      </w:r>
    </w:p>
  </w:footnote>
  <w:footnote w:id="2132">
    <w:p>
      <w:pPr>
        <w:pStyle w:val="FootnoteText"/>
      </w:pPr>
      <w:r>
        <w:rPr>
          <w:rStyle w:val="FootnoteReference"/>
        </w:rPr>
        <w:footnoteRef/>
      </w:r>
      <w:r>
        <w:rPr>
          <w:i/>
          <w:iCs/>
        </w:rPr>
        <w:t xml:space="preserve">11.23v</w:t>
      </w:r>
      <w:r>
        <w:t xml:space="preserve">. JE directs himself to the verso of the next leaf, where he develops two points.</w:t>
      </w:r>
    </w:p>
  </w:footnote>
  <w:footnote w:id="2133">
    <w:p>
      <w:pPr>
        <w:pStyle w:val="FootnoteText"/>
      </w:pPr>
      <w:r>
        <w:rPr>
          <w:rStyle w:val="FootnoteReference"/>
        </w:rPr>
        <w:footnoteRef/>
      </w:r>
      <w:r>
        <w:rPr>
          <w:i/>
          <w:iCs/>
        </w:rPr>
        <w:t xml:space="preserve">(a.)</w:t>
      </w:r>
      <w:r>
        <w:t xml:space="preserve">.</w:t>
      </w:r>
    </w:p>
  </w:footnote>
  <w:footnote w:id="2134">
    <w:p>
      <w:pPr>
        <w:pStyle w:val="FootnoteText"/>
      </w:pPr>
      <w:r>
        <w:rPr>
          <w:rStyle w:val="FootnoteReference"/>
        </w:rPr>
        <w:footnoteRef/>
      </w:r>
      <w:r>
        <w:t xml:space="preserve">JE alludes here to Daniel 2:44; Daniel 7:13–14, Daniel 7:27, and he intended to supply the concluding phrase.</w:t>
      </w:r>
    </w:p>
  </w:footnote>
  <w:footnote w:id="2135">
    <w:p>
      <w:pPr>
        <w:pStyle w:val="FootnoteText"/>
      </w:pPr>
      <w:r>
        <w:rPr>
          <w:rStyle w:val="FootnoteReference"/>
        </w:rPr>
        <w:footnoteRef/>
      </w:r>
      <w:r>
        <w:rPr>
          <w:i/>
          <w:iCs/>
        </w:rPr>
        <w:t xml:space="preserve">(b.)</w:t>
      </w:r>
      <w:r>
        <w:t xml:space="preserve">.</w:t>
      </w:r>
    </w:p>
  </w:footnote>
  <w:footnote w:id="2136">
    <w:p>
      <w:pPr>
        <w:pStyle w:val="FootnoteText"/>
      </w:pPr>
      <w:r>
        <w:rPr>
          <w:rStyle w:val="FootnoteReference"/>
        </w:rPr>
        <w:footnoteRef/>
      </w:r>
      <w:r>
        <w:rPr>
          <w:i/>
          <w:iCs/>
        </w:rPr>
        <w:t xml:space="preserve">11.24r</w:t>
      </w:r>
      <w:r>
        <w:t xml:space="preserve">.</w:t>
      </w:r>
    </w:p>
  </w:footnote>
  <w:footnote w:id="2137">
    <w:p>
      <w:pPr>
        <w:pStyle w:val="FootnoteText"/>
      </w:pPr>
      <w:r>
        <w:rPr>
          <w:rStyle w:val="FootnoteReference"/>
        </w:rPr>
        <w:footnoteRef/>
      </w:r>
      <w:r>
        <w:rPr>
          <w:i/>
          <w:iCs/>
        </w:rPr>
        <w:t xml:space="preserve">11.22v</w:t>
      </w:r>
      <w:r>
        <w:t xml:space="preserve">. JE returns to the verso of leaf 22.</w:t>
      </w:r>
    </w:p>
  </w:footnote>
  <w:footnote w:id="2138">
    <w:p>
      <w:pPr>
        <w:pStyle w:val="FootnoteText"/>
      </w:pPr>
      <w:r>
        <w:rPr>
          <w:rStyle w:val="FootnoteReference"/>
        </w:rPr>
        <w:footnoteRef/>
      </w:r>
      <w:r>
        <w:rPr>
          <w:i/>
          <w:iCs/>
        </w:rPr>
        <w:t xml:space="preserve">1</w:t>
      </w:r>
      <w:r>
        <w:t xml:space="preserve">.</w:t>
      </w:r>
    </w:p>
  </w:footnote>
  <w:footnote w:id="2139">
    <w:p>
      <w:pPr>
        <w:pStyle w:val="FootnoteText"/>
      </w:pPr>
      <w:r>
        <w:rPr>
          <w:rStyle w:val="FootnoteReference"/>
        </w:rPr>
        <w:footnoteRef/>
      </w:r>
      <w:r>
        <w:t xml:space="preserve">E.g. Revelation 22:5.</w:t>
      </w:r>
    </w:p>
  </w:footnote>
  <w:footnote w:id="2140">
    <w:p>
      <w:pPr>
        <w:pStyle w:val="FootnoteText"/>
      </w:pPr>
      <w:r>
        <w:rPr>
          <w:rStyle w:val="FootnoteReference"/>
        </w:rPr>
        <w:footnoteRef/>
      </w:r>
      <w:r>
        <w:rPr>
          <w:i/>
          <w:iCs/>
        </w:rPr>
        <w:t xml:space="preserve">11.23r</w:t>
      </w:r>
      <w:r>
        <w:t xml:space="preserve">.</w:t>
      </w:r>
    </w:p>
  </w:footnote>
  <w:footnote w:id="2141">
    <w:p>
      <w:pPr>
        <w:pStyle w:val="FootnoteText"/>
      </w:pPr>
      <w:r>
        <w:rPr>
          <w:rStyle w:val="FootnoteReference"/>
        </w:rPr>
        <w:footnoteRef/>
      </w:r>
      <w:r>
        <w:rPr>
          <w:i/>
          <w:iCs/>
        </w:rPr>
        <w:t xml:space="preserve">11.23v</w:t>
      </w:r>
      <w:r>
        <w:t xml:space="preserve">.</w:t>
      </w:r>
    </w:p>
  </w:footnote>
  <w:footnote w:id="2142">
    <w:p>
      <w:pPr>
        <w:pStyle w:val="FootnoteText"/>
      </w:pPr>
      <w:r>
        <w:rPr>
          <w:rStyle w:val="FootnoteReference"/>
        </w:rPr>
        <w:footnoteRef/>
      </w:r>
      <w:r>
        <w:rPr>
          <w:i/>
          <w:iCs/>
        </w:rPr>
        <w:t xml:space="preserve">11.24r</w:t>
      </w:r>
      <w:r>
        <w:t xml:space="preserve">. JE moves again to the recto of leaf 24.</w:t>
      </w:r>
    </w:p>
  </w:footnote>
  <w:footnote w:id="2143">
    <w:p>
      <w:pPr>
        <w:pStyle w:val="FootnoteText"/>
      </w:pPr>
      <w:r>
        <w:rPr>
          <w:rStyle w:val="FootnoteReference"/>
        </w:rPr>
        <w:footnoteRef/>
      </w:r>
      <w:r>
        <w:t xml:space="preserve">JE paraphrases Isaiah 40:4.</w:t>
      </w:r>
    </w:p>
  </w:footnote>
  <w:footnote w:id="2144">
    <w:p>
      <w:pPr>
        <w:pStyle w:val="FootnoteText"/>
      </w:pPr>
      <w:r>
        <w:rPr>
          <w:rStyle w:val="FootnoteReference"/>
        </w:rPr>
        <w:footnoteRef/>
      </w:r>
      <w:r>
        <w:rPr>
          <w:i/>
          <w:iCs/>
        </w:rPr>
        <w:t xml:space="preserve">11.24v</w:t>
      </w:r>
      <w:r>
        <w:t xml:space="preserve">.</w:t>
      </w:r>
    </w:p>
  </w:footnote>
  <w:footnote w:id="2145">
    <w:p>
      <w:pPr>
        <w:pStyle w:val="FootnoteText"/>
      </w:pPr>
      <w:r>
        <w:rPr>
          <w:rStyle w:val="FootnoteReference"/>
        </w:rPr>
        <w:footnoteRef/>
      </w:r>
      <w:r>
        <w:t xml:space="preserve">At this point the word "until" and an illegible word have been omitted. JE failed to delete "until" when removing the reference, perhaps a date, after "until."</w:t>
      </w:r>
    </w:p>
  </w:footnote>
  <w:footnote w:id="2146">
    <w:p>
      <w:pPr>
        <w:pStyle w:val="FootnoteText"/>
      </w:pPr>
      <w:r>
        <w:rPr>
          <w:rStyle w:val="FootnoteReference"/>
        </w:rPr>
        <w:footnoteRef/>
      </w:r>
      <w:r>
        <w:t xml:space="preserve">Revelation 11:15.</w:t>
      </w:r>
    </w:p>
  </w:footnote>
  <w:footnote w:id="2147">
    <w:p>
      <w:pPr>
        <w:pStyle w:val="FootnoteText"/>
      </w:pPr>
      <w:r>
        <w:rPr>
          <w:rStyle w:val="FootnoteReference"/>
        </w:rPr>
        <w:footnoteRef/>
      </w:r>
      <w:r>
        <w:t xml:space="preserve">Revelation 11:19.</w:t>
      </w:r>
    </w:p>
  </w:footnote>
  <w:footnote w:id="2148">
    <w:p>
      <w:pPr>
        <w:pStyle w:val="FootnoteText"/>
      </w:pPr>
      <w:r>
        <w:rPr>
          <w:rStyle w:val="FootnoteReference"/>
        </w:rPr>
        <w:footnoteRef/>
      </w:r>
      <w:r>
        <w:rPr>
          <w:i/>
          <w:iCs/>
        </w:rPr>
        <w:t xml:space="preserve">2</w:t>
      </w:r>
      <w:r>
        <w:t xml:space="preserve">.</w:t>
      </w:r>
    </w:p>
  </w:footnote>
  <w:footnote w:id="2149">
    <w:p>
      <w:pPr>
        <w:pStyle w:val="FootnoteText"/>
      </w:pPr>
      <w:r>
        <w:rPr>
          <w:rStyle w:val="FootnoteReference"/>
        </w:rPr>
        <w:footnoteRef/>
      </w:r>
      <w:r>
        <w:rPr>
          <w:i/>
          <w:iCs/>
        </w:rPr>
        <w:t xml:space="preserve">11.25r</w:t>
      </w:r>
      <w:r>
        <w:t xml:space="preserve">.</w:t>
      </w:r>
    </w:p>
  </w:footnote>
  <w:footnote w:id="2150">
    <w:p>
      <w:pPr>
        <w:pStyle w:val="FootnoteText"/>
      </w:pPr>
      <w:r>
        <w:rPr>
          <w:rStyle w:val="FootnoteReference"/>
        </w:rPr>
        <w:footnoteRef/>
      </w:r>
      <w:r>
        <w:t xml:space="preserve">See e.g. Matthew 7:14; Luke 13:23–24.</w:t>
      </w:r>
    </w:p>
  </w:footnote>
  <w:footnote w:id="2151">
    <w:p>
      <w:pPr>
        <w:pStyle w:val="FootnoteText"/>
      </w:pPr>
      <w:r>
        <w:rPr>
          <w:rStyle w:val="FootnoteReference"/>
        </w:rPr>
        <w:footnoteRef/>
      </w:r>
      <w:r>
        <w:t xml:space="preserve">JE's text reads 31. It has been corrected accordingly.</w:t>
      </w:r>
    </w:p>
  </w:footnote>
  <w:footnote w:id="2152">
    <w:p>
      <w:pPr>
        <w:pStyle w:val="FootnoteText"/>
      </w:pPr>
      <w:r>
        <w:rPr>
          <w:rStyle w:val="FootnoteReference"/>
        </w:rPr>
        <w:footnoteRef/>
      </w:r>
      <w:r>
        <w:rPr>
          <w:i/>
          <w:iCs/>
        </w:rPr>
        <w:t xml:space="preserve">11.25v</w:t>
      </w:r>
      <w:r>
        <w:t xml:space="preserve">. JE indicates intent to quote from Zechariah 14:20–21.</w:t>
      </w:r>
    </w:p>
  </w:footnote>
  <w:footnote w:id="2153">
    <w:p>
      <w:pPr>
        <w:pStyle w:val="FootnoteText"/>
      </w:pPr>
      <w:r>
        <w:rPr>
          <w:rStyle w:val="FootnoteReference"/>
        </w:rPr>
        <w:footnoteRef/>
      </w:r>
      <w:r>
        <w:rPr>
          <w:i/>
          <w:iCs/>
        </w:rPr>
        <w:t xml:space="preserve">3</w:t>
      </w:r>
      <w:r>
        <w:t xml:space="preserve">.</w:t>
      </w:r>
    </w:p>
  </w:footnote>
  <w:footnote w:id="2154">
    <w:p>
      <w:pPr>
        <w:pStyle w:val="FootnoteText"/>
      </w:pPr>
      <w:r>
        <w:rPr>
          <w:rStyle w:val="FootnoteReference"/>
        </w:rPr>
        <w:footnoteRef/>
      </w:r>
      <w:r>
        <w:t xml:space="preserve">In this sentence and the next, words and phrases are added to complete JE's thought.</w:t>
      </w:r>
    </w:p>
  </w:footnote>
  <w:footnote w:id="2155">
    <w:p>
      <w:pPr>
        <w:pStyle w:val="FootnoteText"/>
      </w:pPr>
      <w:r>
        <w:rPr>
          <w:rStyle w:val="FootnoteReference"/>
        </w:rPr>
        <w:footnoteRef/>
      </w:r>
      <w:r>
        <w:rPr>
          <w:i/>
          <w:iCs/>
        </w:rPr>
        <w:t xml:space="preserve">11.26r</w:t>
      </w:r>
    </w:p>
  </w:footnote>
  <w:footnote w:id="2156">
    <w:p>
      <w:pPr>
        <w:pStyle w:val="FootnoteText"/>
      </w:pPr>
      <w:r>
        <w:rPr>
          <w:rStyle w:val="FootnoteReference"/>
        </w:rPr>
        <w:footnoteRef/>
      </w:r>
      <w:r>
        <w:rPr>
          <w:i/>
          <w:iCs/>
        </w:rPr>
        <w:t xml:space="preserve">4</w:t>
      </w:r>
      <w:r>
        <w:t xml:space="preserve">.</w:t>
      </w:r>
    </w:p>
  </w:footnote>
  <w:footnote w:id="2157">
    <w:p>
      <w:pPr>
        <w:pStyle w:val="FootnoteText"/>
      </w:pPr>
      <w:r>
        <w:rPr>
          <w:rStyle w:val="FootnoteReference"/>
        </w:rPr>
        <w:footnoteRef/>
      </w:r>
      <w:r>
        <w:rPr>
          <w:i/>
          <w:iCs/>
        </w:rPr>
        <w:t xml:space="preserve">11.26v</w:t>
      </w:r>
      <w:r>
        <w:t xml:space="preserve">.</w:t>
      </w:r>
    </w:p>
  </w:footnote>
  <w:footnote w:id="2158">
    <w:p>
      <w:pPr>
        <w:pStyle w:val="FootnoteText"/>
      </w:pPr>
      <w:r>
        <w:rPr>
          <w:rStyle w:val="FootnoteReference"/>
        </w:rPr>
        <w:footnoteRef/>
      </w:r>
      <w:r>
        <w:t xml:space="preserve">This verse is slightly paraphrased. JE interlineated a citation of Zechariah 9:10.</w:t>
      </w:r>
    </w:p>
  </w:footnote>
  <w:footnote w:id="2159">
    <w:p>
      <w:pPr>
        <w:pStyle w:val="FootnoteText"/>
      </w:pPr>
      <w:r>
        <w:rPr>
          <w:rStyle w:val="FootnoteReference"/>
        </w:rPr>
        <w:footnoteRef/>
      </w:r>
      <w:r>
        <w:t xml:space="preserve">A reference to Zechariah 8:10–11 is interlineated in another ink, possibly by JE.</w:t>
      </w:r>
    </w:p>
  </w:footnote>
  <w:footnote w:id="2160">
    <w:p>
      <w:pPr>
        <w:pStyle w:val="FootnoteText"/>
      </w:pPr>
      <w:r>
        <w:rPr>
          <w:rStyle w:val="FootnoteReference"/>
        </w:rPr>
        <w:footnoteRef/>
      </w:r>
      <w:r>
        <w:rPr>
          <w:i/>
          <w:iCs/>
        </w:rPr>
        <w:t xml:space="preserve">11.27r</w:t>
      </w:r>
      <w:r>
        <w:t xml:space="preserve">.</w:t>
      </w:r>
    </w:p>
  </w:footnote>
  <w:footnote w:id="2161">
    <w:p>
      <w:pPr>
        <w:pStyle w:val="FootnoteText"/>
      </w:pPr>
      <w:r>
        <w:rPr>
          <w:rStyle w:val="FootnoteReference"/>
        </w:rPr>
        <w:footnoteRef/>
      </w:r>
      <w:r>
        <w:t xml:space="preserve">An allusion to Galatians 5:22.</w:t>
      </w:r>
    </w:p>
  </w:footnote>
  <w:footnote w:id="2162">
    <w:p>
      <w:pPr>
        <w:pStyle w:val="FootnoteText"/>
      </w:pPr>
      <w:r>
        <w:rPr>
          <w:rStyle w:val="FootnoteReference"/>
        </w:rPr>
        <w:footnoteRef/>
      </w:r>
      <w:r>
        <w:t xml:space="preserve">The language here echoes Colossians 1:18.</w:t>
      </w:r>
    </w:p>
  </w:footnote>
  <w:footnote w:id="2163">
    <w:p>
      <w:pPr>
        <w:pStyle w:val="FootnoteText"/>
      </w:pPr>
      <w:r>
        <w:rPr>
          <w:rStyle w:val="FootnoteReference"/>
        </w:rPr>
        <w:footnoteRef/>
      </w:r>
      <w:r>
        <w:rPr>
          <w:i/>
          <w:iCs/>
        </w:rPr>
        <w:t xml:space="preserve">11.27v</w:t>
      </w:r>
      <w:r>
        <w:t xml:space="preserve">.</w:t>
      </w:r>
    </w:p>
  </w:footnote>
  <w:footnote w:id="2164">
    <w:p>
      <w:pPr>
        <w:pStyle w:val="FootnoteText"/>
      </w:pPr>
      <w:r>
        <w:rPr>
          <w:rStyle w:val="FootnoteReference"/>
        </w:rPr>
        <w:footnoteRef/>
      </w:r>
      <w:r>
        <w:rPr>
          <w:i/>
          <w:iCs/>
        </w:rPr>
        <w:t xml:space="preserve">5</w:t>
      </w:r>
      <w:r>
        <w:t xml:space="preserve">.</w:t>
      </w:r>
    </w:p>
  </w:footnote>
  <w:footnote w:id="2165">
    <w:p>
      <w:pPr>
        <w:pStyle w:val="FootnoteText"/>
      </w:pPr>
      <w:r>
        <w:rPr>
          <w:rStyle w:val="FootnoteReference"/>
        </w:rPr>
        <w:footnoteRef/>
      </w:r>
      <w:r>
        <w:t xml:space="preserve">This section is extremely rough. Editorial insertions are required.</w:t>
      </w:r>
    </w:p>
  </w:footnote>
  <w:footnote w:id="2166">
    <w:p>
      <w:pPr>
        <w:pStyle w:val="FootnoteText"/>
      </w:pPr>
      <w:r>
        <w:rPr>
          <w:rStyle w:val="FootnoteReference"/>
        </w:rPr>
        <w:footnoteRef/>
      </w:r>
      <w:r>
        <w:t xml:space="preserve">This passage reflects 1 Corinthians 12:12–27 and echoes the sermon series on 1 Corinthians 13 preached the preceding year. See </w:t>
      </w:r>
      <w:r>
        <w:rPr>
          <w:i/>
          <w:iCs/>
        </w:rPr>
        <w:t xml:space="preserve">Charity and Its Fruits</w:t>
      </w:r>
      <w:r>
        <w:t xml:space="preserve">, in </w:t>
      </w:r>
      <w:r>
        <w:rPr>
          <w:i/>
          <w:iCs/>
        </w:rPr>
        <w:t xml:space="preserve">Works</w:t>
      </w:r>
      <w:r>
        <w:t xml:space="preserve"> (Yale ed.), </w:t>
      </w:r>
      <w:r>
        <w:rPr>
          <w:i/>
          <w:iCs/>
        </w:rPr>
        <w:t xml:space="preserve">8</w:t>
      </w:r>
      <w:r>
        <w:t xml:space="preserve">.</w:t>
      </w:r>
    </w:p>
  </w:footnote>
  <w:footnote w:id="2167">
    <w:p>
      <w:pPr>
        <w:pStyle w:val="FootnoteText"/>
      </w:pPr>
      <w:r>
        <w:rPr>
          <w:rStyle w:val="FootnoteReference"/>
        </w:rPr>
        <w:footnoteRef/>
      </w:r>
      <w:r>
        <w:t xml:space="preserve">JE's text mistakenly cites Psalms 22:3. I have changed it.</w:t>
      </w:r>
    </w:p>
  </w:footnote>
  <w:footnote w:id="2168">
    <w:p>
      <w:pPr>
        <w:pStyle w:val="FootnoteText"/>
      </w:pPr>
      <w:r>
        <w:rPr>
          <w:rStyle w:val="FootnoteReference"/>
        </w:rPr>
        <w:footnoteRef/>
      </w:r>
      <w:r>
        <w:rPr>
          <w:i/>
          <w:iCs/>
        </w:rPr>
        <w:t xml:space="preserve">11.28r</w:t>
      </w:r>
      <w:r>
        <w:t xml:space="preserve">.</w:t>
      </w:r>
    </w:p>
  </w:footnote>
  <w:footnote w:id="2169">
    <w:p>
      <w:pPr>
        <w:pStyle w:val="FootnoteText"/>
      </w:pPr>
      <w:r>
        <w:rPr>
          <w:rStyle w:val="FootnoteReference"/>
        </w:rPr>
        <w:footnoteRef/>
      </w:r>
      <w:r>
        <w:rPr>
          <w:i/>
          <w:iCs/>
        </w:rPr>
        <w:t xml:space="preserve">6</w:t>
      </w:r>
      <w:r>
        <w:t xml:space="preserve">. Misnumbered as a second 5 by JE. This section is also sketchy. Brackets indicate necessary insertions.</w:t>
      </w:r>
    </w:p>
  </w:footnote>
  <w:footnote w:id="2170">
    <w:p>
      <w:pPr>
        <w:pStyle w:val="FootnoteText"/>
      </w:pPr>
      <w:r>
        <w:rPr>
          <w:rStyle w:val="FootnoteReference"/>
        </w:rPr>
        <w:footnoteRef/>
      </w:r>
      <w:r>
        <w:t xml:space="preserve">See Revelation 21:2.</w:t>
      </w:r>
    </w:p>
  </w:footnote>
  <w:footnote w:id="2171">
    <w:p>
      <w:pPr>
        <w:pStyle w:val="FootnoteText"/>
      </w:pPr>
      <w:r>
        <w:rPr>
          <w:rStyle w:val="FootnoteReference"/>
        </w:rPr>
        <w:footnoteRef/>
      </w:r>
      <w:r>
        <w:rPr>
          <w:i/>
          <w:iCs/>
        </w:rPr>
        <w:t xml:space="preserve">7</w:t>
      </w:r>
      <w:r>
        <w:t xml:space="preserve">. The draft continues to be sketchy and requires editorial insertions.</w:t>
      </w:r>
    </w:p>
  </w:footnote>
  <w:footnote w:id="2172">
    <w:p>
      <w:pPr>
        <w:pStyle w:val="FootnoteText"/>
      </w:pPr>
      <w:r>
        <w:rPr>
          <w:rStyle w:val="FootnoteReference"/>
        </w:rPr>
        <w:footnoteRef/>
      </w:r>
      <w:r>
        <w:t xml:space="preserve">JE added "long life, Zechariah 8:4" in the margin.</w:t>
      </w:r>
    </w:p>
  </w:footnote>
  <w:footnote w:id="2173">
    <w:p>
      <w:pPr>
        <w:pStyle w:val="FootnoteText"/>
      </w:pPr>
      <w:r>
        <w:rPr>
          <w:rStyle w:val="FootnoteReference"/>
        </w:rPr>
        <w:footnoteRef/>
      </w:r>
      <w:r>
        <w:rPr>
          <w:i/>
          <w:iCs/>
        </w:rPr>
        <w:t xml:space="preserve">11.28v</w:t>
      </w:r>
      <w:r>
        <w:t xml:space="preserve">.</w:t>
      </w:r>
    </w:p>
  </w:footnote>
  <w:footnote w:id="2174">
    <w:p>
      <w:pPr>
        <w:pStyle w:val="FootnoteText"/>
      </w:pPr>
      <w:r>
        <w:rPr>
          <w:rStyle w:val="FootnoteReference"/>
        </w:rPr>
        <w:footnoteRef/>
      </w:r>
      <w:r>
        <w:t xml:space="preserve">JE deletes a citation of Hosea 2:21–22.</w:t>
      </w:r>
    </w:p>
  </w:footnote>
  <w:footnote w:id="2175">
    <w:p>
      <w:pPr>
        <w:pStyle w:val="FootnoteText"/>
      </w:pPr>
      <w:r>
        <w:rPr>
          <w:rStyle w:val="FootnoteReference"/>
        </w:rPr>
        <w:footnoteRef/>
      </w:r>
      <w:r>
        <w:t xml:space="preserve">JE deletes a citation of Zechariah 14:14.</w:t>
      </w:r>
    </w:p>
  </w:footnote>
  <w:footnote w:id="2176">
    <w:p>
      <w:pPr>
        <w:pStyle w:val="FootnoteText"/>
      </w:pPr>
      <w:r>
        <w:rPr>
          <w:rStyle w:val="FootnoteReference"/>
        </w:rPr>
        <w:footnoteRef/>
      </w:r>
      <w:r>
        <w:t xml:space="preserve">JE paraphrases, but does not cite, Psalms 91:15.</w:t>
      </w:r>
    </w:p>
  </w:footnote>
  <w:footnote w:id="2177">
    <w:p>
      <w:pPr>
        <w:pStyle w:val="FootnoteText"/>
      </w:pPr>
      <w:r>
        <w:rPr>
          <w:rStyle w:val="FootnoteReference"/>
        </w:rPr>
        <w:footnoteRef/>
      </w:r>
      <w:r>
        <w:rPr>
          <w:i/>
          <w:iCs/>
        </w:rPr>
        <w:t xml:space="preserve">11.29r</w:t>
      </w:r>
      <w:r>
        <w:t xml:space="preserve">.</w:t>
      </w:r>
    </w:p>
  </w:footnote>
  <w:footnote w:id="2178">
    <w:p>
      <w:pPr>
        <w:pStyle w:val="FootnoteText"/>
      </w:pPr>
      <w:r>
        <w:rPr>
          <w:rStyle w:val="FootnoteReference"/>
        </w:rPr>
        <w:footnoteRef/>
      </w:r>
      <w:r>
        <w:rPr>
          <w:i/>
          <w:iCs/>
        </w:rPr>
        <w:t xml:space="preserve">8</w:t>
      </w:r>
      <w:r>
        <w:t xml:space="preserve">. This section, like the preceding, is only roughly sketched in by JE. Brackets indicate my editorial insertions.</w:t>
      </w:r>
    </w:p>
  </w:footnote>
  <w:footnote w:id="2179">
    <w:p>
      <w:pPr>
        <w:pStyle w:val="FootnoteText"/>
      </w:pPr>
      <w:r>
        <w:rPr>
          <w:rStyle w:val="FootnoteReference"/>
        </w:rPr>
        <w:footnoteRef/>
      </w:r>
      <w:r>
        <w:t xml:space="preserve">JE paraphrases Revelation 19:9.</w:t>
      </w:r>
    </w:p>
  </w:footnote>
  <w:footnote w:id="2180">
    <w:p>
      <w:pPr>
        <w:pStyle w:val="FootnoteText"/>
      </w:pPr>
      <w:r>
        <w:rPr>
          <w:rStyle w:val="FootnoteReference"/>
        </w:rPr>
        <w:footnoteRef/>
      </w:r>
      <w:r>
        <w:rPr>
          <w:i/>
          <w:iCs/>
        </w:rPr>
        <w:t xml:space="preserve">(2.)</w:t>
      </w:r>
      <w:r>
        <w:t xml:space="preserve">. This section is even less finished than the last few. Editorial insertions are needed to make the text coherent.</w:t>
      </w:r>
    </w:p>
  </w:footnote>
  <w:footnote w:id="2181">
    <w:p>
      <w:pPr>
        <w:pStyle w:val="FootnoteText"/>
      </w:pPr>
      <w:r>
        <w:rPr>
          <w:rStyle w:val="FootnoteReference"/>
        </w:rPr>
        <w:footnoteRef/>
      </w:r>
      <w:r>
        <w:t xml:space="preserve">JE's text reads Isaiah 60:5. I have changed it accordingly.</w:t>
      </w:r>
    </w:p>
  </w:footnote>
  <w:footnote w:id="2182">
    <w:p>
      <w:pPr>
        <w:pStyle w:val="FootnoteText"/>
      </w:pPr>
      <w:r>
        <w:rPr>
          <w:rStyle w:val="FootnoteReference"/>
        </w:rPr>
        <w:footnoteRef/>
      </w:r>
      <w:r>
        <w:rPr>
          <w:i/>
          <w:iCs/>
        </w:rPr>
        <w:t xml:space="preserve">11.30v</w:t>
      </w:r>
      <w:r>
        <w:t xml:space="preserve">. The last two leaves of this booklet are made of a single double leaf that JE apparently appropriated from some other use. Of its four sides, </w:t>
      </w:r>
      <w:r>
        <w:rPr>
          <w:i/>
          <w:iCs/>
        </w:rPr>
        <w:t xml:space="preserve">11.29r</w:t>
      </w:r>
      <w:r>
        <w:t xml:space="preserve"> is entirely given over to the text above, beginning with JE's eighth point; the verso of this leaf and the recto of the next, </w:t>
      </w:r>
      <w:r>
        <w:rPr>
          <w:i/>
          <w:iCs/>
        </w:rPr>
        <w:t xml:space="preserve">11.30r</w:t>
      </w:r>
      <w:r>
        <w:t xml:space="preserve">, relate to an unidentified project which appears to have no connection with the Redemption sermons. The text of Sermon 27 resumes and concludes on </w:t>
      </w:r>
      <w:r>
        <w:rPr>
          <w:i/>
          <w:iCs/>
        </w:rPr>
        <w:t xml:space="preserve">11.30v</w:t>
      </w:r>
      <w:r>
        <w:t xml:space="preserve">.</w:t>
      </w:r>
    </w:p>
  </w:footnote>
  <w:footnote w:id="2183">
    <w:p>
      <w:pPr>
        <w:pStyle w:val="FootnoteText"/>
      </w:pPr>
      <w:r>
        <w:rPr>
          <w:rStyle w:val="FootnoteReference"/>
        </w:rPr>
        <w:footnoteRef/>
      </w:r>
      <w:r>
        <w:t xml:space="preserve">This sentence closely parallels the first sentence of the passage JE deleted, which begins on </w:t>
      </w:r>
      <w:r>
        <w:rPr>
          <w:i/>
          <w:iCs/>
        </w:rPr>
        <w:t xml:space="preserve">11.21v</w:t>
      </w:r>
      <w:r>
        <w:t xml:space="preserve"> and concludes on </w:t>
      </w:r>
      <w:r>
        <w:rPr>
          <w:i/>
          <w:iCs/>
        </w:rPr>
        <w:t xml:space="preserve">11.22r</w:t>
      </w:r>
      <w:r>
        <w:t xml:space="preserve">. See n. 2 to p. 478, above.</w:t>
      </w:r>
    </w:p>
  </w:footnote>
  <w:footnote w:id="2184">
    <w:p>
      <w:pPr>
        <w:pStyle w:val="FootnoteText"/>
      </w:pPr>
      <w:r>
        <w:rPr>
          <w:rStyle w:val="FootnoteReference"/>
        </w:rPr>
        <w:footnoteRef/>
      </w:r>
      <w:r>
        <w:rPr>
          <w:i/>
          <w:iCs/>
        </w:rPr>
        <w:t xml:space="preserve">12.1r</w:t>
      </w:r>
      <w:r>
        <w:t xml:space="preserve">.</w:t>
      </w:r>
    </w:p>
  </w:footnote>
  <w:footnote w:id="2185">
    <w:p>
      <w:pPr>
        <w:pStyle w:val="FootnoteText"/>
      </w:pPr>
      <w:r>
        <w:rPr>
          <w:rStyle w:val="FootnoteReference"/>
        </w:rPr>
        <w:footnoteRef/>
      </w:r>
      <w:r>
        <w:t xml:space="preserve">Inscribed by JE, presumably when he composed the sermon.</w:t>
      </w:r>
    </w:p>
  </w:footnote>
  <w:footnote w:id="2186">
    <w:p>
      <w:pPr>
        <w:pStyle w:val="FootnoteText"/>
      </w:pPr>
      <w:r>
        <w:rPr>
          <w:rStyle w:val="FootnoteReference"/>
        </w:rPr>
        <w:footnoteRef/>
      </w:r>
      <w:r>
        <w:rPr>
          <w:i/>
          <w:iCs/>
        </w:rPr>
        <w:t xml:space="preserve">b</w:t>
      </w:r>
      <w:r>
        <w:t xml:space="preserve">.</w:t>
      </w:r>
    </w:p>
  </w:footnote>
  <w:footnote w:id="2187">
    <w:p>
      <w:pPr>
        <w:pStyle w:val="FootnoteText"/>
      </w:pPr>
      <w:r>
        <w:rPr>
          <w:rStyle w:val="FootnoteReference"/>
        </w:rPr>
        <w:footnoteRef/>
      </w:r>
      <w:r>
        <w:rPr>
          <w:i/>
          <w:iCs/>
        </w:rPr>
        <w:t xml:space="preserve">(1.)</w:t>
      </w:r>
      <w:r>
        <w:t xml:space="preserve">.</w:t>
      </w:r>
    </w:p>
  </w:footnote>
  <w:footnote w:id="2188">
    <w:p>
      <w:pPr>
        <w:pStyle w:val="FootnoteText"/>
      </w:pPr>
      <w:r>
        <w:rPr>
          <w:rStyle w:val="FootnoteReference"/>
        </w:rPr>
        <w:footnoteRef/>
      </w:r>
      <w:r>
        <w:rPr>
          <w:i/>
          <w:iCs/>
        </w:rPr>
        <w:t xml:space="preserve">12.1v</w:t>
      </w:r>
      <w:r>
        <w:t xml:space="preserve">.</w:t>
      </w:r>
    </w:p>
  </w:footnote>
  <w:footnote w:id="2189">
    <w:p>
      <w:pPr>
        <w:pStyle w:val="FootnoteText"/>
      </w:pPr>
      <w:r>
        <w:rPr>
          <w:rStyle w:val="FootnoteReference"/>
        </w:rPr>
        <w:footnoteRef/>
      </w:r>
      <w:r>
        <w:t xml:space="preserve">JE slightly paraphrases Revelation 20:3.</w:t>
      </w:r>
    </w:p>
  </w:footnote>
  <w:footnote w:id="2190">
    <w:p>
      <w:pPr>
        <w:pStyle w:val="FootnoteText"/>
      </w:pPr>
      <w:r>
        <w:rPr>
          <w:rStyle w:val="FootnoteReference"/>
        </w:rPr>
        <w:footnoteRef/>
      </w:r>
      <w:r>
        <w:t xml:space="preserve">JE changes the AV's "shall" to "should."</w:t>
      </w:r>
    </w:p>
  </w:footnote>
  <w:footnote w:id="2191">
    <w:p>
      <w:pPr>
        <w:pStyle w:val="FootnoteText"/>
      </w:pPr>
      <w:r>
        <w:rPr>
          <w:rStyle w:val="FootnoteReference"/>
        </w:rPr>
        <w:footnoteRef/>
      </w:r>
      <w:r>
        <w:t xml:space="preserve">See Ezekiel 38:14–39:11 and Revelation 20:8–9.</w:t>
      </w:r>
    </w:p>
  </w:footnote>
  <w:footnote w:id="2192">
    <w:p>
      <w:pPr>
        <w:pStyle w:val="FootnoteText"/>
      </w:pPr>
      <w:r>
        <w:rPr>
          <w:rStyle w:val="FootnoteReference"/>
        </w:rPr>
        <w:footnoteRef/>
      </w:r>
      <w:r>
        <w:rPr>
          <w:i/>
          <w:iCs/>
        </w:rPr>
        <w:t xml:space="preserve">12.2r</w:t>
      </w:r>
      <w:r>
        <w:t xml:space="preserve">. Leaf breaks at "be."</w:t>
      </w:r>
    </w:p>
  </w:footnote>
  <w:footnote w:id="2193">
    <w:p>
      <w:pPr>
        <w:pStyle w:val="FootnoteText"/>
      </w:pPr>
      <w:r>
        <w:rPr>
          <w:rStyle w:val="FootnoteReference"/>
        </w:rPr>
        <w:footnoteRef/>
      </w:r>
      <w:r>
        <w:t xml:space="preserve">Revelation 9:2.</w:t>
      </w:r>
    </w:p>
  </w:footnote>
  <w:footnote w:id="2194">
    <w:p>
      <w:pPr>
        <w:pStyle w:val="FootnoteText"/>
      </w:pPr>
      <w:r>
        <w:rPr>
          <w:rStyle w:val="FootnoteReference"/>
        </w:rPr>
        <w:footnoteRef/>
      </w:r>
      <w:r>
        <w:t xml:space="preserve">JE has transposed the order of the sections remaining on this side (</w:t>
      </w:r>
      <w:r>
        <w:rPr>
          <w:i/>
          <w:iCs/>
        </w:rPr>
        <w:t xml:space="preserve">12.2r</w:t>
      </w:r>
      <w:r>
        <w:t xml:space="preserve">).</w:t>
      </w:r>
    </w:p>
  </w:footnote>
  <w:footnote w:id="2195">
    <w:p>
      <w:pPr>
        <w:pStyle w:val="FootnoteText"/>
      </w:pPr>
      <w:r>
        <w:rPr>
          <w:rStyle w:val="FootnoteReference"/>
        </w:rPr>
        <w:footnoteRef/>
      </w:r>
      <w:r>
        <w:t xml:space="preserve">JE deleted the following passage with a vertical line and a large X: "for as was observed before great temporal prosperity shall attend that glorious state [of the church]."</w:t>
      </w:r>
    </w:p>
  </w:footnote>
  <w:footnote w:id="2196">
    <w:p>
      <w:pPr>
        <w:pStyle w:val="FootnoteText"/>
      </w:pPr>
      <w:r>
        <w:rPr>
          <w:rStyle w:val="FootnoteReference"/>
        </w:rPr>
        <w:footnoteRef/>
      </w:r>
      <w:r>
        <w:t xml:space="preserve">Luke 17:26–30. JE returns to the section he had skipped over on this side. The paragraph has required deletions because of JE's incomplete revision.</w:t>
      </w:r>
    </w:p>
  </w:footnote>
  <w:footnote w:id="2197">
    <w:p>
      <w:pPr>
        <w:pStyle w:val="FootnoteText"/>
      </w:pPr>
      <w:r>
        <w:rPr>
          <w:rStyle w:val="FootnoteReference"/>
        </w:rPr>
        <w:footnoteRef/>
      </w:r>
      <w:r>
        <w:rPr>
          <w:i/>
          <w:iCs/>
        </w:rPr>
        <w:t xml:space="preserve">12.2v</w:t>
      </w:r>
      <w:r>
        <w:t xml:space="preserve">.</w:t>
      </w:r>
    </w:p>
  </w:footnote>
  <w:footnote w:id="2198">
    <w:p>
      <w:pPr>
        <w:pStyle w:val="FootnoteText"/>
      </w:pPr>
      <w:r>
        <w:rPr>
          <w:rStyle w:val="FootnoteReference"/>
        </w:rPr>
        <w:footnoteRef/>
      </w:r>
      <w:r>
        <w:rPr>
          <w:i/>
          <w:iCs/>
        </w:rPr>
        <w:t xml:space="preserve">(2.)</w:t>
      </w:r>
      <w:r>
        <w:t xml:space="preserve">.</w:t>
      </w:r>
    </w:p>
  </w:footnote>
  <w:footnote w:id="2199">
    <w:p>
      <w:pPr>
        <w:pStyle w:val="FootnoteText"/>
      </w:pPr>
      <w:r>
        <w:rPr>
          <w:rStyle w:val="FootnoteReference"/>
        </w:rPr>
        <w:footnoteRef/>
      </w:r>
      <w:r>
        <w:t xml:space="preserve">Revelation 20:9.</w:t>
      </w:r>
    </w:p>
  </w:footnote>
  <w:footnote w:id="2200">
    <w:p>
      <w:pPr>
        <w:pStyle w:val="FootnoteText"/>
      </w:pPr>
      <w:r>
        <w:rPr>
          <w:rStyle w:val="FootnoteReference"/>
        </w:rPr>
        <w:footnoteRef/>
      </w:r>
      <w:r>
        <w:t xml:space="preserve">Revelation 13:7.</w:t>
      </w:r>
    </w:p>
  </w:footnote>
  <w:footnote w:id="2201">
    <w:p>
      <w:pPr>
        <w:pStyle w:val="FootnoteText"/>
      </w:pPr>
      <w:r>
        <w:rPr>
          <w:rStyle w:val="FootnoteReference"/>
        </w:rPr>
        <w:footnoteRef/>
      </w:r>
      <w:r>
        <w:t xml:space="preserve">A slight paraphrase of Isaiah 60:20.</w:t>
      </w:r>
    </w:p>
  </w:footnote>
  <w:footnote w:id="2202">
    <w:p>
      <w:pPr>
        <w:pStyle w:val="FootnoteText"/>
      </w:pPr>
      <w:r>
        <w:rPr>
          <w:rStyle w:val="FootnoteReference"/>
        </w:rPr>
        <w:footnoteRef/>
      </w:r>
      <w:r>
        <w:rPr>
          <w:i/>
          <w:iCs/>
        </w:rPr>
        <w:t xml:space="preserve">12.3r</w:t>
      </w:r>
      <w:r>
        <w:t xml:space="preserve">.</w:t>
      </w:r>
    </w:p>
  </w:footnote>
  <w:footnote w:id="2203">
    <w:p>
      <w:pPr>
        <w:pStyle w:val="FootnoteText"/>
      </w:pPr>
      <w:r>
        <w:rPr>
          <w:rStyle w:val="FootnoteReference"/>
        </w:rPr>
        <w:footnoteRef/>
      </w:r>
      <w:r>
        <w:rPr>
          <w:i/>
          <w:iCs/>
        </w:rPr>
        <w:t xml:space="preserve">(3.)</w:t>
      </w:r>
      <w:r>
        <w:t xml:space="preserve">.</w:t>
      </w:r>
    </w:p>
  </w:footnote>
  <w:footnote w:id="2204">
    <w:p>
      <w:pPr>
        <w:pStyle w:val="FootnoteText"/>
      </w:pPr>
      <w:r>
        <w:rPr>
          <w:rStyle w:val="FootnoteReference"/>
        </w:rPr>
        <w:footnoteRef/>
      </w:r>
      <w:r>
        <w:rPr>
          <w:i/>
          <w:iCs/>
        </w:rPr>
        <w:t xml:space="preserve">12.3v</w:t>
      </w:r>
      <w:r>
        <w:t xml:space="preserve">.</w:t>
      </w:r>
    </w:p>
  </w:footnote>
  <w:footnote w:id="2205">
    <w:p>
      <w:pPr>
        <w:pStyle w:val="FootnoteText"/>
      </w:pPr>
      <w:r>
        <w:rPr>
          <w:rStyle w:val="FootnoteReference"/>
        </w:rPr>
        <w:footnoteRef/>
      </w:r>
      <w:r>
        <w:t xml:space="preserve">The theme of the apostatizing of the devils is striking, and the imagery JE uses here suggests Isaiah 14:12–15.</w:t>
      </w:r>
    </w:p>
  </w:footnote>
  <w:footnote w:id="2206">
    <w:p>
      <w:pPr>
        <w:pStyle w:val="FootnoteText"/>
      </w:pPr>
      <w:r>
        <w:rPr>
          <w:rStyle w:val="FootnoteReference"/>
        </w:rPr>
        <w:footnoteRef/>
      </w:r>
      <w:r>
        <w:t xml:space="preserve">An allusion to Revelation 20:9.</w:t>
      </w:r>
    </w:p>
  </w:footnote>
  <w:footnote w:id="2207">
    <w:p>
      <w:pPr>
        <w:pStyle w:val="FootnoteText"/>
      </w:pPr>
      <w:r>
        <w:rPr>
          <w:rStyle w:val="FootnoteReference"/>
        </w:rPr>
        <w:footnoteRef/>
      </w:r>
      <w:r>
        <w:rPr>
          <w:i/>
          <w:iCs/>
        </w:rPr>
        <w:t xml:space="preserve">12.4r</w:t>
      </w:r>
      <w:r>
        <w:t xml:space="preserve">.</w:t>
      </w:r>
    </w:p>
  </w:footnote>
  <w:footnote w:id="2208">
    <w:p>
      <w:pPr>
        <w:pStyle w:val="FootnoteText"/>
      </w:pPr>
      <w:r>
        <w:rPr>
          <w:rStyle w:val="FootnoteReference"/>
        </w:rPr>
        <w:footnoteRef/>
      </w:r>
      <w:r>
        <w:t xml:space="preserve">Echoes Matthew 7:6.</w:t>
      </w:r>
    </w:p>
  </w:footnote>
  <w:footnote w:id="2209">
    <w:p>
      <w:pPr>
        <w:pStyle w:val="FootnoteText"/>
      </w:pPr>
      <w:r>
        <w:rPr>
          <w:rStyle w:val="FootnoteReference"/>
        </w:rPr>
        <w:footnoteRef/>
      </w:r>
      <w:r>
        <w:t xml:space="preserve">Echoes Romans 1:24–32. A "to" is deleted from JE's text in this sentence.</w:t>
      </w:r>
    </w:p>
  </w:footnote>
  <w:footnote w:id="2210">
    <w:p>
      <w:pPr>
        <w:pStyle w:val="FootnoteText"/>
      </w:pPr>
      <w:r>
        <w:rPr>
          <w:rStyle w:val="FootnoteReference"/>
        </w:rPr>
        <w:footnoteRef/>
      </w:r>
      <w:r>
        <w:t xml:space="preserve">Genesis 19:14.</w:t>
      </w:r>
    </w:p>
  </w:footnote>
  <w:footnote w:id="2211">
    <w:p>
      <w:pPr>
        <w:pStyle w:val="FootnoteText"/>
      </w:pPr>
      <w:r>
        <w:rPr>
          <w:rStyle w:val="FootnoteReference"/>
        </w:rPr>
        <w:footnoteRef/>
      </w:r>
      <w:r>
        <w:t xml:space="preserve">A conflation of images from Revelation 6:10 and Revelation 20:9.</w:t>
      </w:r>
    </w:p>
  </w:footnote>
  <w:footnote w:id="2212">
    <w:p>
      <w:pPr>
        <w:pStyle w:val="FootnoteText"/>
      </w:pPr>
      <w:r>
        <w:rPr>
          <w:rStyle w:val="FootnoteReference"/>
        </w:rPr>
        <w:footnoteRef/>
      </w:r>
      <w:r>
        <w:rPr>
          <w:i/>
          <w:iCs/>
        </w:rPr>
        <w:t xml:space="preserve">12.4v</w:t>
      </w:r>
      <w:r>
        <w:t xml:space="preserve">.</w:t>
      </w:r>
    </w:p>
  </w:footnote>
  <w:footnote w:id="2213">
    <w:p>
      <w:pPr>
        <w:pStyle w:val="FootnoteText"/>
      </w:pPr>
      <w:r>
        <w:rPr>
          <w:rStyle w:val="FootnoteReference"/>
        </w:rPr>
        <w:footnoteRef/>
      </w:r>
      <w:r>
        <w:t xml:space="preserve">As in the judgments of Revelation 6–9.</w:t>
      </w:r>
    </w:p>
  </w:footnote>
  <w:footnote w:id="2214">
    <w:p>
      <w:pPr>
        <w:pStyle w:val="FootnoteText"/>
      </w:pPr>
      <w:r>
        <w:rPr>
          <w:rStyle w:val="FootnoteReference"/>
        </w:rPr>
        <w:footnoteRef/>
      </w:r>
      <w:r>
        <w:t xml:space="preserve">JE has a note: "See Miscell. No. 803." The note's ink may be slightly different from that of the main text, but there is no indication it was added much later than the period in which the Redemption sermons were written. Miscellany no. 803 is titled "Progress of Redemption. Christ's Coming to Judgment." It carries the instruction: "Join this to what is said concerning the state of things requiring Christ's coming to judgment at the time that he will come in discourse from Isaiah 51:8; Sermon 28, the 3rd particular concerning the last apostasy." This reference is repeated at the end. The theme of the entry is the human abuse of divine gifts that provokes the extreme divine vengeance as the world undergoes destruction at the last judgment.</w:t>
      </w:r>
    </w:p>
  </w:footnote>
  <w:footnote w:id="2215">
    <w:p>
      <w:pPr>
        <w:pStyle w:val="FootnoteText"/>
      </w:pPr>
      <w:r>
        <w:rPr>
          <w:rStyle w:val="FootnoteReference"/>
        </w:rPr>
        <w:footnoteRef/>
      </w:r>
      <w:r>
        <w:rPr>
          <w:i/>
          <w:iCs/>
        </w:rPr>
        <w:t xml:space="preserve">12.5r</w:t>
      </w:r>
      <w:r>
        <w:t xml:space="preserve">.</w:t>
      </w:r>
    </w:p>
  </w:footnote>
  <w:footnote w:id="2216">
    <w:p>
      <w:pPr>
        <w:pStyle w:val="FootnoteText"/>
      </w:pPr>
      <w:r>
        <w:rPr>
          <w:rStyle w:val="FootnoteReference"/>
        </w:rPr>
        <w:footnoteRef/>
      </w:r>
      <w:r>
        <w:t xml:space="preserve">At this point the phrase "in his immediate presence coming" is deleted in a different ink. Probably this was done after the composition of the main text.</w:t>
      </w:r>
    </w:p>
  </w:footnote>
  <w:footnote w:id="2217">
    <w:p>
      <w:pPr>
        <w:pStyle w:val="FootnoteText"/>
      </w:pPr>
      <w:r>
        <w:rPr>
          <w:rStyle w:val="FootnoteReference"/>
        </w:rPr>
        <w:footnoteRef/>
      </w:r>
      <w:r>
        <w:t xml:space="preserve">A paraphrase of Matthew 16:27 and Mark 8:38.</w:t>
      </w:r>
    </w:p>
  </w:footnote>
  <w:footnote w:id="2218">
    <w:p>
      <w:pPr>
        <w:pStyle w:val="FootnoteText"/>
      </w:pPr>
      <w:r>
        <w:rPr>
          <w:rStyle w:val="FootnoteReference"/>
        </w:rPr>
        <w:footnoteRef/>
      </w:r>
      <w:r>
        <w:t xml:space="preserve">This clause contains allusions to Revelation 20:12, Revelation 20:15; and Ephesians 1:4.</w:t>
      </w:r>
    </w:p>
  </w:footnote>
  <w:footnote w:id="2219">
    <w:p>
      <w:pPr>
        <w:pStyle w:val="FootnoteText"/>
      </w:pPr>
      <w:r>
        <w:rPr>
          <w:rStyle w:val="FootnoteReference"/>
        </w:rPr>
        <w:footnoteRef/>
      </w:r>
      <w:r>
        <w:t xml:space="preserve">This clause (following the semicolon) is interlineated in a different ink, suggesting that it is a later addition by JE. In the next sentence, "end" is a conjectural reading.</w:t>
      </w:r>
    </w:p>
  </w:footnote>
  <w:footnote w:id="2220">
    <w:p>
      <w:pPr>
        <w:pStyle w:val="FootnoteText"/>
      </w:pPr>
      <w:r>
        <w:rPr>
          <w:rStyle w:val="FootnoteReference"/>
        </w:rPr>
        <w:footnoteRef/>
      </w:r>
      <w:r>
        <w:rPr>
          <w:i/>
          <w:iCs/>
        </w:rPr>
        <w:t xml:space="preserve">12.5v</w:t>
      </w:r>
      <w:r>
        <w:t xml:space="preserve">.</w:t>
      </w:r>
    </w:p>
  </w:footnote>
  <w:footnote w:id="2221">
    <w:p>
      <w:pPr>
        <w:pStyle w:val="FootnoteText"/>
      </w:pPr>
      <w:r>
        <w:rPr>
          <w:rStyle w:val="FootnoteReference"/>
        </w:rPr>
        <w:footnoteRef/>
      </w:r>
      <w:r>
        <w:rPr>
          <w:i/>
          <w:iCs/>
        </w:rPr>
        <w:t xml:space="preserve">12.6r</w:t>
      </w:r>
      <w:r>
        <w:t xml:space="preserve">.</w:t>
      </w:r>
    </w:p>
  </w:footnote>
  <w:footnote w:id="2222">
    <w:p>
      <w:pPr>
        <w:pStyle w:val="FootnoteText"/>
      </w:pPr>
      <w:r>
        <w:rPr>
          <w:rStyle w:val="FootnoteReference"/>
        </w:rPr>
        <w:footnoteRef/>
      </w:r>
      <w:r>
        <w:rPr>
          <w:i/>
          <w:iCs/>
        </w:rPr>
        <w:t xml:space="preserve">(2.)</w:t>
      </w:r>
      <w:r>
        <w:t xml:space="preserve">.</w:t>
      </w:r>
    </w:p>
  </w:footnote>
  <w:footnote w:id="2223">
    <w:p>
      <w:pPr>
        <w:pStyle w:val="FootnoteText"/>
      </w:pPr>
      <w:r>
        <w:rPr>
          <w:rStyle w:val="FootnoteReference"/>
        </w:rPr>
        <w:footnoteRef/>
      </w:r>
      <w:r>
        <w:rPr>
          <w:i/>
          <w:iCs/>
        </w:rPr>
        <w:t xml:space="preserve">(a.)</w:t>
      </w:r>
      <w:r>
        <w:t xml:space="preserve">.</w:t>
      </w:r>
    </w:p>
  </w:footnote>
  <w:footnote w:id="2224">
    <w:p>
      <w:pPr>
        <w:pStyle w:val="FootnoteText"/>
      </w:pPr>
      <w:r>
        <w:rPr>
          <w:rStyle w:val="FootnoteReference"/>
        </w:rPr>
        <w:footnoteRef/>
      </w:r>
      <w:r>
        <w:rPr>
          <w:i/>
          <w:iCs/>
        </w:rPr>
        <w:t xml:space="preserve">1</w:t>
      </w:r>
      <w:r>
        <w:t xml:space="preserve">.</w:t>
      </w:r>
    </w:p>
  </w:footnote>
  <w:footnote w:id="2225">
    <w:p>
      <w:pPr>
        <w:pStyle w:val="FootnoteText"/>
      </w:pPr>
      <w:r>
        <w:rPr>
          <w:rStyle w:val="FootnoteReference"/>
        </w:rPr>
        <w:footnoteRef/>
      </w:r>
      <w:r>
        <w:t xml:space="preserve">JE slightly paraphrases this verse.</w:t>
      </w:r>
    </w:p>
  </w:footnote>
  <w:footnote w:id="2226">
    <w:p>
      <w:pPr>
        <w:pStyle w:val="FootnoteText"/>
      </w:pPr>
      <w:r>
        <w:rPr>
          <w:rStyle w:val="FootnoteReference"/>
        </w:rPr>
        <w:footnoteRef/>
      </w:r>
      <w:r>
        <w:t xml:space="preserve">JE does not quote or indicate intent to quote from this verse, the relevant phrase in which is "your redemption draweth nigh."</w:t>
      </w:r>
    </w:p>
  </w:footnote>
  <w:footnote w:id="2227">
    <w:p>
      <w:pPr>
        <w:pStyle w:val="FootnoteText"/>
      </w:pPr>
      <w:r>
        <w:rPr>
          <w:rStyle w:val="FootnoteReference"/>
        </w:rPr>
        <w:footnoteRef/>
      </w:r>
      <w:r>
        <w:rPr>
          <w:i/>
          <w:iCs/>
        </w:rPr>
        <w:t xml:space="preserve">2</w:t>
      </w:r>
      <w:r>
        <w:t xml:space="preserve">.</w:t>
      </w:r>
    </w:p>
  </w:footnote>
  <w:footnote w:id="2228">
    <w:p>
      <w:pPr>
        <w:pStyle w:val="FootnoteText"/>
      </w:pPr>
      <w:r>
        <w:rPr>
          <w:rStyle w:val="FootnoteReference"/>
        </w:rPr>
        <w:footnoteRef/>
      </w:r>
      <w:r>
        <w:rPr>
          <w:i/>
          <w:iCs/>
        </w:rPr>
        <w:t xml:space="preserve">12.6v</w:t>
      </w:r>
      <w:r>
        <w:t xml:space="preserve">.</w:t>
      </w:r>
    </w:p>
  </w:footnote>
  <w:footnote w:id="2229">
    <w:p>
      <w:pPr>
        <w:pStyle w:val="FootnoteText"/>
      </w:pPr>
      <w:r>
        <w:rPr>
          <w:rStyle w:val="FootnoteReference"/>
        </w:rPr>
        <w:footnoteRef/>
      </w:r>
      <w:r>
        <w:rPr>
          <w:i/>
          <w:iCs/>
        </w:rPr>
        <w:t xml:space="preserve">3</w:t>
      </w:r>
      <w:r>
        <w:t xml:space="preserve">.</w:t>
      </w:r>
    </w:p>
  </w:footnote>
  <w:footnote w:id="2230">
    <w:p>
      <w:pPr>
        <w:pStyle w:val="FootnoteText"/>
      </w:pPr>
      <w:r>
        <w:rPr>
          <w:rStyle w:val="FootnoteReference"/>
        </w:rPr>
        <w:footnoteRef/>
      </w:r>
      <w:r>
        <w:rPr>
          <w:i/>
          <w:iCs/>
        </w:rPr>
        <w:t xml:space="preserve">(b.)</w:t>
      </w:r>
      <w:r>
        <w:t xml:space="preserve">.</w:t>
      </w:r>
    </w:p>
  </w:footnote>
  <w:footnote w:id="2231">
    <w:p>
      <w:pPr>
        <w:pStyle w:val="FootnoteText"/>
      </w:pPr>
      <w:r>
        <w:rPr>
          <w:rStyle w:val="FootnoteReference"/>
        </w:rPr>
        <w:footnoteRef/>
      </w:r>
      <w:r>
        <w:t xml:space="preserve">Uncertain reading; an alternative reading is "kingdom." The enthronement imagery of the succeeding pages suggests the possibility of "kingdom," though context argues for "kind."</w:t>
      </w:r>
    </w:p>
  </w:footnote>
  <w:footnote w:id="2232">
    <w:p>
      <w:pPr>
        <w:pStyle w:val="FootnoteText"/>
      </w:pPr>
      <w:r>
        <w:rPr>
          <w:rStyle w:val="FootnoteReference"/>
        </w:rPr>
        <w:footnoteRef/>
      </w:r>
      <w:r>
        <w:rPr>
          <w:i/>
          <w:iCs/>
        </w:rPr>
        <w:t xml:space="preserve">1</w:t>
      </w:r>
      <w:r>
        <w:t xml:space="preserve">.</w:t>
      </w:r>
    </w:p>
  </w:footnote>
  <w:footnote w:id="2233">
    <w:p>
      <w:pPr>
        <w:pStyle w:val="FootnoteText"/>
      </w:pPr>
      <w:r>
        <w:rPr>
          <w:rStyle w:val="FootnoteReference"/>
        </w:rPr>
        <w:footnoteRef/>
      </w:r>
      <w:r>
        <w:t xml:space="preserve">A paraphrase of Matthew 16:27 and Mark 8:38.</w:t>
      </w:r>
    </w:p>
  </w:footnote>
  <w:footnote w:id="2234">
    <w:p>
      <w:pPr>
        <w:pStyle w:val="FootnoteText"/>
      </w:pPr>
      <w:r>
        <w:rPr>
          <w:rStyle w:val="FootnoteReference"/>
        </w:rPr>
        <w:footnoteRef/>
      </w:r>
      <w:r>
        <w:rPr>
          <w:i/>
          <w:iCs/>
        </w:rPr>
        <w:t xml:space="preserve">12.7r</w:t>
      </w:r>
      <w:r>
        <w:t xml:space="preserve">.</w:t>
      </w:r>
    </w:p>
  </w:footnote>
  <w:footnote w:id="2235">
    <w:p>
      <w:pPr>
        <w:pStyle w:val="FootnoteText"/>
      </w:pPr>
      <w:r>
        <w:rPr>
          <w:rStyle w:val="FootnoteReference"/>
        </w:rPr>
        <w:footnoteRef/>
      </w:r>
      <w:r>
        <w:t xml:space="preserve">The preceding passage more directly echoes Isaiah 58:8, although the context is set by the passage from Revelation.</w:t>
      </w:r>
    </w:p>
  </w:footnote>
  <w:footnote w:id="2236">
    <w:p>
      <w:pPr>
        <w:pStyle w:val="FootnoteText"/>
      </w:pPr>
      <w:r>
        <w:rPr>
          <w:rStyle w:val="FootnoteReference"/>
        </w:rPr>
        <w:footnoteRef/>
      </w:r>
      <w:r>
        <w:t xml:space="preserve">An allusion to Revelation 5:11.</w:t>
      </w:r>
    </w:p>
  </w:footnote>
  <w:footnote w:id="2237">
    <w:p>
      <w:pPr>
        <w:pStyle w:val="FootnoteText"/>
      </w:pPr>
      <w:r>
        <w:rPr>
          <w:rStyle w:val="FootnoteReference"/>
        </w:rPr>
        <w:footnoteRef/>
      </w:r>
      <w:r>
        <w:t xml:space="preserve">An alternative reading is "manner." The following imagery is an allusion to Isaiah 53:2–3.</w:t>
      </w:r>
    </w:p>
  </w:footnote>
  <w:footnote w:id="2238">
    <w:p>
      <w:pPr>
        <w:pStyle w:val="FootnoteText"/>
      </w:pPr>
      <w:r>
        <w:rPr>
          <w:rStyle w:val="FootnoteReference"/>
        </w:rPr>
        <w:footnoteRef/>
      </w:r>
      <w:r>
        <w:t xml:space="preserve">Echoes Ephesians 3:10.</w:t>
      </w:r>
    </w:p>
  </w:footnote>
  <w:footnote w:id="2239">
    <w:p>
      <w:pPr>
        <w:pStyle w:val="FootnoteText"/>
      </w:pPr>
      <w:r>
        <w:rPr>
          <w:rStyle w:val="FootnoteReference"/>
        </w:rPr>
        <w:footnoteRef/>
      </w:r>
      <w:r>
        <w:rPr>
          <w:i/>
          <w:iCs/>
        </w:rPr>
        <w:t xml:space="preserve">12.7v</w:t>
      </w:r>
      <w:r>
        <w:t xml:space="preserve">.</w:t>
      </w:r>
    </w:p>
  </w:footnote>
  <w:footnote w:id="2240">
    <w:p>
      <w:pPr>
        <w:pStyle w:val="FootnoteText"/>
      </w:pPr>
      <w:r>
        <w:rPr>
          <w:rStyle w:val="FootnoteReference"/>
        </w:rPr>
        <w:footnoteRef/>
      </w:r>
      <w:r>
        <w:t xml:space="preserve">Allusions to Matthew 25:6.</w:t>
      </w:r>
    </w:p>
  </w:footnote>
  <w:footnote w:id="2241">
    <w:p>
      <w:pPr>
        <w:pStyle w:val="FootnoteText"/>
      </w:pPr>
      <w:r>
        <w:rPr>
          <w:rStyle w:val="FootnoteReference"/>
        </w:rPr>
        <w:footnoteRef/>
      </w:r>
      <w:r>
        <w:rPr>
          <w:i/>
          <w:iCs/>
        </w:rPr>
        <w:t xml:space="preserve">12.8r</w:t>
      </w:r>
      <w:r>
        <w:t xml:space="preserve">.</w:t>
      </w:r>
    </w:p>
  </w:footnote>
  <w:footnote w:id="2242">
    <w:p>
      <w:pPr>
        <w:pStyle w:val="FootnoteText"/>
      </w:pPr>
      <w:r>
        <w:rPr>
          <w:rStyle w:val="FootnoteReference"/>
        </w:rPr>
        <w:footnoteRef/>
      </w:r>
      <w:r>
        <w:t xml:space="preserve">Possibly JE intended to echo the attempt by Adam and Eve to hide themselves in the garden (Genesis 3:8).</w:t>
      </w:r>
    </w:p>
  </w:footnote>
  <w:footnote w:id="2243">
    <w:p>
      <w:pPr>
        <w:pStyle w:val="FootnoteText"/>
      </w:pPr>
      <w:r>
        <w:rPr>
          <w:rStyle w:val="FootnoteReference"/>
        </w:rPr>
        <w:footnoteRef/>
      </w:r>
      <w:r>
        <w:t xml:space="preserve">An allusion to Matthew 24:38.</w:t>
      </w:r>
    </w:p>
  </w:footnote>
  <w:footnote w:id="2244">
    <w:p>
      <w:pPr>
        <w:pStyle w:val="FootnoteText"/>
      </w:pPr>
      <w:r>
        <w:rPr>
          <w:rStyle w:val="FootnoteReference"/>
        </w:rPr>
        <w:footnoteRef/>
      </w:r>
      <w:r>
        <w:t xml:space="preserve">An echo of Hebrews 2:10.</w:t>
      </w:r>
    </w:p>
  </w:footnote>
  <w:footnote w:id="2245">
    <w:p>
      <w:pPr>
        <w:pStyle w:val="FootnoteText"/>
      </w:pPr>
      <w:r>
        <w:rPr>
          <w:rStyle w:val="FootnoteReference"/>
        </w:rPr>
        <w:footnoteRef/>
      </w:r>
      <w:r>
        <w:rPr>
          <w:i/>
          <w:iCs/>
        </w:rPr>
        <w:t xml:space="preserve">12.8v</w:t>
      </w:r>
      <w:r>
        <w:t xml:space="preserve">.</w:t>
      </w:r>
    </w:p>
  </w:footnote>
  <w:footnote w:id="2246">
    <w:p>
      <w:pPr>
        <w:pStyle w:val="FootnoteText"/>
      </w:pPr>
      <w:r>
        <w:rPr>
          <w:rStyle w:val="FootnoteReference"/>
        </w:rPr>
        <w:footnoteRef/>
      </w:r>
      <w:r>
        <w:t xml:space="preserve">This sentence is interlineated, and the ink may be slightly different.</w:t>
      </w:r>
    </w:p>
  </w:footnote>
  <w:footnote w:id="2247">
    <w:p>
      <w:pPr>
        <w:pStyle w:val="FootnoteText"/>
      </w:pPr>
      <w:r>
        <w:rPr>
          <w:rStyle w:val="FootnoteReference"/>
        </w:rPr>
        <w:footnoteRef/>
      </w:r>
      <w:r>
        <w:rPr>
          <w:i/>
          <w:iCs/>
        </w:rPr>
        <w:t xml:space="preserve">2</w:t>
      </w:r>
      <w:r>
        <w:t xml:space="preserve">.</w:t>
      </w:r>
    </w:p>
  </w:footnote>
  <w:footnote w:id="2248">
    <w:p>
      <w:pPr>
        <w:pStyle w:val="FootnoteText"/>
      </w:pPr>
      <w:r>
        <w:rPr>
          <w:rStyle w:val="FootnoteReference"/>
        </w:rPr>
        <w:footnoteRef/>
      </w:r>
      <w:r>
        <w:t xml:space="preserve">A paraphrase of 1 Corinthians 15:52.</w:t>
      </w:r>
    </w:p>
  </w:footnote>
  <w:footnote w:id="2249">
    <w:p>
      <w:pPr>
        <w:pStyle w:val="FootnoteText"/>
      </w:pPr>
      <w:r>
        <w:rPr>
          <w:rStyle w:val="FootnoteReference"/>
        </w:rPr>
        <w:footnoteRef/>
      </w:r>
      <w:r>
        <w:rPr>
          <w:i/>
          <w:iCs/>
        </w:rPr>
        <w:t xml:space="preserve">12.9r</w:t>
      </w:r>
      <w:r>
        <w:t xml:space="preserve">.</w:t>
      </w:r>
    </w:p>
  </w:footnote>
  <w:footnote w:id="2250">
    <w:p>
      <w:pPr>
        <w:pStyle w:val="FootnoteText"/>
      </w:pPr>
      <w:r>
        <w:rPr>
          <w:rStyle w:val="FootnoteReference"/>
        </w:rPr>
        <w:footnoteRef/>
      </w:r>
      <w:r>
        <w:rPr>
          <w:i/>
          <w:iCs/>
        </w:rPr>
        <w:t xml:space="preserve">12.9v</w:t>
      </w:r>
      <w:r>
        <w:t xml:space="preserve">.</w:t>
      </w:r>
    </w:p>
  </w:footnote>
  <w:footnote w:id="2251">
    <w:p>
      <w:pPr>
        <w:pStyle w:val="FootnoteText"/>
      </w:pPr>
      <w:r>
        <w:rPr>
          <w:rStyle w:val="FootnoteReference"/>
        </w:rPr>
        <w:footnoteRef/>
      </w:r>
      <w:r>
        <w:rPr>
          <w:i/>
          <w:iCs/>
        </w:rPr>
        <w:t xml:space="preserve">12.10r</w:t>
      </w:r>
      <w:r>
        <w:t xml:space="preserve">.</w:t>
      </w:r>
    </w:p>
  </w:footnote>
  <w:footnote w:id="2252">
    <w:p>
      <w:pPr>
        <w:pStyle w:val="FootnoteText"/>
      </w:pPr>
      <w:r>
        <w:rPr>
          <w:rStyle w:val="FootnoteReference"/>
        </w:rPr>
        <w:footnoteRef/>
      </w:r>
      <w:r>
        <w:rPr>
          <w:i/>
          <w:iCs/>
        </w:rPr>
        <w:t xml:space="preserve">12.10v</w:t>
      </w:r>
      <w:r>
        <w:t xml:space="preserve">. Leaf breaks at "in." For example, Enoch's translation into glory in Genesis 5:24.</w:t>
      </w:r>
    </w:p>
  </w:footnote>
  <w:footnote w:id="2253">
    <w:p>
      <w:pPr>
        <w:pStyle w:val="FootnoteText"/>
      </w:pPr>
      <w:r>
        <w:rPr>
          <w:rStyle w:val="FootnoteReference"/>
        </w:rPr>
        <w:footnoteRef/>
      </w:r>
      <w:r>
        <w:rPr>
          <w:i/>
          <w:iCs/>
        </w:rPr>
        <w:t xml:space="preserve">3</w:t>
      </w:r>
      <w:r>
        <w:t xml:space="preserve">.</w:t>
      </w:r>
    </w:p>
  </w:footnote>
  <w:footnote w:id="2254">
    <w:p>
      <w:pPr>
        <w:pStyle w:val="FootnoteText"/>
      </w:pPr>
      <w:r>
        <w:rPr>
          <w:rStyle w:val="FootnoteReference"/>
        </w:rPr>
        <w:footnoteRef/>
      </w:r>
      <w:r>
        <w:t xml:space="preserve">See 1 Thessalonians 4:17.</w:t>
      </w:r>
    </w:p>
  </w:footnote>
  <w:footnote w:id="2255">
    <w:p>
      <w:pPr>
        <w:pStyle w:val="FootnoteText"/>
      </w:pPr>
      <w:r>
        <w:rPr>
          <w:rStyle w:val="FootnoteReference"/>
        </w:rPr>
        <w:footnoteRef/>
      </w:r>
      <w:r>
        <w:rPr>
          <w:i/>
          <w:iCs/>
        </w:rPr>
        <w:t xml:space="preserve">12.11r</w:t>
      </w:r>
      <w:r>
        <w:t xml:space="preserve">.</w:t>
      </w:r>
    </w:p>
  </w:footnote>
  <w:footnote w:id="2256">
    <w:p>
      <w:pPr>
        <w:pStyle w:val="FootnoteText"/>
      </w:pPr>
      <w:r>
        <w:rPr>
          <w:rStyle w:val="FootnoteReference"/>
        </w:rPr>
        <w:footnoteRef/>
      </w:r>
      <w:r>
        <w:t xml:space="preserve">JE slightly condenses.</w:t>
      </w:r>
    </w:p>
  </w:footnote>
  <w:footnote w:id="2257">
    <w:p>
      <w:pPr>
        <w:pStyle w:val="FootnoteText"/>
      </w:pPr>
      <w:r>
        <w:rPr>
          <w:rStyle w:val="FootnoteReference"/>
        </w:rPr>
        <w:footnoteRef/>
      </w:r>
      <w:r>
        <w:rPr>
          <w:i/>
          <w:iCs/>
        </w:rPr>
        <w:t xml:space="preserve">12.11v</w:t>
      </w:r>
      <w:r>
        <w:t xml:space="preserve">.</w:t>
      </w:r>
    </w:p>
  </w:footnote>
  <w:footnote w:id="2258">
    <w:p>
      <w:pPr>
        <w:pStyle w:val="FootnoteText"/>
      </w:pPr>
      <w:r>
        <w:rPr>
          <w:rStyle w:val="FootnoteReference"/>
        </w:rPr>
        <w:footnoteRef/>
      </w:r>
      <w:r>
        <w:t xml:space="preserve">The throne imagery runs throughout Revelation; see e.g. Revelation 20:11. See also Matthew 25:31.</w:t>
      </w:r>
    </w:p>
  </w:footnote>
  <w:footnote w:id="2259">
    <w:p>
      <w:pPr>
        <w:pStyle w:val="FootnoteText"/>
      </w:pPr>
      <w:r>
        <w:rPr>
          <w:rStyle w:val="FootnoteReference"/>
        </w:rPr>
        <w:footnoteRef/>
      </w:r>
      <w:r>
        <w:rPr>
          <w:i/>
          <w:iCs/>
        </w:rPr>
        <w:t xml:space="preserve">12.12r</w:t>
      </w:r>
      <w:r>
        <w:t xml:space="preserve">.</w:t>
      </w:r>
    </w:p>
  </w:footnote>
  <w:footnote w:id="2260">
    <w:p>
      <w:pPr>
        <w:pStyle w:val="FootnoteText"/>
      </w:pPr>
      <w:r>
        <w:rPr>
          <w:rStyle w:val="FootnoteReference"/>
        </w:rPr>
        <w:footnoteRef/>
      </w:r>
      <w:r>
        <w:t xml:space="preserve">See Matthew 25:31–33.</w:t>
      </w:r>
    </w:p>
  </w:footnote>
  <w:footnote w:id="2261">
    <w:p>
      <w:pPr>
        <w:pStyle w:val="FootnoteText"/>
      </w:pPr>
      <w:r>
        <w:rPr>
          <w:rStyle w:val="FootnoteReference"/>
        </w:rPr>
        <w:footnoteRef/>
      </w:r>
      <w:r>
        <w:t xml:space="preserve">JE's text requires supplementing; he failed to complete this passage.</w:t>
      </w:r>
    </w:p>
  </w:footnote>
  <w:footnote w:id="2262">
    <w:p>
      <w:pPr>
        <w:pStyle w:val="FootnoteText"/>
      </w:pPr>
      <w:r>
        <w:rPr>
          <w:rStyle w:val="FootnoteReference"/>
        </w:rPr>
        <w:footnoteRef/>
      </w:r>
      <w:r>
        <w:rPr>
          <w:i/>
          <w:iCs/>
        </w:rPr>
        <w:t xml:space="preserve">12.12v</w:t>
      </w:r>
      <w:r>
        <w:t xml:space="preserve">.</w:t>
      </w:r>
    </w:p>
  </w:footnote>
  <w:footnote w:id="2263">
    <w:p>
      <w:pPr>
        <w:pStyle w:val="FootnoteText"/>
      </w:pPr>
      <w:r>
        <w:rPr>
          <w:rStyle w:val="FootnoteReference"/>
        </w:rPr>
        <w:footnoteRef/>
      </w:r>
      <w:r>
        <w:t xml:space="preserve">An allusion to James 2:19.</w:t>
      </w:r>
    </w:p>
  </w:footnote>
  <w:footnote w:id="2264">
    <w:p>
      <w:pPr>
        <w:pStyle w:val="FootnoteText"/>
      </w:pPr>
      <w:r>
        <w:rPr>
          <w:rStyle w:val="FootnoteReference"/>
        </w:rPr>
        <w:footnoteRef/>
      </w:r>
      <w:r>
        <w:rPr>
          <w:i/>
          <w:iCs/>
        </w:rPr>
        <w:t xml:space="preserve">12.13r</w:t>
      </w:r>
      <w:r>
        <w:t xml:space="preserve">.</w:t>
      </w:r>
    </w:p>
  </w:footnote>
  <w:footnote w:id="2265">
    <w:p>
      <w:pPr>
        <w:pStyle w:val="FootnoteText"/>
      </w:pPr>
      <w:r>
        <w:rPr>
          <w:rStyle w:val="FootnoteReference"/>
        </w:rPr>
        <w:footnoteRef/>
      </w:r>
      <w:r>
        <w:rPr>
          <w:i/>
          <w:iCs/>
        </w:rPr>
        <w:t xml:space="preserve">12.13v</w:t>
      </w:r>
      <w:r>
        <w:t xml:space="preserve">.</w:t>
      </w:r>
    </w:p>
  </w:footnote>
  <w:footnote w:id="2266">
    <w:p>
      <w:pPr>
        <w:pStyle w:val="FootnoteText"/>
      </w:pPr>
      <w:r>
        <w:rPr>
          <w:rStyle w:val="FootnoteReference"/>
        </w:rPr>
        <w:footnoteRef/>
      </w:r>
      <w:r>
        <w:rPr>
          <w:i/>
          <w:iCs/>
        </w:rPr>
        <w:t xml:space="preserve">12.14r</w:t>
      </w:r>
      <w:r>
        <w:t xml:space="preserve">.</w:t>
      </w:r>
    </w:p>
  </w:footnote>
  <w:footnote w:id="2267">
    <w:p>
      <w:pPr>
        <w:pStyle w:val="FootnoteText"/>
      </w:pPr>
      <w:r>
        <w:rPr>
          <w:rStyle w:val="FootnoteReference"/>
        </w:rPr>
        <w:footnoteRef/>
      </w:r>
      <w:r>
        <w:t xml:space="preserve">An allusion to Joshua 10:24.</w:t>
      </w:r>
    </w:p>
  </w:footnote>
  <w:footnote w:id="2268">
    <w:p>
      <w:pPr>
        <w:pStyle w:val="FootnoteText"/>
      </w:pPr>
      <w:r>
        <w:rPr>
          <w:rStyle w:val="FootnoteReference"/>
        </w:rPr>
        <w:footnoteRef/>
      </w:r>
      <w:r>
        <w:t xml:space="preserve">Psalms 110:1; Acts 2:35.</w:t>
      </w:r>
    </w:p>
  </w:footnote>
  <w:footnote w:id="2269">
    <w:p>
      <w:pPr>
        <w:pStyle w:val="FootnoteText"/>
      </w:pPr>
      <w:r>
        <w:rPr>
          <w:rStyle w:val="FootnoteReference"/>
        </w:rPr>
        <w:footnoteRef/>
      </w:r>
      <w:r>
        <w:t xml:space="preserve">JE breaks off in the middle of this leaf, on the recto. Sermon 29 begins on the next leaf.</w:t>
      </w:r>
    </w:p>
  </w:footnote>
  <w:footnote w:id="2270">
    <w:p>
      <w:pPr>
        <w:pStyle w:val="FootnoteText"/>
      </w:pPr>
      <w:r>
        <w:rPr>
          <w:rStyle w:val="FootnoteReference"/>
        </w:rPr>
        <w:footnoteRef/>
      </w:r>
      <w:r>
        <w:rPr>
          <w:i/>
          <w:iCs/>
        </w:rPr>
        <w:t xml:space="preserve">12.15r</w:t>
      </w:r>
      <w:r>
        <w:t xml:space="preserve">.</w:t>
      </w:r>
    </w:p>
  </w:footnote>
  <w:footnote w:id="2271">
    <w:p>
      <w:pPr>
        <w:pStyle w:val="FootnoteText"/>
      </w:pPr>
      <w:r>
        <w:rPr>
          <w:rStyle w:val="FootnoteReference"/>
        </w:rPr>
        <w:footnoteRef/>
      </w:r>
      <w:r>
        <w:t xml:space="preserve">Sermon 28 concluded at the middle of leaf 14, recto. The remainder of that side of the leaf, as well as the other side, is blank. This sermon begins at the top of leaf 15, recto. The date is in JE's hand.</w:t>
      </w:r>
    </w:p>
  </w:footnote>
  <w:footnote w:id="2272">
    <w:p>
      <w:pPr>
        <w:pStyle w:val="FootnoteText"/>
      </w:pPr>
      <w:r>
        <w:rPr>
          <w:rStyle w:val="FootnoteReference"/>
        </w:rPr>
        <w:footnoteRef/>
      </w:r>
      <w:r>
        <w:rPr>
          <w:i/>
          <w:iCs/>
        </w:rPr>
        <w:t xml:space="preserve">4</w:t>
      </w:r>
      <w:r>
        <w:t xml:space="preserve">.</w:t>
      </w:r>
    </w:p>
  </w:footnote>
  <w:footnote w:id="2273">
    <w:p>
      <w:pPr>
        <w:pStyle w:val="FootnoteText"/>
      </w:pPr>
      <w:r>
        <w:rPr>
          <w:rStyle w:val="FootnoteReference"/>
        </w:rPr>
        <w:footnoteRef/>
      </w:r>
      <w:r>
        <w:rPr>
          <w:i/>
          <w:iCs/>
        </w:rPr>
        <w:t xml:space="preserve">12.15v</w:t>
      </w:r>
      <w:r>
        <w:t xml:space="preserve">.</w:t>
      </w:r>
    </w:p>
  </w:footnote>
  <w:footnote w:id="2274">
    <w:p>
      <w:pPr>
        <w:pStyle w:val="FootnoteText"/>
      </w:pPr>
      <w:r>
        <w:rPr>
          <w:rStyle w:val="FootnoteReference"/>
        </w:rPr>
        <w:footnoteRef/>
      </w:r>
      <w:r>
        <w:t xml:space="preserve">JE appears to have started to reorder the remaining sections of this leaf, but he changed his mind and retained the original order.</w:t>
      </w:r>
    </w:p>
  </w:footnote>
  <w:footnote w:id="2275">
    <w:p>
      <w:pPr>
        <w:pStyle w:val="FootnoteText"/>
      </w:pPr>
      <w:r>
        <w:rPr>
          <w:rStyle w:val="FootnoteReference"/>
        </w:rPr>
        <w:footnoteRef/>
      </w:r>
      <w:r>
        <w:t xml:space="preserve">See Revelation 7:9, Revelation 7:13–14.</w:t>
      </w:r>
    </w:p>
  </w:footnote>
  <w:footnote w:id="2276">
    <w:p>
      <w:pPr>
        <w:pStyle w:val="FootnoteText"/>
      </w:pPr>
      <w:r>
        <w:rPr>
          <w:rStyle w:val="FootnoteReference"/>
        </w:rPr>
        <w:footnoteRef/>
      </w:r>
      <w:r>
        <w:t xml:space="preserve">See Luke 8:16–17. Text reads "manifestly openly."</w:t>
      </w:r>
    </w:p>
  </w:footnote>
  <w:footnote w:id="2277">
    <w:p>
      <w:pPr>
        <w:pStyle w:val="FootnoteText"/>
      </w:pPr>
      <w:r>
        <w:rPr>
          <w:rStyle w:val="FootnoteReference"/>
        </w:rPr>
        <w:footnoteRef/>
      </w:r>
      <w:r>
        <w:t xml:space="preserve">Phrases here echo 1 John 3:2 and Isaiah 4:2.</w:t>
      </w:r>
    </w:p>
  </w:footnote>
  <w:footnote w:id="2278">
    <w:p>
      <w:pPr>
        <w:pStyle w:val="FootnoteText"/>
      </w:pPr>
      <w:r>
        <w:rPr>
          <w:rStyle w:val="FootnoteReference"/>
        </w:rPr>
        <w:footnoteRef/>
      </w:r>
      <w:r>
        <w:t xml:space="preserve">This is a slight paraphrase of Psalms 37:6.</w:t>
      </w:r>
    </w:p>
  </w:footnote>
  <w:footnote w:id="2279">
    <w:p>
      <w:pPr>
        <w:pStyle w:val="FootnoteText"/>
      </w:pPr>
      <w:r>
        <w:rPr>
          <w:rStyle w:val="FootnoteReference"/>
        </w:rPr>
        <w:footnoteRef/>
      </w:r>
      <w:r>
        <w:rPr>
          <w:i/>
          <w:iCs/>
        </w:rPr>
        <w:t xml:space="preserve">12.16r</w:t>
      </w:r>
      <w:r>
        <w:t xml:space="preserve">.</w:t>
      </w:r>
    </w:p>
  </w:footnote>
  <w:footnote w:id="2280">
    <w:p>
      <w:pPr>
        <w:pStyle w:val="FootnoteText"/>
      </w:pPr>
      <w:r>
        <w:rPr>
          <w:rStyle w:val="FootnoteReference"/>
        </w:rPr>
        <w:footnoteRef/>
      </w:r>
      <w:r>
        <w:rPr>
          <w:i/>
          <w:iCs/>
        </w:rPr>
        <w:t xml:space="preserve">12.16v</w:t>
      </w:r>
      <w:r>
        <w:t xml:space="preserve">.</w:t>
      </w:r>
    </w:p>
  </w:footnote>
  <w:footnote w:id="2281">
    <w:p>
      <w:pPr>
        <w:pStyle w:val="FootnoteText"/>
      </w:pPr>
      <w:r>
        <w:rPr>
          <w:rStyle w:val="FootnoteReference"/>
        </w:rPr>
        <w:footnoteRef/>
      </w:r>
      <w:r>
        <w:rPr>
          <w:i/>
          <w:iCs/>
        </w:rPr>
        <w:t xml:space="preserve">5</w:t>
      </w:r>
      <w:r>
        <w:t xml:space="preserve">.</w:t>
      </w:r>
    </w:p>
  </w:footnote>
  <w:footnote w:id="2282">
    <w:p>
      <w:pPr>
        <w:pStyle w:val="FootnoteText"/>
      </w:pPr>
      <w:r>
        <w:rPr>
          <w:rStyle w:val="FootnoteReference"/>
        </w:rPr>
        <w:footnoteRef/>
      </w:r>
      <w:r>
        <w:t xml:space="preserve">Matthew 25:34.</w:t>
      </w:r>
    </w:p>
  </w:footnote>
  <w:footnote w:id="2283">
    <w:p>
      <w:pPr>
        <w:pStyle w:val="FootnoteText"/>
      </w:pPr>
      <w:r>
        <w:rPr>
          <w:rStyle w:val="FootnoteReference"/>
        </w:rPr>
        <w:footnoteRef/>
      </w:r>
      <w:r>
        <w:t xml:space="preserve">Here JE failed to delete a clause fully; subsequently the remainder was lined through in pencil.</w:t>
      </w:r>
    </w:p>
  </w:footnote>
  <w:footnote w:id="2284">
    <w:p>
      <w:pPr>
        <w:pStyle w:val="FootnoteText"/>
      </w:pPr>
      <w:r>
        <w:rPr>
          <w:rStyle w:val="FootnoteReference"/>
        </w:rPr>
        <w:footnoteRef/>
      </w:r>
      <w:r>
        <w:t xml:space="preserve">1 Peter 5:4.</w:t>
      </w:r>
    </w:p>
  </w:footnote>
  <w:footnote w:id="2285">
    <w:p>
      <w:pPr>
        <w:pStyle w:val="FootnoteText"/>
      </w:pPr>
      <w:r>
        <w:rPr>
          <w:rStyle w:val="FootnoteReference"/>
        </w:rPr>
        <w:footnoteRef/>
      </w:r>
      <w:r>
        <w:t xml:space="preserve">The language here echoes Matthew 13:43.</w:t>
      </w:r>
    </w:p>
  </w:footnote>
  <w:footnote w:id="2286">
    <w:p>
      <w:pPr>
        <w:pStyle w:val="FootnoteText"/>
      </w:pPr>
      <w:r>
        <w:rPr>
          <w:rStyle w:val="FootnoteReference"/>
        </w:rPr>
        <w:footnoteRef/>
      </w:r>
      <w:r>
        <w:t xml:space="preserve">Matthew 25:41.</w:t>
      </w:r>
    </w:p>
  </w:footnote>
  <w:footnote w:id="2287">
    <w:p>
      <w:pPr>
        <w:pStyle w:val="FootnoteText"/>
      </w:pPr>
      <w:r>
        <w:rPr>
          <w:rStyle w:val="FootnoteReference"/>
        </w:rPr>
        <w:footnoteRef/>
      </w:r>
      <w:r>
        <w:rPr>
          <w:i/>
          <w:iCs/>
        </w:rPr>
        <w:t xml:space="preserve">12.17r</w:t>
      </w:r>
      <w:r>
        <w:t xml:space="preserve">.</w:t>
      </w:r>
    </w:p>
  </w:footnote>
  <w:footnote w:id="2288">
    <w:p>
      <w:pPr>
        <w:pStyle w:val="FootnoteText"/>
      </w:pPr>
      <w:r>
        <w:rPr>
          <w:rStyle w:val="FootnoteReference"/>
        </w:rPr>
        <w:footnoteRef/>
      </w:r>
      <w:r>
        <w:t xml:space="preserve">The language here echoes Matthew 22:13 and Luke 13:28.</w:t>
      </w:r>
    </w:p>
  </w:footnote>
  <w:footnote w:id="2289">
    <w:p>
      <w:pPr>
        <w:pStyle w:val="FootnoteText"/>
      </w:pPr>
      <w:r>
        <w:rPr>
          <w:rStyle w:val="FootnoteReference"/>
        </w:rPr>
        <w:footnoteRef/>
      </w:r>
      <w:r>
        <w:rPr>
          <w:i/>
          <w:iCs/>
        </w:rPr>
        <w:t xml:space="preserve">6</w:t>
      </w:r>
      <w:r>
        <w:t xml:space="preserve">.</w:t>
      </w:r>
    </w:p>
  </w:footnote>
  <w:footnote w:id="2290">
    <w:p>
      <w:pPr>
        <w:pStyle w:val="FootnoteText"/>
      </w:pPr>
      <w:r>
        <w:rPr>
          <w:rStyle w:val="FootnoteReference"/>
        </w:rPr>
        <w:footnoteRef/>
      </w:r>
      <w:r>
        <w:rPr>
          <w:i/>
          <w:iCs/>
        </w:rPr>
        <w:t xml:space="preserve">12.17v</w:t>
      </w:r>
      <w:r>
        <w:t xml:space="preserve">.</w:t>
      </w:r>
    </w:p>
  </w:footnote>
  <w:footnote w:id="2291">
    <w:p>
      <w:pPr>
        <w:pStyle w:val="FootnoteText"/>
      </w:pPr>
      <w:r>
        <w:rPr>
          <w:rStyle w:val="FootnoteReference"/>
        </w:rPr>
        <w:footnoteRef/>
      </w:r>
      <w:r>
        <w:t xml:space="preserve">This echoes Matthew 25:34.</w:t>
      </w:r>
    </w:p>
  </w:footnote>
  <w:footnote w:id="2292">
    <w:p>
      <w:pPr>
        <w:pStyle w:val="FootnoteText"/>
      </w:pPr>
      <w:r>
        <w:rPr>
          <w:rStyle w:val="FootnoteReference"/>
        </w:rPr>
        <w:footnoteRef/>
      </w:r>
      <w:r>
        <w:rPr>
          <w:i/>
          <w:iCs/>
        </w:rPr>
        <w:t xml:space="preserve">7</w:t>
      </w:r>
      <w:r>
        <w:t xml:space="preserve">.</w:t>
      </w:r>
    </w:p>
  </w:footnote>
  <w:footnote w:id="2293">
    <w:p>
      <w:pPr>
        <w:pStyle w:val="FootnoteText"/>
      </w:pPr>
      <w:r>
        <w:rPr>
          <w:rStyle w:val="FootnoteReference"/>
        </w:rPr>
        <w:footnoteRef/>
      </w:r>
      <w:r>
        <w:rPr>
          <w:i/>
          <w:iCs/>
        </w:rPr>
        <w:t xml:space="preserve">12.18r</w:t>
      </w:r>
      <w:r>
        <w:t xml:space="preserve">.</w:t>
      </w:r>
    </w:p>
  </w:footnote>
  <w:footnote w:id="2294">
    <w:p>
      <w:pPr>
        <w:pStyle w:val="FootnoteText"/>
      </w:pPr>
      <w:r>
        <w:rPr>
          <w:rStyle w:val="FootnoteReference"/>
        </w:rPr>
        <w:footnoteRef/>
      </w:r>
      <w:r>
        <w:rPr>
          <w:i/>
          <w:iCs/>
        </w:rPr>
        <w:t xml:space="preserve">12.18v</w:t>
      </w:r>
      <w:r>
        <w:t xml:space="preserve">.</w:t>
      </w:r>
    </w:p>
  </w:footnote>
  <w:footnote w:id="2295">
    <w:p>
      <w:pPr>
        <w:pStyle w:val="FootnoteText"/>
      </w:pPr>
      <w:r>
        <w:rPr>
          <w:rStyle w:val="FootnoteReference"/>
        </w:rPr>
        <w:footnoteRef/>
      </w:r>
      <w:r>
        <w:t xml:space="preserve">This echoes Revelation 16:1 and Ezekiel 22:31.</w:t>
      </w:r>
    </w:p>
  </w:footnote>
  <w:footnote w:id="2296">
    <w:p>
      <w:pPr>
        <w:pStyle w:val="FootnoteText"/>
      </w:pPr>
      <w:r>
        <w:rPr>
          <w:rStyle w:val="FootnoteReference"/>
        </w:rPr>
        <w:footnoteRef/>
      </w:r>
      <w:r>
        <w:t xml:space="preserve">JE deleted the following section with a single vertical line: "Instead of proudly usurping a kingdom on earth, and setting himself to be worshipped as God of this world, and persecuting the church as he used to do here." At this point, JE deletes subsequent words with a horizontal line.</w:t>
      </w:r>
    </w:p>
  </w:footnote>
  <w:footnote w:id="2297">
    <w:p>
      <w:pPr>
        <w:pStyle w:val="FootnoteText"/>
      </w:pPr>
      <w:r>
        <w:rPr>
          <w:rStyle w:val="FootnoteReference"/>
        </w:rPr>
        <w:footnoteRef/>
      </w:r>
      <w:r>
        <w:rPr>
          <w:i/>
          <w:iCs/>
        </w:rPr>
        <w:t xml:space="preserve">12.19r</w:t>
      </w:r>
      <w:r>
        <w:t xml:space="preserve">.</w:t>
      </w:r>
    </w:p>
  </w:footnote>
  <w:footnote w:id="2298">
    <w:p>
      <w:pPr>
        <w:pStyle w:val="FootnoteText"/>
      </w:pPr>
      <w:r>
        <w:rPr>
          <w:rStyle w:val="FootnoteReference"/>
        </w:rPr>
        <w:footnoteRef/>
      </w:r>
      <w:r>
        <w:t xml:space="preserve">JE quotes from Genesis 3:15.</w:t>
      </w:r>
    </w:p>
  </w:footnote>
  <w:footnote w:id="2299">
    <w:p>
      <w:pPr>
        <w:pStyle w:val="FootnoteText"/>
      </w:pPr>
      <w:r>
        <w:rPr>
          <w:rStyle w:val="FootnoteReference"/>
        </w:rPr>
        <w:footnoteRef/>
      </w:r>
      <w:r>
        <w:rPr>
          <w:i/>
          <w:iCs/>
        </w:rPr>
        <w:t xml:space="preserve">8</w:t>
      </w:r>
      <w:r>
        <w:t xml:space="preserve">.</w:t>
      </w:r>
    </w:p>
  </w:footnote>
  <w:footnote w:id="2300">
    <w:p>
      <w:pPr>
        <w:pStyle w:val="FootnoteText"/>
      </w:pPr>
      <w:r>
        <w:rPr>
          <w:rStyle w:val="FootnoteReference"/>
        </w:rPr>
        <w:footnoteRef/>
      </w:r>
      <w:r>
        <w:t xml:space="preserve">These allusions are to Revelation 20:14 and Revelation 21:8, Revelation 21:10–27.</w:t>
      </w:r>
    </w:p>
  </w:footnote>
  <w:footnote w:id="2301">
    <w:p>
      <w:pPr>
        <w:pStyle w:val="FootnoteText"/>
      </w:pPr>
      <w:r>
        <w:rPr>
          <w:rStyle w:val="FootnoteReference"/>
        </w:rPr>
        <w:footnoteRef/>
      </w:r>
      <w:r>
        <w:rPr>
          <w:i/>
          <w:iCs/>
        </w:rPr>
        <w:t xml:space="preserve">12.19v</w:t>
      </w:r>
      <w:r>
        <w:t xml:space="preserve">.</w:t>
      </w:r>
    </w:p>
  </w:footnote>
  <w:footnote w:id="2302">
    <w:p>
      <w:pPr>
        <w:pStyle w:val="FootnoteText"/>
      </w:pPr>
      <w:r>
        <w:rPr>
          <w:rStyle w:val="FootnoteReference"/>
        </w:rPr>
        <w:footnoteRef/>
      </w:r>
      <w:r>
        <w:t xml:space="preserve">These images are taken from Matthew 7:13; Revelation 21:12–13, Revelation 21:21; and John 14:2–3.</w:t>
      </w:r>
    </w:p>
  </w:footnote>
  <w:footnote w:id="2303">
    <w:p>
      <w:pPr>
        <w:pStyle w:val="FootnoteText"/>
      </w:pPr>
      <w:r>
        <w:rPr>
          <w:rStyle w:val="FootnoteReference"/>
        </w:rPr>
        <w:footnoteRef/>
      </w:r>
      <w:r>
        <w:t xml:space="preserve">The allusion to God giving the elect to Christ is in John 17:24.</w:t>
      </w:r>
    </w:p>
  </w:footnote>
  <w:footnote w:id="2304">
    <w:p>
      <w:pPr>
        <w:pStyle w:val="FootnoteText"/>
      </w:pPr>
      <w:r>
        <w:rPr>
          <w:rStyle w:val="FootnoteReference"/>
        </w:rPr>
        <w:footnoteRef/>
      </w:r>
      <w:r>
        <w:rPr>
          <w:i/>
          <w:iCs/>
        </w:rPr>
        <w:t xml:space="preserve">12.20r</w:t>
      </w:r>
      <w:r>
        <w:t xml:space="preserve">.</w:t>
      </w:r>
    </w:p>
  </w:footnote>
  <w:footnote w:id="2305">
    <w:p>
      <w:pPr>
        <w:pStyle w:val="FootnoteText"/>
      </w:pPr>
      <w:r>
        <w:rPr>
          <w:rStyle w:val="FootnoteReference"/>
        </w:rPr>
        <w:footnoteRef/>
      </w:r>
      <w:r>
        <w:t xml:space="preserve">The language throughout this and the paragraph above echoes and paraphrases John 17:3–26.</w:t>
      </w:r>
    </w:p>
  </w:footnote>
  <w:footnote w:id="2306">
    <w:p>
      <w:pPr>
        <w:pStyle w:val="FootnoteText"/>
      </w:pPr>
      <w:r>
        <w:rPr>
          <w:rStyle w:val="FootnoteReference"/>
        </w:rPr>
        <w:footnoteRef/>
      </w:r>
      <w:r>
        <w:t xml:space="preserve">Revelation 19:7–9.</w:t>
      </w:r>
    </w:p>
  </w:footnote>
  <w:footnote w:id="2307">
    <w:p>
      <w:pPr>
        <w:pStyle w:val="FootnoteText"/>
      </w:pPr>
      <w:r>
        <w:rPr>
          <w:rStyle w:val="FootnoteReference"/>
        </w:rPr>
        <w:footnoteRef/>
      </w:r>
      <w:r>
        <w:t xml:space="preserve">See Revelation 20:11–15.</w:t>
      </w:r>
    </w:p>
  </w:footnote>
  <w:footnote w:id="2308">
    <w:p>
      <w:pPr>
        <w:pStyle w:val="FootnoteText"/>
      </w:pPr>
      <w:r>
        <w:rPr>
          <w:rStyle w:val="FootnoteReference"/>
        </w:rPr>
        <w:footnoteRef/>
      </w:r>
      <w:r>
        <w:rPr>
          <w:i/>
          <w:iCs/>
        </w:rPr>
        <w:t xml:space="preserve">12.20v</w:t>
      </w:r>
      <w:r>
        <w:t xml:space="preserve">.</w:t>
      </w:r>
    </w:p>
  </w:footnote>
  <w:footnote w:id="2309">
    <w:p>
      <w:pPr>
        <w:pStyle w:val="FootnoteText"/>
      </w:pPr>
      <w:r>
        <w:rPr>
          <w:rStyle w:val="FootnoteReference"/>
        </w:rPr>
        <w:footnoteRef/>
      </w:r>
      <w:r>
        <w:t xml:space="preserve">JE abridges.</w:t>
      </w:r>
    </w:p>
  </w:footnote>
  <w:footnote w:id="2310">
    <w:p>
      <w:pPr>
        <w:pStyle w:val="FootnoteText"/>
      </w:pPr>
      <w:r>
        <w:rPr>
          <w:rStyle w:val="FootnoteReference"/>
        </w:rPr>
        <w:footnoteRef/>
      </w:r>
      <w:r>
        <w:t xml:space="preserve">This language closely follows Ephesians 5:25–27.</w:t>
      </w:r>
    </w:p>
  </w:footnote>
  <w:footnote w:id="2311">
    <w:p>
      <w:pPr>
        <w:pStyle w:val="FootnoteText"/>
      </w:pPr>
      <w:r>
        <w:rPr>
          <w:rStyle w:val="FootnoteReference"/>
        </w:rPr>
        <w:footnoteRef/>
      </w:r>
      <w:r>
        <w:t xml:space="preserve">See e.g. Revelation 21:2, Revelation 21:9; Revelation 22:5, Revelation 22:17.</w:t>
      </w:r>
    </w:p>
  </w:footnote>
  <w:footnote w:id="2312">
    <w:p>
      <w:pPr>
        <w:pStyle w:val="FootnoteText"/>
      </w:pPr>
      <w:r>
        <w:rPr>
          <w:rStyle w:val="FootnoteReference"/>
        </w:rPr>
        <w:footnoteRef/>
      </w:r>
      <w:r>
        <w:rPr>
          <w:i/>
          <w:iCs/>
        </w:rPr>
        <w:t xml:space="preserve">12.21r</w:t>
      </w:r>
      <w:r>
        <w:t xml:space="preserve">.</w:t>
      </w:r>
    </w:p>
  </w:footnote>
  <w:footnote w:id="2313">
    <w:p>
      <w:pPr>
        <w:pStyle w:val="FootnoteText"/>
      </w:pPr>
      <w:r>
        <w:rPr>
          <w:rStyle w:val="FootnoteReference"/>
        </w:rPr>
        <w:footnoteRef/>
      </w:r>
      <w:r>
        <w:rPr>
          <w:i/>
          <w:iCs/>
        </w:rPr>
        <w:t xml:space="preserve">12.21v</w:t>
      </w:r>
      <w:r>
        <w:t xml:space="preserve">.</w:t>
      </w:r>
    </w:p>
  </w:footnote>
  <w:footnote w:id="2314">
    <w:p>
      <w:pPr>
        <w:pStyle w:val="FootnoteText"/>
      </w:pPr>
      <w:r>
        <w:rPr>
          <w:rStyle w:val="FootnoteReference"/>
        </w:rPr>
        <w:footnoteRef/>
      </w:r>
      <w:r>
        <w:t xml:space="preserve">See 1 Corinthians 15:25–26.</w:t>
      </w:r>
    </w:p>
  </w:footnote>
  <w:footnote w:id="2315">
    <w:p>
      <w:pPr>
        <w:pStyle w:val="FootnoteText"/>
      </w:pPr>
      <w:r>
        <w:rPr>
          <w:rStyle w:val="FootnoteReference"/>
        </w:rPr>
        <w:footnoteRef/>
      </w:r>
      <w:r>
        <w:t xml:space="preserve">The language is from Hebrews 12:2.</w:t>
      </w:r>
    </w:p>
  </w:footnote>
  <w:footnote w:id="2316">
    <w:p>
      <w:pPr>
        <w:pStyle w:val="FootnoteText"/>
      </w:pPr>
      <w:r>
        <w:rPr>
          <w:rStyle w:val="FootnoteReference"/>
        </w:rPr>
        <w:footnoteRef/>
      </w:r>
      <w:r>
        <w:rPr>
          <w:i/>
          <w:iCs/>
        </w:rPr>
        <w:t xml:space="preserve">12.22r</w:t>
      </w:r>
      <w:r>
        <w:t xml:space="preserve">.</w:t>
      </w:r>
    </w:p>
  </w:footnote>
  <w:footnote w:id="2317">
    <w:p>
      <w:pPr>
        <w:pStyle w:val="FootnoteText"/>
      </w:pPr>
      <w:r>
        <w:rPr>
          <w:rStyle w:val="FootnoteReference"/>
        </w:rPr>
        <w:footnoteRef/>
      </w:r>
      <w:r>
        <w:t xml:space="preserve">This echoes John 17:1, John 17:4–5.</w:t>
      </w:r>
    </w:p>
  </w:footnote>
  <w:footnote w:id="2318">
    <w:p>
      <w:pPr>
        <w:pStyle w:val="FootnoteText"/>
      </w:pPr>
      <w:r>
        <w:rPr>
          <w:rStyle w:val="FootnoteReference"/>
        </w:rPr>
        <w:footnoteRef/>
      </w:r>
      <w:r>
        <w:t xml:space="preserve">Revelation 19:1–3.</w:t>
      </w:r>
    </w:p>
  </w:footnote>
  <w:footnote w:id="2319">
    <w:p>
      <w:pPr>
        <w:pStyle w:val="FootnoteText"/>
      </w:pPr>
      <w:r>
        <w:rPr>
          <w:rStyle w:val="FootnoteReference"/>
        </w:rPr>
        <w:footnoteRef/>
      </w:r>
      <w:r>
        <w:rPr>
          <w:i/>
          <w:iCs/>
        </w:rPr>
        <w:t xml:space="preserve">12.22v</w:t>
      </w:r>
      <w:r>
        <w:t xml:space="preserve">. Revelation 19:6.</w:t>
      </w:r>
    </w:p>
  </w:footnote>
  <w:footnote w:id="2320">
    <w:p>
      <w:pPr>
        <w:pStyle w:val="FootnoteText"/>
      </w:pPr>
      <w:r>
        <w:rPr>
          <w:rStyle w:val="FootnoteReference"/>
        </w:rPr>
        <w:footnoteRef/>
      </w:r>
      <w:r>
        <w:t xml:space="preserve">JE paraphrases slightly.</w:t>
      </w:r>
    </w:p>
  </w:footnote>
  <w:footnote w:id="2321">
    <w:p>
      <w:pPr>
        <w:pStyle w:val="FootnoteText"/>
      </w:pPr>
      <w:r>
        <w:rPr>
          <w:rStyle w:val="FootnoteReference"/>
        </w:rPr>
        <w:footnoteRef/>
      </w:r>
      <w:r>
        <w:rPr>
          <w:i/>
          <w:iCs/>
        </w:rPr>
        <w:t xml:space="preserve">12.23r</w:t>
      </w:r>
      <w:r>
        <w:t xml:space="preserve">.</w:t>
      </w:r>
    </w:p>
  </w:footnote>
  <w:footnote w:id="2322">
    <w:p>
      <w:pPr>
        <w:pStyle w:val="FootnoteText"/>
      </w:pPr>
      <w:r>
        <w:rPr>
          <w:rStyle w:val="FootnoteReference"/>
        </w:rPr>
        <w:footnoteRef/>
      </w:r>
      <w:r>
        <w:rPr>
          <w:i/>
          <w:iCs/>
        </w:rPr>
        <w:t xml:space="preserve">I</w:t>
      </w:r>
      <w:r>
        <w:t xml:space="preserve">.</w:t>
      </w:r>
    </w:p>
  </w:footnote>
  <w:footnote w:id="2323">
    <w:p>
      <w:pPr>
        <w:pStyle w:val="FootnoteText"/>
      </w:pPr>
      <w:r>
        <w:rPr>
          <w:rStyle w:val="FootnoteReference"/>
        </w:rPr>
        <w:footnoteRef/>
      </w:r>
      <w:r>
        <w:rPr>
          <w:i/>
          <w:iCs/>
        </w:rPr>
        <w:t xml:space="preserve">12.23v</w:t>
      </w:r>
      <w:r>
        <w:t xml:space="preserve">.</w:t>
      </w:r>
    </w:p>
  </w:footnote>
  <w:footnote w:id="2324">
    <w:p>
      <w:pPr>
        <w:pStyle w:val="FootnoteText"/>
      </w:pPr>
      <w:r>
        <w:rPr>
          <w:rStyle w:val="FootnoteReference"/>
        </w:rPr>
        <w:footnoteRef/>
      </w:r>
      <w:r>
        <w:rPr>
          <w:i/>
          <w:iCs/>
        </w:rPr>
        <w:t xml:space="preserve">First</w:t>
      </w:r>
      <w:r>
        <w:t xml:space="preserve">.</w:t>
      </w:r>
    </w:p>
  </w:footnote>
  <w:footnote w:id="2325">
    <w:p>
      <w:pPr>
        <w:pStyle w:val="FootnoteText"/>
      </w:pPr>
      <w:r>
        <w:rPr>
          <w:rStyle w:val="FootnoteReference"/>
        </w:rPr>
        <w:footnoteRef/>
      </w:r>
      <w:r>
        <w:rPr>
          <w:i/>
          <w:iCs/>
        </w:rPr>
        <w:t xml:space="preserve">12.24r</w:t>
      </w:r>
      <w:r>
        <w:t xml:space="preserve">.</w:t>
      </w:r>
    </w:p>
  </w:footnote>
  <w:footnote w:id="2326">
    <w:p>
      <w:pPr>
        <w:pStyle w:val="FootnoteText"/>
      </w:pPr>
      <w:r>
        <w:rPr>
          <w:rStyle w:val="FootnoteReference"/>
        </w:rPr>
        <w:footnoteRef/>
      </w:r>
      <w:r>
        <w:t xml:space="preserve">JE indicates intent to supply phrases in this and the immediately succeeding sentences.</w:t>
      </w:r>
    </w:p>
  </w:footnote>
  <w:footnote w:id="2327">
    <w:p>
      <w:pPr>
        <w:pStyle w:val="FootnoteText"/>
      </w:pPr>
      <w:r>
        <w:rPr>
          <w:rStyle w:val="FootnoteReference"/>
        </w:rPr>
        <w:footnoteRef/>
      </w:r>
      <w:r>
        <w:rPr>
          <w:i/>
          <w:iCs/>
        </w:rPr>
        <w:t xml:space="preserve">12.24v</w:t>
      </w:r>
      <w:r>
        <w:t xml:space="preserve">.</w:t>
      </w:r>
    </w:p>
  </w:footnote>
  <w:footnote w:id="2328">
    <w:p>
      <w:pPr>
        <w:pStyle w:val="FootnoteText"/>
      </w:pPr>
      <w:r>
        <w:rPr>
          <w:rStyle w:val="FootnoteReference"/>
        </w:rPr>
        <w:footnoteRef/>
      </w:r>
      <w:r>
        <w:rPr>
          <w:i/>
          <w:iCs/>
        </w:rPr>
        <w:t xml:space="preserve">Second</w:t>
      </w:r>
      <w:r>
        <w:t xml:space="preserve">.</w:t>
      </w:r>
    </w:p>
  </w:footnote>
  <w:footnote w:id="2329">
    <w:p>
      <w:pPr>
        <w:pStyle w:val="FootnoteText"/>
      </w:pPr>
      <w:r>
        <w:rPr>
          <w:rStyle w:val="FootnoteReference"/>
        </w:rPr>
        <w:footnoteRef/>
      </w:r>
      <w:r>
        <w:rPr>
          <w:i/>
          <w:iCs/>
        </w:rPr>
        <w:t xml:space="preserve">12.25r</w:t>
      </w:r>
      <w:r>
        <w:t xml:space="preserve">.</w:t>
      </w:r>
    </w:p>
  </w:footnote>
  <w:footnote w:id="2330">
    <w:p>
      <w:pPr>
        <w:pStyle w:val="FootnoteText"/>
      </w:pPr>
      <w:r>
        <w:rPr>
          <w:rStyle w:val="FootnoteReference"/>
        </w:rPr>
        <w:footnoteRef/>
      </w:r>
      <w:r>
        <w:t xml:space="preserve">Editorial additions have been made in brackets.</w:t>
      </w:r>
    </w:p>
  </w:footnote>
  <w:footnote w:id="2331">
    <w:p>
      <w:pPr>
        <w:pStyle w:val="FootnoteText"/>
      </w:pPr>
      <w:r>
        <w:rPr>
          <w:rStyle w:val="FootnoteReference"/>
        </w:rPr>
        <w:footnoteRef/>
      </w:r>
      <w:r>
        <w:rPr>
          <w:i/>
          <w:iCs/>
        </w:rPr>
        <w:t xml:space="preserve">12.25v</w:t>
      </w:r>
      <w:r>
        <w:t xml:space="preserve">.</w:t>
      </w:r>
    </w:p>
  </w:footnote>
  <w:footnote w:id="2332">
    <w:p>
      <w:pPr>
        <w:pStyle w:val="FootnoteText"/>
      </w:pPr>
      <w:r>
        <w:rPr>
          <w:rStyle w:val="FootnoteReference"/>
        </w:rPr>
        <w:footnoteRef/>
      </w:r>
      <w:r>
        <w:rPr>
          <w:i/>
          <w:iCs/>
        </w:rPr>
        <w:t xml:space="preserve">Third</w:t>
      </w:r>
      <w:r>
        <w:t xml:space="preserve">.</w:t>
      </w:r>
    </w:p>
  </w:footnote>
  <w:footnote w:id="2333">
    <w:p>
      <w:pPr>
        <w:pStyle w:val="FootnoteText"/>
      </w:pPr>
      <w:r>
        <w:rPr>
          <w:rStyle w:val="FootnoteReference"/>
        </w:rPr>
        <w:footnoteRef/>
      </w:r>
      <w:r>
        <w:rPr>
          <w:i/>
          <w:iCs/>
        </w:rPr>
        <w:t xml:space="preserve">12.26r</w:t>
      </w:r>
      <w:r>
        <w:t xml:space="preserve">.</w:t>
      </w:r>
    </w:p>
  </w:footnote>
  <w:footnote w:id="2334">
    <w:p>
      <w:pPr>
        <w:pStyle w:val="FootnoteText"/>
      </w:pPr>
      <w:r>
        <w:rPr>
          <w:rStyle w:val="FootnoteReference"/>
        </w:rPr>
        <w:footnoteRef/>
      </w:r>
      <w:r>
        <w:t xml:space="preserve">JE deleted the following two-line interlineation: "God's work of providence is but one, as well as the work of creation."</w:t>
      </w:r>
    </w:p>
  </w:footnote>
  <w:footnote w:id="2335">
    <w:p>
      <w:pPr>
        <w:pStyle w:val="FootnoteText"/>
      </w:pPr>
      <w:r>
        <w:rPr>
          <w:rStyle w:val="FootnoteReference"/>
        </w:rPr>
        <w:footnoteRef/>
      </w:r>
      <w:r>
        <w:rPr>
          <w:i/>
          <w:iCs/>
        </w:rPr>
        <w:t xml:space="preserve">12.26v</w:t>
      </w:r>
      <w:r>
        <w:t xml:space="preserve">.</w:t>
      </w:r>
    </w:p>
  </w:footnote>
  <w:footnote w:id="2336">
    <w:p>
      <w:pPr>
        <w:pStyle w:val="FootnoteText"/>
      </w:pPr>
      <w:r>
        <w:rPr>
          <w:rStyle w:val="FootnoteReference"/>
        </w:rPr>
        <w:footnoteRef/>
      </w:r>
      <w:r>
        <w:t xml:space="preserve">JE sketches in this passage without fully developing his phrasing. It rests on his contrast between the new creation and the old, and expresses in images his belief that the one supersedes the other.</w:t>
      </w:r>
    </w:p>
  </w:footnote>
  <w:footnote w:id="2337">
    <w:p>
      <w:pPr>
        <w:pStyle w:val="FootnoteText"/>
      </w:pPr>
      <w:r>
        <w:rPr>
          <w:rStyle w:val="FootnoteReference"/>
        </w:rPr>
        <w:footnoteRef/>
      </w:r>
      <w:r>
        <w:t xml:space="preserve">Probable reading.</w:t>
      </w:r>
    </w:p>
  </w:footnote>
  <w:footnote w:id="2338">
    <w:p>
      <w:pPr>
        <w:pStyle w:val="FootnoteText"/>
      </w:pPr>
      <w:r>
        <w:rPr>
          <w:rStyle w:val="FootnoteReference"/>
        </w:rPr>
        <w:footnoteRef/>
      </w:r>
      <w:r>
        <w:t xml:space="preserve">This echoes Romans 8:22.</w:t>
      </w:r>
    </w:p>
  </w:footnote>
  <w:footnote w:id="2339">
    <w:p>
      <w:pPr>
        <w:pStyle w:val="FootnoteText"/>
      </w:pPr>
      <w:r>
        <w:rPr>
          <w:rStyle w:val="FootnoteReference"/>
        </w:rPr>
        <w:footnoteRef/>
      </w:r>
      <w:r>
        <w:t xml:space="preserve">There is a character at this point that may be JE's symbol for "world" or "worldly."</w:t>
      </w:r>
    </w:p>
  </w:footnote>
  <w:footnote w:id="2340">
    <w:p>
      <w:pPr>
        <w:pStyle w:val="FootnoteText"/>
      </w:pPr>
      <w:r>
        <w:rPr>
          <w:rStyle w:val="FootnoteReference"/>
        </w:rPr>
        <w:footnoteRef/>
      </w:r>
      <w:r>
        <w:rPr>
          <w:i/>
          <w:iCs/>
        </w:rPr>
        <w:t xml:space="preserve">12.27r</w:t>
      </w:r>
      <w:r>
        <w:t xml:space="preserve">.</w:t>
      </w:r>
    </w:p>
  </w:footnote>
  <w:footnote w:id="2341">
    <w:p>
      <w:pPr>
        <w:pStyle w:val="FootnoteText"/>
      </w:pPr>
      <w:r>
        <w:rPr>
          <w:rStyle w:val="FootnoteReference"/>
        </w:rPr>
        <w:footnoteRef/>
      </w:r>
      <w:r>
        <w:t xml:space="preserve">An allusion to 1 Peter 1:12.</w:t>
      </w:r>
    </w:p>
  </w:footnote>
  <w:footnote w:id="2342">
    <w:p>
      <w:pPr>
        <w:pStyle w:val="FootnoteText"/>
      </w:pPr>
      <w:r>
        <w:rPr>
          <w:rStyle w:val="FootnoteReference"/>
        </w:rPr>
        <w:footnoteRef/>
      </w:r>
      <w:r>
        <w:rPr>
          <w:i/>
          <w:iCs/>
        </w:rPr>
        <w:t xml:space="preserve">12.27v</w:t>
      </w:r>
      <w:r>
        <w:t xml:space="preserve">.</w:t>
      </w:r>
    </w:p>
  </w:footnote>
  <w:footnote w:id="2343">
    <w:p>
      <w:pPr>
        <w:pStyle w:val="FootnoteText"/>
      </w:pPr>
      <w:r>
        <w:rPr>
          <w:rStyle w:val="FootnoteReference"/>
        </w:rPr>
        <w:footnoteRef/>
      </w:r>
      <w:r>
        <w:t xml:space="preserve">This sermon contains no indication of when it was intended to be preached or the circumstances of its delivery.</w:t>
      </w:r>
    </w:p>
  </w:footnote>
  <w:footnote w:id="2344">
    <w:p>
      <w:pPr>
        <w:pStyle w:val="FootnoteText"/>
      </w:pPr>
      <w:r>
        <w:rPr>
          <w:rStyle w:val="FootnoteReference"/>
        </w:rPr>
        <w:footnoteRef/>
      </w:r>
      <w:r>
        <w:rPr>
          <w:i/>
          <w:iCs/>
        </w:rPr>
        <w:t xml:space="preserve">II</w:t>
      </w:r>
      <w:r>
        <w:t xml:space="preserve">.</w:t>
      </w:r>
    </w:p>
  </w:footnote>
  <w:footnote w:id="2345">
    <w:p>
      <w:pPr>
        <w:pStyle w:val="FootnoteText"/>
      </w:pPr>
      <w:r>
        <w:rPr>
          <w:rStyle w:val="FootnoteReference"/>
        </w:rPr>
        <w:footnoteRef/>
      </w:r>
      <w:r>
        <w:t xml:space="preserve">Revelation 1:8.</w:t>
      </w:r>
    </w:p>
  </w:footnote>
  <w:footnote w:id="2346">
    <w:p>
      <w:pPr>
        <w:pStyle w:val="FootnoteText"/>
      </w:pPr>
      <w:r>
        <w:rPr>
          <w:rStyle w:val="FootnoteReference"/>
        </w:rPr>
        <w:footnoteRef/>
      </w:r>
      <w:r>
        <w:rPr>
          <w:i/>
          <w:iCs/>
        </w:rPr>
        <w:t xml:space="preserve">12.28r</w:t>
      </w:r>
      <w:r>
        <w:t xml:space="preserve">.</w:t>
      </w:r>
    </w:p>
  </w:footnote>
  <w:footnote w:id="2347">
    <w:p>
      <w:pPr>
        <w:pStyle w:val="FootnoteText"/>
      </w:pPr>
      <w:r>
        <w:rPr>
          <w:rStyle w:val="FootnoteReference"/>
        </w:rPr>
        <w:footnoteRef/>
      </w:r>
      <w:r>
        <w:t xml:space="preserve">JE slightly abridges verse.</w:t>
      </w:r>
    </w:p>
  </w:footnote>
  <w:footnote w:id="2348">
    <w:p>
      <w:pPr>
        <w:pStyle w:val="FootnoteText"/>
      </w:pPr>
      <w:r>
        <w:rPr>
          <w:rStyle w:val="FootnoteReference"/>
        </w:rPr>
        <w:footnoteRef/>
      </w:r>
      <w:r>
        <w:rPr>
          <w:i/>
          <w:iCs/>
        </w:rPr>
        <w:t xml:space="preserve">12.28v</w:t>
      </w:r>
      <w:r>
        <w:t xml:space="preserve">.</w:t>
      </w:r>
    </w:p>
  </w:footnote>
  <w:footnote w:id="2349">
    <w:p>
      <w:pPr>
        <w:pStyle w:val="FootnoteText"/>
      </w:pPr>
      <w:r>
        <w:rPr>
          <w:rStyle w:val="FootnoteReference"/>
        </w:rPr>
        <w:footnoteRef/>
      </w:r>
      <w:r>
        <w:t xml:space="preserve">JE deleted the following with a single vertical line: "And so what we have heard shows us how Christ, the glorious Son of God, in all things has the [illegible; possibly 'preeminence']." [See Colossians 1:18.]</w:t>
      </w:r>
    </w:p>
  </w:footnote>
  <w:footnote w:id="2350">
    <w:p>
      <w:pPr>
        <w:pStyle w:val="FootnoteText"/>
      </w:pPr>
      <w:r>
        <w:rPr>
          <w:rStyle w:val="FootnoteReference"/>
        </w:rPr>
        <w:footnoteRef/>
      </w:r>
      <w:r>
        <w:rPr>
          <w:i/>
          <w:iCs/>
        </w:rPr>
        <w:t xml:space="preserve">12.29r</w:t>
      </w:r>
      <w:r>
        <w:t xml:space="preserve">.</w:t>
      </w:r>
    </w:p>
  </w:footnote>
  <w:footnote w:id="2351">
    <w:p>
      <w:pPr>
        <w:pStyle w:val="FootnoteText"/>
      </w:pPr>
      <w:r>
        <w:rPr>
          <w:rStyle w:val="FootnoteReference"/>
        </w:rPr>
        <w:footnoteRef/>
      </w:r>
      <w:r>
        <w:t xml:space="preserve">A paraphrase of Revelation 4:8.</w:t>
      </w:r>
    </w:p>
  </w:footnote>
  <w:footnote w:id="2352">
    <w:p>
      <w:pPr>
        <w:pStyle w:val="FootnoteText"/>
      </w:pPr>
      <w:r>
        <w:rPr>
          <w:rStyle w:val="FootnoteReference"/>
        </w:rPr>
        <w:footnoteRef/>
      </w:r>
      <w:r>
        <w:rPr>
          <w:i/>
          <w:iCs/>
        </w:rPr>
        <w:t xml:space="preserve">12.29v</w:t>
      </w:r>
      <w:r>
        <w:t xml:space="preserve">.</w:t>
      </w:r>
    </w:p>
  </w:footnote>
  <w:footnote w:id="2353">
    <w:p>
      <w:pPr>
        <w:pStyle w:val="FootnoteText"/>
      </w:pPr>
      <w:r>
        <w:rPr>
          <w:rStyle w:val="FootnoteReference"/>
        </w:rPr>
        <w:footnoteRef/>
      </w:r>
      <w:r>
        <w:t xml:space="preserve">This echoes Daniel 7:14 and Psalms 145:13.</w:t>
      </w:r>
    </w:p>
  </w:footnote>
  <w:footnote w:id="2354">
    <w:p>
      <w:pPr>
        <w:pStyle w:val="FootnoteText"/>
      </w:pPr>
      <w:r>
        <w:rPr>
          <w:rStyle w:val="FootnoteReference"/>
        </w:rPr>
        <w:footnoteRef/>
      </w:r>
      <w:r>
        <w:t xml:space="preserve">Hebrews 13:8.</w:t>
      </w:r>
    </w:p>
  </w:footnote>
  <w:footnote w:id="2355">
    <w:p>
      <w:pPr>
        <w:pStyle w:val="FootnoteText"/>
      </w:pPr>
      <w:r>
        <w:rPr>
          <w:rStyle w:val="FootnoteReference"/>
        </w:rPr>
        <w:footnoteRef/>
      </w:r>
      <w:r>
        <w:t xml:space="preserve">Ezekiel 1:15–20; Ezekiel 10:8–17.</w:t>
      </w:r>
    </w:p>
  </w:footnote>
  <w:footnote w:id="2356">
    <w:p>
      <w:pPr>
        <w:pStyle w:val="FootnoteText"/>
      </w:pPr>
      <w:r>
        <w:rPr>
          <w:rStyle w:val="FootnoteReference"/>
        </w:rPr>
        <w:footnoteRef/>
      </w:r>
      <w:r>
        <w:rPr>
          <w:i/>
          <w:iCs/>
        </w:rPr>
        <w:t xml:space="preserve">12.30r</w:t>
      </w:r>
      <w:r>
        <w:t xml:space="preserve">.</w:t>
      </w:r>
    </w:p>
  </w:footnote>
  <w:footnote w:id="2357">
    <w:p>
      <w:pPr>
        <w:pStyle w:val="FootnoteText"/>
      </w:pPr>
      <w:r>
        <w:rPr>
          <w:rStyle w:val="FootnoteReference"/>
        </w:rPr>
        <w:footnoteRef/>
      </w:r>
      <w:r>
        <w:rPr>
          <w:i/>
          <w:iCs/>
        </w:rPr>
        <w:t xml:space="preserve">III</w:t>
      </w:r>
      <w:r>
        <w:t xml:space="preserve">.</w:t>
      </w:r>
    </w:p>
  </w:footnote>
  <w:footnote w:id="2358">
    <w:p>
      <w:pPr>
        <w:pStyle w:val="FootnoteText"/>
      </w:pPr>
      <w:r>
        <w:rPr>
          <w:rStyle w:val="FootnoteReference"/>
        </w:rPr>
        <w:footnoteRef/>
      </w:r>
      <w:r>
        <w:t xml:space="preserve">This language is taken from Ephesians 4:6.</w:t>
      </w:r>
    </w:p>
  </w:footnote>
  <w:footnote w:id="2359">
    <w:p>
      <w:pPr>
        <w:pStyle w:val="FootnoteText"/>
      </w:pPr>
      <w:r>
        <w:rPr>
          <w:rStyle w:val="FootnoteReference"/>
        </w:rPr>
        <w:footnoteRef/>
      </w:r>
      <w:r>
        <w:rPr>
          <w:i/>
          <w:iCs/>
        </w:rPr>
        <w:t xml:space="preserve">12.30v</w:t>
      </w:r>
      <w:r>
        <w:t xml:space="preserve">. Leaf breaks at "Colossians 1:15–."</w:t>
      </w:r>
    </w:p>
  </w:footnote>
  <w:footnote w:id="2360">
    <w:p>
      <w:pPr>
        <w:pStyle w:val="FootnoteText"/>
      </w:pPr>
      <w:r>
        <w:rPr>
          <w:rStyle w:val="FootnoteReference"/>
        </w:rPr>
        <w:footnoteRef/>
      </w:r>
      <w:r>
        <w:t xml:space="preserve">JE deleted the following with a single vertical line: "much more glorious Christ is than the kings of the earth, how much greater honor God puts on him than on any of them."</w:t>
      </w:r>
    </w:p>
  </w:footnote>
  <w:footnote w:id="2361">
    <w:p>
      <w:pPr>
        <w:pStyle w:val="FootnoteText"/>
      </w:pPr>
      <w:r>
        <w:rPr>
          <w:rStyle w:val="FootnoteReference"/>
        </w:rPr>
        <w:footnoteRef/>
      </w:r>
      <w:r>
        <w:t xml:space="preserve">This echoes Psalms 110:1; Matthew 22:44; 1 Corinthians 15:25; and Hebrews 1:8.</w:t>
      </w:r>
    </w:p>
  </w:footnote>
  <w:footnote w:id="2362">
    <w:p>
      <w:pPr>
        <w:pStyle w:val="FootnoteText"/>
      </w:pPr>
      <w:r>
        <w:rPr>
          <w:rStyle w:val="FootnoteReference"/>
        </w:rPr>
        <w:footnoteRef/>
      </w:r>
      <w:r>
        <w:t xml:space="preserve">This echoes Hebrews 1:4.</w:t>
      </w:r>
    </w:p>
  </w:footnote>
  <w:footnote w:id="2363">
    <w:p>
      <w:pPr>
        <w:pStyle w:val="FootnoteText"/>
      </w:pPr>
      <w:r>
        <w:rPr>
          <w:rStyle w:val="FootnoteReference"/>
        </w:rPr>
        <w:footnoteRef/>
      </w:r>
      <w:r>
        <w:rPr>
          <w:i/>
          <w:iCs/>
        </w:rPr>
        <w:t xml:space="preserve">12.31r</w:t>
      </w:r>
      <w:r>
        <w:t xml:space="preserve">.</w:t>
      </w:r>
    </w:p>
  </w:footnote>
  <w:footnote w:id="2364">
    <w:p>
      <w:pPr>
        <w:pStyle w:val="FootnoteText"/>
      </w:pPr>
      <w:r>
        <w:rPr>
          <w:rStyle w:val="FootnoteReference"/>
        </w:rPr>
        <w:footnoteRef/>
      </w:r>
      <w:r>
        <w:rPr>
          <w:i/>
          <w:iCs/>
        </w:rPr>
        <w:t xml:space="preserve">IV</w:t>
      </w:r>
      <w:r>
        <w:t xml:space="preserve">.</w:t>
      </w:r>
    </w:p>
  </w:footnote>
  <w:footnote w:id="2365">
    <w:p>
      <w:pPr>
        <w:pStyle w:val="FootnoteText"/>
      </w:pPr>
      <w:r>
        <w:rPr>
          <w:rStyle w:val="FootnoteReference"/>
        </w:rPr>
        <w:footnoteRef/>
      </w:r>
      <w:r>
        <w:rPr>
          <w:i/>
          <w:iCs/>
        </w:rPr>
        <w:t xml:space="preserve">12.31v</w:t>
      </w:r>
      <w:r>
        <w:t xml:space="preserve">.</w:t>
      </w:r>
    </w:p>
  </w:footnote>
  <w:footnote w:id="2366">
    <w:p>
      <w:pPr>
        <w:pStyle w:val="FootnoteText"/>
      </w:pPr>
      <w:r>
        <w:rPr>
          <w:rStyle w:val="FootnoteReference"/>
        </w:rPr>
        <w:footnoteRef/>
      </w:r>
      <w:r>
        <w:t xml:space="preserve">Ezekiel 1:18, Ezekiel 1:20.</w:t>
      </w:r>
    </w:p>
  </w:footnote>
  <w:footnote w:id="2367">
    <w:p>
      <w:pPr>
        <w:pStyle w:val="FootnoteText"/>
      </w:pPr>
      <w:r>
        <w:rPr>
          <w:rStyle w:val="FootnoteReference"/>
        </w:rPr>
        <w:footnoteRef/>
      </w:r>
      <w:r>
        <w:rPr>
          <w:i/>
          <w:iCs/>
        </w:rPr>
        <w:t xml:space="preserve">12.32r</w:t>
      </w:r>
      <w:r>
        <w:t xml:space="preserve">.</w:t>
      </w:r>
    </w:p>
  </w:footnote>
  <w:footnote w:id="2368">
    <w:p>
      <w:pPr>
        <w:pStyle w:val="FootnoteText"/>
      </w:pPr>
      <w:r>
        <w:rPr>
          <w:rStyle w:val="FootnoteReference"/>
        </w:rPr>
        <w:footnoteRef/>
      </w:r>
      <w:r>
        <w:rPr>
          <w:i/>
          <w:iCs/>
        </w:rPr>
        <w:t xml:space="preserve">12.32v</w:t>
      </w:r>
      <w:r>
        <w:t xml:space="preserve">.</w:t>
      </w:r>
    </w:p>
  </w:footnote>
  <w:footnote w:id="2369">
    <w:p>
      <w:pPr>
        <w:pStyle w:val="FootnoteText"/>
      </w:pPr>
      <w:r>
        <w:rPr>
          <w:rStyle w:val="FootnoteReference"/>
        </w:rPr>
        <w:footnoteRef/>
      </w:r>
      <w:r>
        <w:rPr>
          <w:i/>
          <w:iCs/>
        </w:rPr>
        <w:t xml:space="preserve">V</w:t>
      </w:r>
      <w:r>
        <w:t xml:space="preserve">.</w:t>
      </w:r>
    </w:p>
  </w:footnote>
  <w:footnote w:id="2370">
    <w:p>
      <w:pPr>
        <w:pStyle w:val="FootnoteText"/>
      </w:pPr>
      <w:r>
        <w:rPr>
          <w:rStyle w:val="FootnoteReference"/>
        </w:rPr>
        <w:footnoteRef/>
      </w:r>
      <w:r>
        <w:rPr>
          <w:i/>
          <w:iCs/>
        </w:rPr>
        <w:t xml:space="preserve">12.33r</w:t>
      </w:r>
      <w:r>
        <w:t xml:space="preserve">.</w:t>
      </w:r>
    </w:p>
  </w:footnote>
  <w:footnote w:id="2371">
    <w:p>
      <w:pPr>
        <w:pStyle w:val="FootnoteText"/>
      </w:pPr>
      <w:r>
        <w:rPr>
          <w:rStyle w:val="FootnoteReference"/>
        </w:rPr>
        <w:footnoteRef/>
      </w:r>
      <w:r>
        <w:rPr>
          <w:i/>
          <w:iCs/>
        </w:rPr>
        <w:t xml:space="preserve">12.33v</w:t>
      </w:r>
      <w:r>
        <w:t xml:space="preserve">.</w:t>
      </w:r>
    </w:p>
  </w:footnote>
  <w:footnote w:id="2372">
    <w:p>
      <w:pPr>
        <w:pStyle w:val="FootnoteText"/>
      </w:pPr>
      <w:r>
        <w:rPr>
          <w:rStyle w:val="FootnoteReference"/>
        </w:rPr>
        <w:footnoteRef/>
      </w:r>
      <w:r>
        <w:t xml:space="preserve">JE paraphrases slightly.</w:t>
      </w:r>
    </w:p>
  </w:footnote>
  <w:footnote w:id="2373">
    <w:p>
      <w:pPr>
        <w:pStyle w:val="FootnoteText"/>
      </w:pPr>
      <w:r>
        <w:rPr>
          <w:rStyle w:val="FootnoteReference"/>
        </w:rPr>
        <w:footnoteRef/>
      </w:r>
      <w:r>
        <w:rPr>
          <w:i/>
          <w:iCs/>
        </w:rPr>
        <w:t xml:space="preserve">12.34r</w:t>
      </w:r>
      <w:r>
        <w:t xml:space="preserve">.</w:t>
      </w:r>
    </w:p>
  </w:footnote>
  <w:footnote w:id="2374">
    <w:p>
      <w:pPr>
        <w:pStyle w:val="FootnoteText"/>
      </w:pPr>
      <w:r>
        <w:rPr>
          <w:rStyle w:val="FootnoteReference"/>
        </w:rPr>
        <w:footnoteRef/>
      </w:r>
      <w:r>
        <w:rPr>
          <w:i/>
          <w:iCs/>
        </w:rPr>
        <w:t xml:space="preserve">12.34v</w:t>
      </w:r>
      <w:r>
        <w:t xml:space="preserve">.</w:t>
      </w:r>
    </w:p>
  </w:footnote>
  <w:footnote w:id="2375">
    <w:p>
      <w:pPr>
        <w:pStyle w:val="FootnoteText"/>
      </w:pPr>
      <w:r>
        <w:rPr>
          <w:rStyle w:val="FootnoteReference"/>
        </w:rPr>
        <w:footnoteRef/>
      </w:r>
      <w:r>
        <w:t xml:space="preserve">Uncertain reading.</w:t>
      </w:r>
    </w:p>
  </w:footnote>
  <w:footnote w:id="2376">
    <w:p>
      <w:pPr>
        <w:pStyle w:val="FootnoteText"/>
      </w:pPr>
      <w:r>
        <w:rPr>
          <w:rStyle w:val="FootnoteReference"/>
        </w:rPr>
        <w:footnoteRef/>
      </w:r>
      <w:r>
        <w:rPr>
          <w:i/>
          <w:iCs/>
        </w:rPr>
        <w:t xml:space="preserve">12.35r</w:t>
      </w:r>
      <w:r>
        <w:t xml:space="preserve">.</w:t>
      </w:r>
    </w:p>
  </w:footnote>
  <w:footnote w:id="2377">
    <w:p>
      <w:pPr>
        <w:pStyle w:val="FootnoteText"/>
      </w:pPr>
      <w:r>
        <w:rPr>
          <w:rStyle w:val="FootnoteReference"/>
        </w:rPr>
        <w:footnoteRef/>
      </w:r>
      <w:r>
        <w:t xml:space="preserve">JE's text requires this and the succeeding bracketed insertions.</w:t>
      </w:r>
    </w:p>
  </w:footnote>
  <w:footnote w:id="2378">
    <w:p>
      <w:pPr>
        <w:pStyle w:val="FootnoteText"/>
      </w:pPr>
      <w:r>
        <w:rPr>
          <w:rStyle w:val="FootnoteReference"/>
        </w:rPr>
        <w:footnoteRef/>
      </w:r>
      <w:r>
        <w:rPr>
          <w:i/>
          <w:iCs/>
        </w:rPr>
        <w:t xml:space="preserve">12.35v</w:t>
      </w:r>
      <w:r>
        <w:t xml:space="preserve">.</w:t>
      </w:r>
    </w:p>
  </w:footnote>
  <w:footnote w:id="2379">
    <w:p>
      <w:pPr>
        <w:pStyle w:val="FootnoteText"/>
      </w:pPr>
      <w:r>
        <w:rPr>
          <w:rStyle w:val="FootnoteReference"/>
        </w:rPr>
        <w:footnoteRef/>
      </w:r>
      <w:r>
        <w:rPr>
          <w:i/>
          <w:iCs/>
        </w:rPr>
        <w:t xml:space="preserve">VI</w:t>
      </w:r>
      <w:r>
        <w:t xml:space="preserve">.</w:t>
      </w:r>
    </w:p>
  </w:footnote>
  <w:footnote w:id="2380">
    <w:p>
      <w:pPr>
        <w:pStyle w:val="FootnoteText"/>
      </w:pPr>
      <w:r>
        <w:rPr>
          <w:rStyle w:val="FootnoteReference"/>
        </w:rPr>
        <w:footnoteRef/>
      </w:r>
      <w:r>
        <w:t xml:space="preserve">JE's text originally included "fire," but the word was deleted along with a phrase that followed.</w:t>
      </w:r>
    </w:p>
  </w:footnote>
  <w:footnote w:id="2381">
    <w:p>
      <w:pPr>
        <w:pStyle w:val="FootnoteText"/>
      </w:pPr>
      <w:r>
        <w:rPr>
          <w:rStyle w:val="FootnoteReference"/>
        </w:rPr>
        <w:footnoteRef/>
      </w:r>
      <w:r>
        <w:t xml:space="preserve">Uncertain reading; possibly "willing."</w:t>
      </w:r>
    </w:p>
  </w:footnote>
  <w:footnote w:id="2382">
    <w:p>
      <w:pPr>
        <w:pStyle w:val="FootnoteText"/>
      </w:pPr>
      <w:r>
        <w:rPr>
          <w:rStyle w:val="FootnoteReference"/>
        </w:rPr>
        <w:footnoteRef/>
      </w:r>
      <w:r>
        <w:t xml:space="preserve">A paraphrase of Psalms 91:13.</w:t>
      </w:r>
    </w:p>
  </w:footnote>
  <w:footnote w:id="2383">
    <w:p>
      <w:pPr>
        <w:pStyle w:val="FootnoteText"/>
      </w:pPr>
      <w:r>
        <w:rPr>
          <w:rStyle w:val="FootnoteReference"/>
        </w:rPr>
        <w:footnoteRef/>
      </w:r>
      <w:r>
        <w:t xml:space="preserve">This reflects Psalms 110:1; Matthew 22:44; and 1 Corinthians 15:25, among many other passages.</w:t>
      </w:r>
    </w:p>
  </w:footnote>
  <w:footnote w:id="2384">
    <w:p>
      <w:pPr>
        <w:pStyle w:val="FootnoteText"/>
      </w:pPr>
      <w:r>
        <w:rPr>
          <w:rStyle w:val="FootnoteReference"/>
        </w:rPr>
        <w:footnoteRef/>
      </w:r>
      <w:r>
        <w:rPr>
          <w:i/>
          <w:iCs/>
        </w:rPr>
        <w:t xml:space="preserve">12.36r</w:t>
      </w:r>
      <w:r>
        <w:t xml:space="preserve">.</w:t>
      </w:r>
    </w:p>
  </w:footnote>
  <w:footnote w:id="2385">
    <w:p>
      <w:pPr>
        <w:pStyle w:val="FootnoteText"/>
      </w:pPr>
      <w:r>
        <w:rPr>
          <w:rStyle w:val="FootnoteReference"/>
        </w:rPr>
        <w:footnoteRef/>
      </w:r>
      <w:r>
        <w:t xml:space="preserve">An allusion to Revelation 12:7–9.</w:t>
      </w:r>
    </w:p>
  </w:footnote>
  <w:footnote w:id="2386">
    <w:p>
      <w:pPr>
        <w:pStyle w:val="FootnoteText"/>
      </w:pPr>
      <w:r>
        <w:rPr>
          <w:rStyle w:val="FootnoteReference"/>
        </w:rPr>
        <w:footnoteRef/>
      </w:r>
      <w:r>
        <w:rPr>
          <w:i/>
          <w:iCs/>
        </w:rPr>
        <w:t xml:space="preserve">12.36v</w:t>
      </w:r>
      <w:r>
        <w:t xml:space="preserve">.</w:t>
      </w:r>
    </w:p>
  </w:footnote>
  <w:footnote w:id="2387">
    <w:p>
      <w:pPr>
        <w:pStyle w:val="FootnoteText"/>
      </w:pPr>
      <w:r>
        <w:rPr>
          <w:rStyle w:val="FootnoteReference"/>
        </w:rPr>
        <w:footnoteRef/>
      </w:r>
      <w:r>
        <w:rPr>
          <w:i/>
          <w:iCs/>
        </w:rPr>
        <w:t xml:space="preserve">12.37r</w:t>
      </w:r>
      <w:r>
        <w:t xml:space="preserve">.</w:t>
      </w:r>
    </w:p>
  </w:footnote>
  <w:footnote w:id="2388">
    <w:p>
      <w:pPr>
        <w:pStyle w:val="FootnoteText"/>
      </w:pPr>
      <w:r>
        <w:rPr>
          <w:rStyle w:val="FootnoteReference"/>
        </w:rPr>
        <w:footnoteRef/>
      </w:r>
      <w:r>
        <w:t xml:space="preserve">This echoes Hosea 13:3.</w:t>
      </w:r>
    </w:p>
  </w:footnote>
  <w:footnote w:id="2389">
    <w:p>
      <w:pPr>
        <w:pStyle w:val="FootnoteText"/>
      </w:pPr>
      <w:r>
        <w:rPr>
          <w:rStyle w:val="FootnoteReference"/>
        </w:rPr>
        <w:footnoteRef/>
      </w:r>
      <w:r>
        <w:rPr>
          <w:i/>
          <w:iCs/>
        </w:rPr>
        <w:t xml:space="preserve">12.37v</w:t>
      </w:r>
      <w:r>
        <w:t xml:space="preserve">.</w:t>
      </w:r>
    </w:p>
  </w:footnote>
  <w:footnote w:id="2390">
    <w:p>
      <w:pPr>
        <w:pStyle w:val="FootnoteText"/>
      </w:pPr>
      <w:r>
        <w:rPr>
          <w:rStyle w:val="FootnoteReference"/>
        </w:rPr>
        <w:footnoteRef/>
      </w:r>
      <w:r>
        <w:rPr>
          <w:i/>
          <w:iCs/>
        </w:rPr>
        <w:t xml:space="preserve">VII</w:t>
      </w:r>
      <w:r>
        <w:t xml:space="preserve">.</w:t>
      </w:r>
    </w:p>
  </w:footnote>
  <w:footnote w:id="2391">
    <w:p>
      <w:pPr>
        <w:pStyle w:val="FootnoteText"/>
      </w:pPr>
      <w:r>
        <w:rPr>
          <w:rStyle w:val="FootnoteReference"/>
        </w:rPr>
        <w:footnoteRef/>
      </w:r>
      <w:r>
        <w:rPr>
          <w:i/>
          <w:iCs/>
        </w:rPr>
        <w:t xml:space="preserve">12.38r</w:t>
      </w:r>
      <w:r>
        <w:t xml:space="preserve">.</w:t>
      </w:r>
    </w:p>
  </w:footnote>
  <w:footnote w:id="2392">
    <w:p>
      <w:pPr>
        <w:pStyle w:val="FootnoteText"/>
      </w:pPr>
      <w:r>
        <w:rPr>
          <w:rStyle w:val="FootnoteReference"/>
        </w:rPr>
        <w:footnoteRef/>
      </w:r>
      <w:r>
        <w:rPr>
          <w:i/>
          <w:iCs/>
        </w:rPr>
        <w:t xml:space="preserve">VIII</w:t>
      </w:r>
      <w:r>
        <w:t xml:space="preserve">.</w:t>
      </w:r>
    </w:p>
  </w:footnote>
  <w:footnote w:id="2393">
    <w:p>
      <w:pPr>
        <w:pStyle w:val="FootnoteText"/>
      </w:pPr>
      <w:r>
        <w:rPr>
          <w:rStyle w:val="FootnoteReference"/>
        </w:rPr>
        <w:footnoteRef/>
      </w:r>
      <w:r>
        <w:rPr>
          <w:i/>
          <w:iCs/>
        </w:rPr>
        <w:t xml:space="preserve">12.38v</w:t>
      </w:r>
      <w:r>
        <w:t xml:space="preserve">.</w:t>
      </w:r>
    </w:p>
  </w:footnote>
  <w:footnote w:id="2394">
    <w:p>
      <w:pPr>
        <w:pStyle w:val="FootnoteText"/>
      </w:pPr>
      <w:r>
        <w:rPr>
          <w:rStyle w:val="FootnoteReference"/>
        </w:rPr>
        <w:footnoteRef/>
      </w:r>
      <w:r>
        <w:t xml:space="preserve">JE underlines God's self-designation.</w:t>
      </w:r>
    </w:p>
  </w:footnote>
  <w:footnote w:id="2395">
    <w:p>
      <w:pPr>
        <w:pStyle w:val="FootnoteText"/>
      </w:pPr>
      <w:r>
        <w:rPr>
          <w:rStyle w:val="FootnoteReference"/>
        </w:rPr>
        <w:footnoteRef/>
      </w:r>
      <w:r>
        <w:rPr>
          <w:i/>
          <w:iCs/>
        </w:rPr>
        <w:t xml:space="preserve">12.39r</w:t>
      </w:r>
      <w:r>
        <w:t xml:space="preserve">.</w:t>
      </w:r>
    </w:p>
  </w:footnote>
  <w:footnote w:id="2396">
    <w:p>
      <w:pPr>
        <w:pStyle w:val="FootnoteText"/>
      </w:pPr>
      <w:r>
        <w:rPr>
          <w:rStyle w:val="FootnoteReference"/>
        </w:rPr>
        <w:footnoteRef/>
      </w:r>
      <w:r>
        <w:rPr>
          <w:i/>
          <w:iCs/>
        </w:rPr>
        <w:t xml:space="preserve">IX</w:t>
      </w:r>
      <w:r>
        <w:t xml:space="preserve">.</w:t>
      </w:r>
    </w:p>
  </w:footnote>
  <w:footnote w:id="2397">
    <w:p>
      <w:pPr>
        <w:pStyle w:val="FootnoteText"/>
      </w:pPr>
      <w:r>
        <w:rPr>
          <w:rStyle w:val="FootnoteReference"/>
        </w:rPr>
        <w:footnoteRef/>
      </w:r>
      <w:r>
        <w:rPr>
          <w:i/>
          <w:iCs/>
        </w:rPr>
        <w:t xml:space="preserve">12.39v</w:t>
      </w:r>
      <w:r>
        <w:t xml:space="preserve">.</w:t>
      </w:r>
    </w:p>
  </w:footnote>
  <w:footnote w:id="2398">
    <w:p>
      <w:pPr>
        <w:pStyle w:val="FootnoteText"/>
      </w:pPr>
      <w:r>
        <w:rPr>
          <w:rStyle w:val="FootnoteReference"/>
        </w:rPr>
        <w:footnoteRef/>
      </w:r>
      <w:r>
        <w:t xml:space="preserve">1 Corinthians 3:21. JE's text leaves space for more of this verse, but he does not indicate intent to quote in his characteristic fashion.</w:t>
      </w:r>
    </w:p>
  </w:footnote>
  <w:footnote w:id="2399">
    <w:p>
      <w:pPr>
        <w:pStyle w:val="FootnoteText"/>
      </w:pPr>
      <w:r>
        <w:rPr>
          <w:rStyle w:val="FootnoteReference"/>
        </w:rPr>
        <w:footnoteRef/>
      </w:r>
      <w:r>
        <w:t xml:space="preserve">The image of the firstfruits as being an offering to God is sustained throughout the Old Testament, e.g. Deuteronomy 26:2, and is linked to the church in Romans 7:4 and Colossians 1:6.</w:t>
      </w:r>
    </w:p>
  </w:footnote>
  <w:footnote w:id="2400">
    <w:p>
      <w:pPr>
        <w:pStyle w:val="FootnoteText"/>
      </w:pPr>
      <w:r>
        <w:rPr>
          <w:rStyle w:val="FootnoteReference"/>
        </w:rPr>
        <w:footnoteRef/>
      </w:r>
      <w:r>
        <w:rPr>
          <w:i/>
          <w:iCs/>
        </w:rPr>
        <w:t xml:space="preserve">12.40r</w:t>
      </w:r>
      <w:r>
        <w:t xml:space="preserve">.</w:t>
      </w:r>
    </w:p>
  </w:footnote>
  <w:footnote w:id="2401">
    <w:p>
      <w:pPr>
        <w:pStyle w:val="FootnoteText"/>
      </w:pPr>
      <w:r>
        <w:rPr>
          <w:rStyle w:val="FootnoteReference"/>
        </w:rPr>
        <w:footnoteRef/>
      </w:r>
      <w:r>
        <w:rPr>
          <w:i/>
          <w:iCs/>
        </w:rPr>
        <w:t xml:space="preserve">X</w:t>
      </w:r>
      <w:r>
        <w:t xml:space="preserve">.</w:t>
      </w:r>
    </w:p>
  </w:footnote>
  <w:footnote w:id="2402">
    <w:p>
      <w:pPr>
        <w:pStyle w:val="FootnoteText"/>
      </w:pPr>
      <w:r>
        <w:rPr>
          <w:rStyle w:val="FootnoteReference"/>
        </w:rPr>
        <w:footnoteRef/>
      </w:r>
      <w:r>
        <w:rPr>
          <w:i/>
          <w:iCs/>
        </w:rPr>
        <w:t xml:space="preserve">12.40v</w:t>
      </w:r>
      <w:r>
        <w:t xml:space="preserve">.</w:t>
      </w:r>
    </w:p>
  </w:footnote>
  <w:footnote w:id="2403">
    <w:p>
      <w:pPr>
        <w:pStyle w:val="FootnoteText"/>
      </w:pPr>
      <w:r>
        <w:rPr>
          <w:rStyle w:val="FootnoteReference"/>
        </w:rPr>
        <w:footnoteRef/>
      </w:r>
      <w:r>
        <w:t xml:space="preserve">JE leaves space here. The image is from Exodus 15:6.</w:t>
      </w:r>
    </w:p>
  </w:footnote>
  <w:footnote w:id="2404">
    <w:p>
      <w:pPr>
        <w:pStyle w:val="FootnoteText"/>
      </w:pPr>
      <w:r>
        <w:rPr>
          <w:rStyle w:val="FootnoteReference"/>
        </w:rPr>
        <w:footnoteRef/>
      </w:r>
      <w:r>
        <w:t xml:space="preserve">This thought is completed from Genesis 3:15.</w:t>
      </w:r>
    </w:p>
  </w:footnote>
  <w:footnote w:id="2405">
    <w:p>
      <w:pPr>
        <w:pStyle w:val="FootnoteText"/>
      </w:pPr>
      <w:r>
        <w:rPr>
          <w:rStyle w:val="FootnoteReference"/>
        </w:rPr>
        <w:footnoteRef/>
      </w:r>
      <w:r>
        <w:t xml:space="preserve">JE only sketches in the next two sentences; bracketed additions both complete the phrases and maintain the rhetorical pattern.</w:t>
      </w:r>
    </w:p>
  </w:footnote>
  <w:footnote w:id="2406">
    <w:p>
      <w:pPr>
        <w:pStyle w:val="FootnoteText"/>
      </w:pPr>
      <w:r>
        <w:rPr>
          <w:rStyle w:val="FootnoteReference"/>
        </w:rPr>
        <w:footnoteRef/>
      </w:r>
      <w:r>
        <w:rPr>
          <w:i/>
          <w:iCs/>
        </w:rPr>
        <w:t xml:space="preserve">12.41r</w:t>
      </w:r>
      <w:r>
        <w:t xml:space="preserve">.</w:t>
      </w:r>
    </w:p>
  </w:footnote>
  <w:footnote w:id="2407">
    <w:p>
      <w:pPr>
        <w:pStyle w:val="FootnoteText"/>
      </w:pPr>
      <w:r>
        <w:rPr>
          <w:rStyle w:val="FootnoteReference"/>
        </w:rPr>
        <w:footnoteRef/>
      </w:r>
      <w:r>
        <w:rPr>
          <w:i/>
          <w:iCs/>
        </w:rPr>
        <w:t xml:space="preserve">12.41v</w:t>
      </w:r>
      <w:r>
        <w:t xml:space="preserve">.</w:t>
      </w:r>
    </w:p>
  </w:footnote>
  <w:footnote w:id="2408">
    <w:p>
      <w:pPr>
        <w:pStyle w:val="FootnoteText"/>
      </w:pPr>
      <w:r>
        <w:rPr>
          <w:rStyle w:val="FootnoteReference"/>
        </w:rPr>
        <w:footnoteRef/>
      </w:r>
      <w:r>
        <w:t xml:space="preserve">JE here gathers images from 2 Peter 2:5; Genesis 19:14; and Luke 3:7. At this point, he deletes the following short section with a single large X, although it appears he may have intended to recover it: "XI, Last, and who is wise and he shall understand these things, prudent and he shall know them, for the ways of the Lord are righteous, and the just shall walk in them, but the unrighteous shall fail in them." JE here paraphrases Hosea 14:9.</w:t>
      </w:r>
    </w:p>
  </w:footnote>
  <w:footnote w:id="2409">
    <w:p>
      <w:pPr>
        <w:pStyle w:val="FootnoteText"/>
      </w:pPr>
      <w:r>
        <w:rPr>
          <w:rStyle w:val="FootnoteReference"/>
        </w:rPr>
        <w:footnoteRef/>
      </w:r>
      <w:r>
        <w:rPr>
          <w:i/>
          <w:iCs/>
        </w:rPr>
        <w:t xml:space="preserve">12.42r</w:t>
      </w:r>
      <w:r>
        <w:t xml:space="preserve">.</w:t>
      </w:r>
    </w:p>
  </w:footnote>
  <w:footnote w:id="2410">
    <w:p>
      <w:pPr>
        <w:pStyle w:val="FootnoteText"/>
      </w:pPr>
      <w:r>
        <w:rPr>
          <w:rStyle w:val="FootnoteReference"/>
        </w:rPr>
        <w:footnoteRef/>
      </w:r>
      <w:r>
        <w:t xml:space="preserve">JE composed this paragraph from Revelation 22:6–20, which he paraphrased, rearranged, and condensed. Brackets indicate section he apparently intended to fill in.</w:t>
      </w:r>
    </w:p>
  </w:footnote>
  <w:footnote w:id="2411">
    <w:p>
      <w:pPr>
        <w:pStyle w:val="FootnoteText"/>
      </w:pPr>
      <w:r>
        <w:rPr>
          <w:rStyle w:val="FootnoteReference"/>
        </w:rPr>
        <w:footnoteRef/>
      </w:r>
      <w:r>
        <w:t xml:space="preserve">The verso of this leaf (</w:t>
      </w:r>
      <w:r>
        <w:rPr>
          <w:i/>
          <w:iCs/>
        </w:rPr>
        <w:t xml:space="preserve">12.42</w:t>
      </w:r>
      <w:r>
        <w:t xml:space="preserve">) is left blank.</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History of the Work of Redemption</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