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January–June 1742</w:t>
      </w:r>
      <w:bookmarkEnd w:id="1"/>
    </w:p>
    <w:p>
      <w:pPr>
        <w:pStyle w:val="BookSubtitle"/>
      </w:pPr>
      <w:r>
        <w:t xml:space="preserve">The Works of Jonathan Edwards · Volume 59</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656. Josh. 24:15-27</w:t>
        </w:r>
      </w:hyperlink>
    </w:p>
    <w:p>
      <w:r>
        <w:br w:type="page"/>
      </w:r>
    </w:p>
    <w:p>
      <w:pPr>
        <w:pStyle w:val="Heading1"/>
        <w:pageBreakBefore/>
      </w:pPr>
      <w:bookmarkStart w:name="book_title" w:id="3"/>
      <w:r>
        <w:t xml:space="preserve">656. Josh. 24:15-27</w:t>
      </w:r>
      <w:bookmarkEnd w:id="3"/>
    </w:p>
    <w:p>
      <w:pPr>
        <w:pStyle w:val="Heading2"/>
      </w:pPr>
      <w:bookmarkStart w:name="heading_656_josh_24_15_27_3_42_trans" w:id="4"/>
      <w:r>
        <w:t xml:space="preserve">656.Josh. 24'15-27(3_42) trans</w:t>
      </w:r>
      <w:bookmarkEnd w:id="4"/>
    </w:p>
    <w:p>
      <w:pPr>
        <w:pStyle w:val="BodyText"/>
      </w:pPr>
      <w:r>
        <w:t xml:space="preserve">Jonathan Edwards</w:t>
      </w:r>
    </w:p>
    <w:p>
      <w:pPr>
        <w:pStyle w:val="BodyText"/>
      </w:pPr>
      <w:r>
        <w:t xml:space="preserve">March . 1742 .</w:t>
      </w:r>
    </w:p>
    <w:p>
      <w:pPr>
        <w:pStyle w:val="SceneBreak"/>
      </w:pPr>
      <w:r>
        <w:t xml:space="preserve">* * *</w:t>
      </w:r>
    </w:p>
    <w:p>
      <w:pPr>
        <w:pStyle w:val="BodyText"/>
      </w:pPr>
      <w:r>
        <w:t xml:space="preserve">Josh . 24. 15 -----------------27</w:t>
      </w:r>
    </w:p>
    <w:p>
      <w:pPr>
        <w:pStyle w:val="SceneBreak"/>
      </w:pPr>
      <w:r>
        <w:t xml:space="preserve">* * *</w:t>
      </w:r>
    </w:p>
    <w:p>
      <w:pPr>
        <w:pStyle w:val="BodyText"/>
      </w:pPr>
      <w:r>
        <w:t xml:space="preserve">Prop. I . A visib . People of G. on some Occasions are called to Renew solemnly &amp; Publickly to Renew their Cov. with G.</w:t>
      </w:r>
    </w:p>
    <w:p>
      <w:pPr>
        <w:pStyle w:val="SceneBreak"/>
      </w:pPr>
      <w:r>
        <w:t xml:space="preserve">* * *</w:t>
      </w:r>
    </w:p>
    <w:p>
      <w:pPr>
        <w:pStyle w:val="BodyText"/>
      </w:pPr>
      <w:r>
        <w:t xml:space="preserve">Here we have an account of such a transaction .</w:t>
      </w:r>
    </w:p>
    <w:p>
      <w:pPr>
        <w:pStyle w:val="BodyText"/>
      </w:pPr>
      <w:r>
        <w:t xml:space="preserve">__</w:t>
      </w:r>
    </w:p>
    <w:p>
      <w:pPr>
        <w:pStyle w:val="BodyText"/>
      </w:pPr>
      <w:r>
        <w:t xml:space="preserve">we have many Instances of it in SS. Moses Time deut 29 . 1 . 1 &amp;. 11 --------</w:t>
      </w:r>
    </w:p>
    <w:p>
      <w:pPr>
        <w:pStyle w:val="SceneBreak"/>
      </w:pPr>
      <w:r>
        <w:t xml:space="preserve">* * *</w:t>
      </w:r>
    </w:p>
    <w:p>
      <w:pPr>
        <w:pStyle w:val="BodyText"/>
      </w:pPr>
      <w:r>
        <w:t xml:space="preserve">Joshuas Time next</w:t>
      </w:r>
    </w:p>
    <w:p>
      <w:pPr>
        <w:pStyle w:val="SceneBreak"/>
      </w:pPr>
      <w:r>
        <w:t xml:space="preserve">* * *</w:t>
      </w:r>
    </w:p>
    <w:p>
      <w:pPr>
        <w:pStyle w:val="BodyText"/>
      </w:pPr>
      <w:r>
        <w:t xml:space="preserve">Jehoiada's Time . 2 Kings 11. 17 Asas Time. 2 Chron.</w:t>
      </w:r>
      <w:r>
        <w:rPr>
          <w:rStyle w:val="FootnoteReference"/>
        </w:rPr>
        <w:footnoteReference w:id="1"/>
      </w:r>
      <w:r>
        <w:t xml:space="preserve"> 15. 12. &amp;c---- Last Col.</w:t>
      </w:r>
    </w:p>
    <w:p>
      <w:pPr>
        <w:pStyle w:val="SceneBreak"/>
      </w:pPr>
      <w:r>
        <w:t xml:space="preserve">* * *</w:t>
      </w:r>
    </w:p>
    <w:p>
      <w:pPr>
        <w:pStyle w:val="BodyText"/>
      </w:pPr>
      <w:r>
        <w:t xml:space="preserve">Josiahs Time. 2. Kings 23. 3. 2.Chron 34. 31. 32. Nehemiahs Time</w:t>
      </w:r>
    </w:p>
    <w:p>
      <w:pPr>
        <w:pStyle w:val="SceneBreak"/>
      </w:pPr>
      <w:r>
        <w:t xml:space="preserve">* * *</w:t>
      </w:r>
    </w:p>
    <w:p>
      <w:pPr>
        <w:pStyle w:val="SceneBreak"/>
      </w:pPr>
      <w:r>
        <w:t xml:space="preserve">* * *</w:t>
      </w:r>
    </w:p>
    <w:p>
      <w:pPr>
        <w:pStyle w:val="BodyText"/>
      </w:pPr>
      <w:r>
        <w:t xml:space="preserve">old Test. Examples. new no Reasons no Instance of publick Fasts &amp; Thanksgivings Light of nature Teaches </w:t>
      </w:r>
      <w:r>
        <w:rPr>
          <w:rStyle w:val="FootnoteReference"/>
        </w:rPr>
        <w:footnoteReference w:id="2"/>
      </w:r>
      <w:r>
        <w:t xml:space="preserve"> seems part of natu</w:t>
      </w:r>
    </w:p>
    <w:p>
      <w:pPr>
        <w:pStyle w:val="SceneBreak"/>
      </w:pPr>
      <w:r>
        <w:t xml:space="preserve">* * *</w:t>
      </w:r>
    </w:p>
    <w:p>
      <w:pPr>
        <w:pStyle w:val="BodyText"/>
      </w:pPr>
      <w:r>
        <w:t xml:space="preserve">Enq. what are the Occasions on which this is to be done. ---- answer in two part things .</w:t>
      </w:r>
    </w:p>
    <w:p>
      <w:pPr>
        <w:pStyle w:val="SceneBreak"/>
      </w:pPr>
      <w:r>
        <w:t xml:space="preserve">* * *</w:t>
      </w:r>
    </w:p>
    <w:p>
      <w:pPr>
        <w:pStyle w:val="ListText"/>
        <w:numPr>
          <w:ilvl w:val="0"/>
          <w:numId w:val="2"/>
        </w:numPr>
      </w:pPr>
      <w:r>
        <w:t xml:space="preserve">There are some things duties Required in SS. that the SS. dont appoint particular seasons or occasions so Publick fasts &amp; thanks givings some that are parti</w:t>
      </w:r>
      <w:r>
        <w:rPr>
          <w:rStyle w:val="FootnoteReference"/>
        </w:rPr>
        <w:footnoteReference w:id="3"/>
      </w:r>
      <w:r>
        <w:t xml:space="preserve"> for stated seasons or sabbaths</w:t>
      </w:r>
    </w:p>
    <w:p>
      <w:pPr>
        <w:pStyle w:val="SceneBreak"/>
      </w:pPr>
      <w:r>
        <w:t xml:space="preserve">* * *</w:t>
      </w:r>
    </w:p>
    <w:p>
      <w:pPr>
        <w:pStyle w:val="ListText"/>
        <w:numPr>
          <w:ilvl w:val="0"/>
          <w:numId w:val="3"/>
        </w:numPr>
      </w:pPr>
      <w:r>
        <w:t xml:space="preserve">when tis so tis Left to th to be governed by applying general Rules to parti cular Cases by Human discretion Especially the discretion </w:t>
      </w:r>
      <w:r>
        <w:rPr>
          <w:rStyle w:val="FootnoteReference"/>
        </w:rPr>
        <w:footnoteReference w:id="4"/>
      </w:r>
      <w:r>
        <w:t xml:space="preserve"> of those that are set on purpose to Lead the &amp; Instruct the Chh. of G. in Relig. matters</w:t>
      </w:r>
    </w:p>
    <w:p>
      <w:pPr>
        <w:pStyle w:val="SceneBreak"/>
      </w:pPr>
      <w:r>
        <w:t xml:space="preserve">* * *</w:t>
      </w:r>
    </w:p>
    <w:p>
      <w:pPr>
        <w:pStyle w:val="BodyText"/>
      </w:pPr>
      <w:r>
        <w:t xml:space="preserve">++ next p. but one.</w:t>
      </w:r>
    </w:p>
    <w:p>
      <w:pPr>
        <w:pStyle w:val="SceneBreak"/>
      </w:pPr>
      <w:r>
        <w:t xml:space="preserve">* * *</w:t>
      </w:r>
    </w:p>
    <w:p>
      <w:pPr>
        <w:pStyle w:val="BodyText"/>
      </w:pPr>
      <w:r>
        <w:t xml:space="preserve">*Inf. 2. Hence a</w:t>
      </w:r>
      <w:r>
        <w:rPr>
          <w:rStyle w:val="FootnoteReference"/>
        </w:rPr>
        <w:footnoteReference w:id="5"/>
      </w:r>
      <w:r>
        <w:t xml:space="preserve"> People may be guilty of Greaty G. by Refusing to Hearken to his Call. tho there bent wh by Refusing when properly called to it tho there be</w:t>
      </w:r>
      <w:r>
        <w:rPr>
          <w:rStyle w:val="FootnoteReference"/>
        </w:rPr>
        <w:footnoteReference w:id="6"/>
      </w:r>
      <w:r>
        <w:t xml:space="preserve"> no particular Command . when provd . when not called by those that are pr set to be Leaders</w:t>
      </w:r>
    </w:p>
    <w:p>
      <w:pPr>
        <w:pStyle w:val="SceneBreak"/>
      </w:pPr>
      <w:r>
        <w:t xml:space="preserve">* * *</w:t>
      </w:r>
    </w:p>
    <w:p>
      <w:pPr>
        <w:pStyle w:val="BodyText"/>
      </w:pPr>
      <w:r>
        <w:t xml:space="preserve">Enq. whether we are called of this day . In order to this we must look into two things 1 The occasions on which such we have SS. Examples.. </w:t>
      </w:r>
      <w:r>
        <w:rPr>
          <w:rStyle w:val="FootnoteReference"/>
        </w:rPr>
        <w:footnoteReference w:id="7"/>
      </w:r>
    </w:p>
    <w:p>
      <w:pPr>
        <w:pStyle w:val="SceneBreak"/>
      </w:pPr>
      <w:r>
        <w:t xml:space="preserve">* * *</w:t>
      </w:r>
    </w:p>
    <w:p>
      <w:pPr>
        <w:pStyle w:val="BodyText"/>
      </w:pPr>
      <w:r>
        <w:t xml:space="preserve">Here we find on several. occasi occasions on which such things were done were great &amp; rem Remarkable dispensations of Provid. tow[ar]ds his Chh . calling extraordin arily to du duty orth manifest of many to G. when G. introducing a new state of his Chh Time sometim</w:t>
      </w:r>
      <w:r>
        <w:rPr>
          <w:rStyle w:val="FootnoteReference"/>
        </w:rPr>
        <w:footnoteReference w:id="8"/>
      </w:r>
      <w:r>
        <w:t xml:space="preserve"> Times of Reforma. Reforma. from Idolatry . but not only so Refo also Reforma tion of other Evils</w:t>
      </w:r>
    </w:p>
    <w:p>
      <w:pPr>
        <w:pStyle w:val="SceneBreak"/>
      </w:pPr>
      <w:r>
        <w:t xml:space="preserve">* * *</w:t>
      </w:r>
    </w:p>
    <w:p>
      <w:pPr>
        <w:pStyle w:val="BodyText"/>
      </w:pPr>
      <w:r>
        <w:t xml:space="preserve">not only after Great declensions . but on other occasions in Moses Time Joshua Joshuas Time </w:t>
      </w:r>
      <w:r>
        <w:rPr>
          <w:rStyle w:val="FootnoteReference"/>
        </w:rPr>
        <w:footnoteReference w:id="9"/>
      </w:r>
    </w:p>
    <w:p>
      <w:pPr>
        <w:pStyle w:val="SceneBreak"/>
      </w:pPr>
      <w:r>
        <w:t xml:space="preserve">* * *</w:t>
      </w:r>
    </w:p>
    <w:p>
      <w:pPr>
        <w:pStyle w:val="BodyText"/>
      </w:pPr>
      <w:r>
        <w:t xml:space="preserve">now 2. How far these occasions agree to this Present Time</w:t>
      </w:r>
    </w:p>
    <w:p>
      <w:pPr>
        <w:pStyle w:val="SceneBreak"/>
      </w:pPr>
      <w:r>
        <w:t xml:space="preserve">* * *</w:t>
      </w:r>
    </w:p>
    <w:p>
      <w:pPr>
        <w:pStyle w:val="BodyText"/>
      </w:pPr>
      <w:r>
        <w:t xml:space="preserve">Inf. 1. Hence objections against such a thing as a proper means to promote Relig. and our good are a Reflection on the wisd. of G. object that it is not a</w:t>
      </w:r>
      <w:r>
        <w:rPr>
          <w:rStyle w:val="FootnoteReference"/>
        </w:rPr>
        <w:footnoteReference w:id="10"/>
      </w:r>
      <w:r>
        <w:t xml:space="preserve"> proper means because it makes our Gritt the Greater. object against any</w:t>
      </w:r>
    </w:p>
    <w:p>
      <w:pPr>
        <w:pStyle w:val="SceneBreak"/>
      </w:pPr>
      <w:r>
        <w:t xml:space="preserve">* * *</w:t>
      </w:r>
    </w:p>
    <w:p>
      <w:pPr>
        <w:pStyle w:val="BodyText"/>
      </w:pPr>
      <w:r>
        <w:t xml:space="preserve">for it may be objected that a People are in Cov. already &amp; so tis needless</w:t>
      </w:r>
    </w:p>
    <w:p>
      <w:pPr>
        <w:pStyle w:val="SceneBreak"/>
      </w:pPr>
      <w:r>
        <w:t xml:space="preserve">* * *</w:t>
      </w:r>
    </w:p>
    <w:p>
      <w:pPr>
        <w:pStyle w:val="BodyText"/>
      </w:pPr>
      <w:r>
        <w:t xml:space="preserve">Here it may be laid down as a maxim . that that objection is of no force at all [-] if it dont hold every where where </w:t>
      </w:r>
      <w:r>
        <w:rPr>
          <w:rStyle w:val="FootnoteReference"/>
        </w:rPr>
        <w:footnoteReference w:id="11"/>
      </w:r>
      <w:r>
        <w:t xml:space="preserve"> supposed Good of the objection hold.</w:t>
      </w:r>
    </w:p>
    <w:p>
      <w:pPr>
        <w:pStyle w:val="SceneBreak"/>
      </w:pPr>
      <w:r>
        <w:t xml:space="preserve">* * *</w:t>
      </w:r>
    </w:p>
    <w:p>
      <w:pPr>
        <w:pStyle w:val="BodyText"/>
      </w:pPr>
      <w:r>
        <w:t xml:space="preserve">dont hold against all coven[an]ting . of no force of old. of no force now in </w:t>
      </w:r>
      <w:r>
        <w:rPr>
          <w:rStyle w:val="FootnoteReference"/>
        </w:rPr>
        <w:footnoteReference w:id="12"/>
      </w:r>
      <w:r>
        <w:t xml:space="preserve"> other Covenanting. no for the same objection may be made against all means of Grace</w:t>
      </w:r>
    </w:p>
    <w:p>
      <w:pPr>
        <w:pStyle w:val="SceneBreak"/>
      </w:pPr>
      <w:r>
        <w:t xml:space="preserve">* * *</w:t>
      </w:r>
    </w:p>
    <w:p>
      <w:pPr>
        <w:pStyle w:val="BodyText"/>
      </w:pPr>
      <w:r>
        <w:t xml:space="preserve">It is true in no appointing their sins it makes their bonds the faster.</w:t>
      </w:r>
    </w:p>
    <w:p>
      <w:pPr>
        <w:pStyle w:val="SceneBreak"/>
      </w:pPr>
      <w:r>
        <w:t xml:space="preserve">* * *</w:t>
      </w:r>
    </w:p>
    <w:p>
      <w:pPr>
        <w:pStyle w:val="BodyText"/>
      </w:pPr>
      <w:r>
        <w:t xml:space="preserve">answ . that is one Reason why many wh Reason why it is appointed for one way that the wisd of G. saw it proper Joshua made it</w:t>
      </w:r>
      <w:r>
        <w:rPr>
          <w:rStyle w:val="FootnoteReference"/>
        </w:rPr>
        <w:footnoteReference w:id="13"/>
      </w:r>
      <w:r>
        <w:t xml:space="preserve"> as strong as possible Nehemiah made the People come confirm it with an Oath &amp; a Curse 2. Chr so Asa . 2. 14. 4. Last p. but two</w:t>
      </w:r>
    </w:p>
    <w:p>
      <w:pPr>
        <w:pStyle w:val="SceneBreak"/>
      </w:pPr>
      <w:r>
        <w:t xml:space="preserve">* * *</w:t>
      </w:r>
    </w:p>
    <w:p>
      <w:pPr>
        <w:pStyle w:val="BodyText"/>
      </w:pPr>
      <w:r>
        <w:t xml:space="preserve">an objection that a People are already in Cov. why did not those that make these objections object against Co binding thems. so strong when </w:t>
      </w:r>
      <w:r>
        <w:rPr>
          <w:rStyle w:val="FootnoteReference"/>
        </w:rPr>
        <w:footnoteReference w:id="14"/>
      </w:r>
      <w:r>
        <w:t xml:space="preserve"> they came into the Chh . was it because it was only in formality that you made that Cov. ______________________________ . no Objection that in Cov. are bound already.</w:t>
      </w:r>
    </w:p>
    <w:p>
      <w:pPr>
        <w:pStyle w:val="BodyText"/>
      </w:pPr>
      <w:r>
        <w:t xml:space="preserve">___________________________</w:t>
      </w:r>
      <w:r>
        <w:rPr>
          <w:rStyle w:val="FootnoteReference"/>
        </w:rPr>
        <w:footnoteReference w:id="15"/>
      </w:r>
    </w:p>
    <w:p>
      <w:pPr>
        <w:pStyle w:val="BodyText"/>
      </w:pPr>
      <w:r>
        <w:t xml:space="preserve">Enq . what is the Benefit of such a Publick Cov.</w:t>
      </w:r>
    </w:p>
    <w:p>
      <w:pPr>
        <w:pStyle w:val="SceneBreak"/>
      </w:pPr>
      <w:r>
        <w:t xml:space="preserve">* * *</w:t>
      </w:r>
    </w:p>
    <w:p>
      <w:pPr>
        <w:pStyle w:val="BodyText"/>
      </w:pPr>
      <w:r>
        <w:t xml:space="preserve">ans. 1. Tis a publick Honour to G. part of the worship he Requires very often mentioned in SS. </w:t>
      </w:r>
      <w:r>
        <w:rPr>
          <w:rStyle w:val="FootnoteReference"/>
        </w:rPr>
        <w:footnoteReference w:id="16"/>
      </w:r>
    </w:p>
    <w:p>
      <w:pPr>
        <w:pStyle w:val="ListText"/>
        <w:numPr>
          <w:ilvl w:val="0"/>
          <w:numId w:val="3"/>
        </w:numPr>
      </w:pPr>
      <w:r>
        <w:rPr>
          <w:rStyle w:val="FootnoteReference"/>
        </w:rPr>
        <w:footnoteReference w:id="17"/>
      </w:r>
      <w:r>
        <w:t xml:space="preserve"> the Good of a People as it is a Great Restraint. puts em in mind. of their duty &amp; obliga. a means of sel hearty self dedication to G. &amp; makes their bonds the stronger &amp; so Restrains the Conscience</w:t>
      </w:r>
    </w:p>
    <w:p>
      <w:pPr>
        <w:pStyle w:val="BodyText"/>
      </w:pPr>
      <w:r>
        <w:t xml:space="preserve">_________________________</w:t>
      </w:r>
      <w:r>
        <w:rPr>
          <w:rStyle w:val="FootnoteReference"/>
        </w:rPr>
        <w:footnoteReference w:id="18"/>
      </w:r>
    </w:p>
    <w:p>
      <w:pPr>
        <w:pStyle w:val="SceneBreak"/>
      </w:pPr>
      <w:r>
        <w:t xml:space="preserve">* * *</w:t>
      </w:r>
    </w:p>
    <w:p>
      <w:pPr>
        <w:pStyle w:val="BodyText"/>
      </w:pPr>
      <w:r>
        <w:rPr>
          <w:rStyle w:val="FootnoteReference"/>
        </w:rPr>
        <w:footnoteReference w:id="19"/>
      </w:r>
    </w:p>
    <w:p>
      <w:pPr>
        <w:pStyle w:val="BodyText"/>
      </w:pPr>
      <w:r>
        <w:t xml:space="preserve">Prop. II Prop . II . In</w:t>
      </w:r>
      <w:r>
        <w:rPr>
          <w:rStyle w:val="FootnoteReference"/>
        </w:rPr>
        <w:footnoteReference w:id="20"/>
      </w:r>
      <w:r>
        <w:t xml:space="preserve"> so solemn Publick Ren Renewals of the the Cov. with G. `tis Proper to Insist particular on those sins that People are Especially in danger of </w:t>
      </w:r>
      <w:r>
        <w:rPr>
          <w:rStyle w:val="FootnoteReference"/>
        </w:rPr>
        <w:footnoteReference w:id="21"/>
      </w:r>
    </w:p>
    <w:p>
      <w:pPr>
        <w:pStyle w:val="BodyText"/>
      </w:pPr>
      <w:r>
        <w:t xml:space="preserve">Prop . III . The</w:t>
      </w:r>
      <w:r>
        <w:rPr>
          <w:rStyle w:val="FootnoteReference"/>
        </w:rPr>
        <w:footnoteReference w:id="22"/>
      </w:r>
      <w:r>
        <w:t xml:space="preserve"> strictness of the duty Re Required in the Cov. &amp; the Great difficulty of observing it is no argum. against making such a Cov. </w:t>
      </w:r>
      <w:r>
        <w:rPr>
          <w:rStyle w:val="FootnoteReference"/>
        </w:rPr>
        <w:footnoteReference w:id="23"/>
      </w:r>
    </w:p>
    <w:p>
      <w:pPr>
        <w:pStyle w:val="BodyText"/>
      </w:pPr>
      <w:r>
        <w:t xml:space="preserve">If persons do but truly Resolve faithfully mak &amp; make it their True &amp; faithfull wish</w:t>
      </w:r>
      <w:r>
        <w:rPr>
          <w:rStyle w:val="FootnoteReference"/>
        </w:rPr>
        <w:footnoteReference w:id="24"/>
      </w:r>
      <w:r>
        <w:t xml:space="preserve"> &amp; Endeavour</w:t>
      </w:r>
    </w:p>
    <w:p>
      <w:pPr>
        <w:pStyle w:val="SceneBreak"/>
      </w:pPr>
      <w:r>
        <w:t xml:space="preserve">* * *</w:t>
      </w:r>
    </w:p>
    <w:p>
      <w:pPr>
        <w:pStyle w:val="BodyText"/>
      </w:pPr>
      <w:r>
        <w:t xml:space="preserve">Prop. IV. To have That a People should Report their manifestations of Consent to such a Cov. do it several ways it m it may be done without superstition or superfluity. </w:t>
      </w:r>
      <w:r>
        <w:rPr>
          <w:rStyle w:val="FootnoteReference"/>
        </w:rPr>
        <w:footnoteReference w:id="25"/>
      </w:r>
    </w:p>
    <w:p>
      <w:pPr>
        <w:pStyle w:val="BodyText"/>
      </w:pPr>
      <w:r>
        <w:t xml:space="preserve">1 a People must manifest their Consent 2. Kings 23. 3.</w:t>
      </w:r>
    </w:p>
    <w:p>
      <w:pPr>
        <w:pStyle w:val="SceneBreak"/>
      </w:pPr>
      <w:r>
        <w:t xml:space="preserve">* * *</w:t>
      </w:r>
    </w:p>
    <w:p>
      <w:pPr>
        <w:pStyle w:val="BodyText"/>
      </w:pPr>
      <w:r>
        <w:t xml:space="preserve">Enq. what way[ ]s m are proper for them to manifest their Consent ans. 1. in General by some Kind of speaking</w:t>
      </w:r>
    </w:p>
    <w:p>
      <w:pPr>
        <w:pStyle w:val="SceneBreak"/>
      </w:pPr>
      <w:r>
        <w:t xml:space="preserve">* * *</w:t>
      </w:r>
    </w:p>
    <w:p>
      <w:pPr>
        <w:pStyle w:val="BodyText"/>
      </w:pPr>
      <w:r>
        <w:t xml:space="preserve">There are several ways of speaking . 2. The particular way</w:t>
      </w:r>
      <w:r>
        <w:rPr>
          <w:rStyle w:val="FootnoteReference"/>
        </w:rPr>
        <w:footnoteReference w:id="26"/>
      </w:r>
      <w:r>
        <w:t xml:space="preserve"> of speaking is not prescribed. &amp; theref. no Left to Human discretion. especially the discretion of those that are set to Lead . w are where pre making obeysance no where Prescribed . </w:t>
      </w:r>
      <w:r>
        <w:rPr>
          <w:rStyle w:val="FootnoteReference"/>
        </w:rPr>
        <w:footnoteReference w:id="27"/>
      </w:r>
    </w:p>
    <w:p>
      <w:pPr>
        <w:pStyle w:val="ListText"/>
        <w:numPr>
          <w:ilvl w:val="0"/>
          <w:numId w:val="4"/>
        </w:numPr>
      </w:pPr>
      <w:r>
        <w:t xml:space="preserve">signing with the Hand</w:t>
      </w:r>
      <w:r>
        <w:rPr>
          <w:rStyle w:val="FootnoteReference"/>
        </w:rPr>
        <w:footnoteReference w:id="28"/>
      </w:r>
      <w:r>
        <w:t xml:space="preserve"> Tis Evident by SS. that signing with the hand is not an Improper way.</w:t>
      </w:r>
    </w:p>
    <w:p>
      <w:pPr>
        <w:pStyle w:val="SceneBreak"/>
      </w:pPr>
      <w:r>
        <w:t xml:space="preserve">* * *</w:t>
      </w:r>
    </w:p>
    <w:p>
      <w:pPr>
        <w:pStyle w:val="BodyText"/>
      </w:pPr>
      <w:r>
        <w:t xml:space="preserve">There is no one way of manifesting Consent for which there is so express SS. warrant as this .</w:t>
      </w:r>
    </w:p>
    <w:p>
      <w:pPr>
        <w:pStyle w:val="BodyText"/>
      </w:pPr>
      <w:r>
        <w:t xml:space="preserve">__</w:t>
      </w:r>
    </w:p>
    <w:p>
      <w:pPr>
        <w:pStyle w:val="BodyText"/>
      </w:pPr>
      <w:r>
        <w:t xml:space="preserve">more than making obeysance.</w:t>
      </w:r>
    </w:p>
    <w:p>
      <w:pPr>
        <w:pStyle w:val="BodyText"/>
      </w:pPr>
      <w:r>
        <w:t xml:space="preserve">__</w:t>
      </w:r>
    </w:p>
    <w:p>
      <w:pPr>
        <w:pStyle w:val="BodyText"/>
      </w:pPr>
      <w:r>
        <w:t xml:space="preserve">Tis Evident by that that in Isai 44.5. Prophe cy of what shall be at the beginning of the Glo. Times. one shall subscribe with his hand. that tis a proper way</w:t>
      </w:r>
    </w:p>
    <w:p>
      <w:pPr>
        <w:pStyle w:val="BodyText"/>
      </w:pPr>
      <w:r>
        <w:t xml:space="preserve">it may be objected</w:t>
      </w:r>
      <w:r>
        <w:rPr>
          <w:rStyle w:val="FootnoteReference"/>
        </w:rPr>
        <w:footnoteReference w:id="29"/>
      </w:r>
      <w:r>
        <w:t xml:space="preserve"> that that is a figurative Expression. answ. it if it be the G. would not Represent it by wh that which is improper to be done This was done in Nehemiahs Time Tis Ev the tim The Reasons why the Common People did not sign was not that it was not proper but because it was impracticable There is nothing in the nothing they that Can Render it more Improper for f Common People in an affair wherein they</w:t>
      </w:r>
      <w:r>
        <w:rPr>
          <w:rStyle w:val="FootnoteReference"/>
        </w:rPr>
        <w:footnoteReference w:id="30"/>
      </w:r>
      <w:r>
        <w:t xml:space="preserve"> act for thems. as much.</w:t>
      </w:r>
    </w:p>
    <w:p>
      <w:pPr>
        <w:pStyle w:val="SceneBreak"/>
      </w:pPr>
      <w:r>
        <w:t xml:space="preserve">* * *</w:t>
      </w:r>
    </w:p>
    <w:p>
      <w:pPr>
        <w:pStyle w:val="BodyText"/>
      </w:pPr>
      <w:r>
        <w:t xml:space="preserve">Tis common in the Xtian Chh to do both in in a new &amp; Extraordinary Covenanting. in as in the settlement of Chhs</w:t>
      </w:r>
    </w:p>
    <w:p>
      <w:pPr>
        <w:pStyle w:val="SceneBreak"/>
      </w:pPr>
      <w:r>
        <w:t xml:space="preserve">* * *</w:t>
      </w:r>
    </w:p>
    <w:p>
      <w:pPr>
        <w:pStyle w:val="BodyText"/>
      </w:pPr>
      <w:r>
        <w:t xml:space="preserve">&amp; so when G. brings his Chh into a new &amp; Extraordinary state</w:t>
      </w:r>
    </w:p>
    <w:p>
      <w:pPr>
        <w:pStyle w:val="SceneBreak"/>
      </w:pPr>
      <w:r>
        <w:t xml:space="preserve">* * *</w:t>
      </w:r>
    </w:p>
    <w:p>
      <w:pPr>
        <w:pStyle w:val="ListText"/>
        <w:numPr>
          <w:ilvl w:val="0"/>
          <w:numId w:val="3"/>
        </w:numPr>
      </w:pPr>
      <w:r>
        <w:t xml:space="preserve">To have special manifestations of Consent in or to shew consent in several ways as Confirming one another is not superstition . &amp; may be expedient. so here . In human Contracts. not thought superfluous. Human Covenants so by divine appointmt</w:t>
      </w:r>
      <w:r>
        <w:rPr>
          <w:rStyle w:val="FootnoteReference"/>
        </w:rPr>
        <w:footnoteReference w:id="31"/>
      </w:r>
      <w:r>
        <w:t xml:space="preserve"> in the servant that would serve his L. saviour master forever. so we have m othe In Publick Renewals of the Cov. with G. from Time to Time</w:t>
      </w:r>
    </w:p>
    <w:p>
      <w:pPr>
        <w:pStyle w:val="SceneBreak"/>
      </w:pPr>
      <w:r>
        <w:t xml:space="preserve">* * *</w:t>
      </w:r>
    </w:p>
    <w:p>
      <w:pPr>
        <w:pStyle w:val="BodyText"/>
      </w:pPr>
      <w:r>
        <w:t xml:space="preserve">Here particularly tis proper that in Cases where a People each one for thems. they should do something to make the act an act of publick worship before the L. so in Nehemiahs</w:t>
      </w:r>
      <w:r>
        <w:rPr>
          <w:rStyle w:val="FootnoteReference"/>
        </w:rPr>
        <w:footnoteReference w:id="32"/>
      </w:r>
      <w:r>
        <w:t xml:space="preserve"> Time. 2. That there should be some sign Rem of their Consent Remaining to be a memorial of their Consent that was Con Given so in Joshuas time</w:t>
      </w:r>
    </w:p>
    <w:p>
      <w:pPr>
        <w:pStyle w:val="SceneBreak"/>
      </w:pPr>
      <w:r>
        <w:t xml:space="preserve">* * *</w:t>
      </w:r>
    </w:p>
    <w:p>
      <w:pPr>
        <w:pStyle w:val="BodyText"/>
      </w:pPr>
      <w:r>
        <w:t xml:space="preserve">signing with the hand. is Convenient on that account I will now Conclude</w:t>
      </w:r>
      <w:r>
        <w:rPr>
          <w:rStyle w:val="FootnoteReference"/>
        </w:rPr>
        <w:footnoteReference w:id="33"/>
      </w:r>
      <w:r>
        <w:t xml:space="preserve"> by saying a few words with Respect to that affair of Covenanting that is now under Considera.</w:t>
      </w:r>
    </w:p>
    <w:p>
      <w:pPr>
        <w:pStyle w:val="SceneBreak"/>
      </w:pPr>
      <w:r>
        <w:t xml:space="preserve">* * *</w:t>
      </w:r>
    </w:p>
    <w:p>
      <w:pPr>
        <w:pStyle w:val="BodyText"/>
      </w:pPr>
      <w:r>
        <w:t xml:space="preserve">as I have said before it appears to me that </w:t>
      </w:r>
      <w:r>
        <w:rPr>
          <w:rStyle w:val="FootnoteReference"/>
        </w:rPr>
        <w:footnoteReference w:id="34"/>
      </w:r>
    </w:p>
    <w:p>
      <w:pPr>
        <w:pStyle w:val="BodyText"/>
      </w:pPr>
      <w:r>
        <w:t xml:space="preserve">However I would have</w:t>
      </w:r>
      <w:r>
        <w:rPr>
          <w:rStyle w:val="FootnoteReference"/>
        </w:rPr>
        <w:footnoteReference w:id="35"/>
      </w:r>
      <w:r>
        <w:t xml:space="preserve"> all act freely only I will give one caution That Take Heed of sp. in the affair Ill tell you wherein will be your temptation to sp. in this affair </w:t>
      </w:r>
      <w:r>
        <w:rPr>
          <w:rStyle w:val="FootnoteReference"/>
        </w:rPr>
        <w:footnoteReference w:id="36"/>
      </w:r>
    </w:p>
    <w:p>
      <w:pPr>
        <w:pStyle w:val="BodyText"/>
      </w:pPr>
      <w:r>
        <w:t xml:space="preserve">&amp; if Persons thems. from a Loth it may arise from a Lothness to b appear singular or to be distinguished .</w:t>
      </w:r>
    </w:p>
    <w:p>
      <w:pPr>
        <w:pStyle w:val="SceneBreak"/>
      </w:pPr>
      <w:r>
        <w:t xml:space="preserve">* * *</w:t>
      </w:r>
    </w:p>
    <w:p>
      <w:pPr>
        <w:pStyle w:val="BodyText"/>
      </w:pPr>
      <w:r>
        <w:t xml:space="preserve">&amp; so be Engaged to have many with you or to overthrow the whole design For whatever your minds be as to your self . take heed you dont do the devils service by </w:t>
      </w:r>
      <w:r>
        <w:rPr>
          <w:rStyle w:val="FootnoteReference"/>
        </w:rPr>
        <w:footnoteReference w:id="37"/>
      </w:r>
      <w:r>
        <w:t xml:space="preserve"> Hindring others </w:t>
      </w:r>
      <w:r>
        <w:rPr>
          <w:rStyle w:val="FootnoteReference"/>
        </w:rPr>
        <w:footnoteReference w:id="38"/>
      </w:r>
    </w:p>
    <w:p>
      <w:pPr>
        <w:pStyle w:val="BodyText"/>
      </w:pPr>
      <w:r>
        <w:rPr>
          <w:rStyle w:val="FootnoteReference"/>
        </w:rPr>
        <w:footnoteReference w:id="39"/>
      </w:r>
    </w:p>
    <w:p>
      <w:pPr>
        <w:pStyle w:val="Heading2"/>
      </w:pPr>
      <w:bookmarkStart w:name="heading_668_matt_9_15_b" w:id="5"/>
      <w:r>
        <w:t xml:space="preserve">668. Matt. 9:15(b)</w:t>
      </w:r>
      <w:bookmarkEnd w:id="5"/>
    </w:p>
    <w:p>
      <w:pPr>
        <w:pStyle w:val="Heading2"/>
      </w:pPr>
      <w:bookmarkStart w:name="heading_668_matt_9_15b_5_42_trans" w:id="6"/>
      <w:r>
        <w:t xml:space="preserve">668.Matt. 9'15b(5_42) trans</w:t>
      </w:r>
      <w:bookmarkEnd w:id="6"/>
    </w:p>
    <w:p>
      <w:pPr>
        <w:pStyle w:val="BodyText"/>
      </w:pPr>
      <w:r>
        <w:t xml:space="preserve">Jonathan Edwards</w:t>
      </w:r>
    </w:p>
    <w:p>
      <w:pPr>
        <w:pStyle w:val="BodyText"/>
      </w:pPr>
      <w:r>
        <w:t xml:space="preserve">Math. 9. 15. Can the Children of the bride chamber mourn as long as the bridegroom is with them These words are spoken on occasion of the disciples of John coming to X and asking if with this question why do we ------------------------------------------- as in the foregoing v. &amp; in X answer that we have in the text we may observe X Gives his answer To Their Their question to them in two things. 1. By excusing &amp; justifying their not fasting for the present in the words of the text can the b. children in the former part of the v. can the --------------------------- --------------------- 2. By telling them when they shall fast when the bridegroom -- which seems especially to Refer to the time of his lying in the grave Xs suffering when he was in the hands of his enemies &amp; the time of his Lying in the grave. that was a mournfull sorrowf time with the discip &amp; a proper time for em to fast / after X resurection &amp; ascension into this time of mourning with em caused? for them they were begotten again to a living lively hope ________ they were by this / when X was Laid low in the grave they were as it were laid in the grave with him in sorrow they their sps were exceedingly &amp; depressed &amp; covered as it were with the shadows of death no / but when X Rose they were risen as it were raised with him their souls were quenched with new life and joy as if they were raised from the dead from the shades of death thems./ we see by the accounts that the evangelists give of the resurre. of X that the discip. were exceedingly filled with[L. 1r.] Joy at the notice of it / &amp; tho aft when X ascended from em he was taken from em again as to his bodily presence yet it was but in order to a more abundant spiritual presence which was more comfortable &amp; Joyfull than his bo meerly his bodily Presence / So that the time that X speaks of in this v. wherein the bridegroom should be taken from 'em was but a little while as in John 16. 16. a little while and ye shall not see me &amp; again a little while &amp; ye shall see me because I go to the F. 20. v. verily verily I say unto you ye shall weep &amp; lament but the Θ shall rejoice &amp; ye shall be sorrowf. but your sorrow shall be turned into Joy a woman when she is in travail hath sorrow because a her hour is come but as soon as she is delivered of the child she remembereth no more the anguish for Joy that a m. is born into the Θ.</w:t>
      </w:r>
    </w:p>
    <w:p>
      <w:pPr>
        <w:pStyle w:val="SceneBreak"/>
      </w:pPr>
      <w:r>
        <w:t xml:space="preserve">* * *</w:t>
      </w:r>
    </w:p>
    <w:p>
      <w:pPr>
        <w:pStyle w:val="BodyText"/>
      </w:pPr>
      <w:r>
        <w:t xml:space="preserve">But to Return to the former part of the v. which is the part that I have Chosen for my text in it we may observe ?? 1. after what manner X excuses or Justifies his discip. not fasting as the the discip. of John &amp; the pharisees did can the Child. of the bride chamber. the w the manner of expression is very strong. such an interrogation implies that they cannot there any just cause but that they have exceeding cause of the contrary viz Joy &amp; Gladness. 2 The Reason why they were so far from having Cause to mourn viz that X was now with them they had[L. 2r.] him his immediate presence now</w:t>
      </w:r>
    </w:p>
    <w:p>
      <w:pPr>
        <w:pStyle w:val="SceneBreak"/>
      </w:pPr>
      <w:r>
        <w:t xml:space="preserve">* * *</w:t>
      </w:r>
    </w:p>
    <w:p>
      <w:pPr>
        <w:pStyle w:val="ListText"/>
        <w:numPr>
          <w:ilvl w:val="0"/>
          <w:numId w:val="4"/>
        </w:numPr>
      </w:pPr>
      <w:r>
        <w:t xml:space="preserve">upon what Tis signified upon what account this should be just unto why they should be far from mourning in X being Called the appellation that are here given to X &amp; his disciples. X is called the bridegroom &amp; they are called the Chil. of the BrideChamber. the time when of a wedding is not a proper time of rejoicing rather than mourning as it is esteemed by all nations. / the time when the Chil. of the bride chamber have the bridegroom present with them is not a time for fasting giv pres other like manifestations of mourning but a proper &amp; fit time of exceeding tokens of Joy.</w:t>
      </w:r>
    </w:p>
    <w:p>
      <w:pPr>
        <w:pStyle w:val="SceneBreak"/>
      </w:pPr>
      <w:r>
        <w:t xml:space="preserve">* * *</w:t>
      </w:r>
    </w:p>
    <w:p>
      <w:pPr>
        <w:pStyle w:val="BodyText"/>
      </w:pPr>
      <w:r>
        <w:t xml:space="preserve">doc. when a Company of Xtians have when a Company of or society of Xtians have X present with them There is the greatest reason They tis have the greatest cause of Joy to them.</w:t>
      </w:r>
    </w:p>
    <w:p>
      <w:pPr>
        <w:pStyle w:val="SceneBreak"/>
      </w:pPr>
      <w:r>
        <w:t xml:space="preserve">* * *</w:t>
      </w:r>
    </w:p>
    <w:p>
      <w:pPr>
        <w:pStyle w:val="ListText"/>
        <w:numPr>
          <w:ilvl w:val="0"/>
          <w:numId w:val="2"/>
        </w:numPr>
      </w:pPr>
      <w:r>
        <w:t xml:space="preserve">I would observe theref. what it is s how a company of Xtians have X may be said to have X Present with them . 1. There is a pres degree of Xs gracious presence that true Xtians alwaies have. after a soul is converted X never whole leaves it he has promised that he will never leave them nor forsake them. he is ever present with them to take a gracious care of them to defend them &amp; to provide for them &amp; to fulfill his promise to them of making all things work together for their[L. 2v.] good / &amp; he is alwaies present with them by the indwelling of his sp. in their heart. he never wholly takes away his sp. from them tis said Rom. 8. 9. if any man have not the sp. of X he is none of his ------------- &amp; believers are said to be the temple of the holy Gh. / the Holy Gh. never wholly leaves this temple. the sp. of X is not given to the saints as sometimes tis to sinners to be only transiently with them to influence their minds but to hav abide in them continually forever if the sp. of X should wholly with draw the pr very principles of grace would cease but these never cease. 1 Joh 3. 9. his seed remaineth in him / so that true Xtians even at those times when they seem to be most lost of X &amp; to be in the greatest darkn. so that it may be they are ready to think they are wholly Lost are not indeed wholly lost but X is still present theref. this only could not be intended in the text for in this sense in some degree ????????? present with them this therefore cant not be wh the bridegroom never is taken from them</w:t>
      </w:r>
    </w:p>
    <w:p>
      <w:pPr>
        <w:pStyle w:val="SceneBreak"/>
      </w:pPr>
      <w:r>
        <w:t xml:space="preserve">* * *</w:t>
      </w:r>
    </w:p>
    <w:p>
      <w:pPr>
        <w:pStyle w:val="ListText"/>
        <w:numPr>
          <w:ilvl w:val="0"/>
          <w:numId w:val="3"/>
        </w:numPr>
      </w:pPr>
      <w:r>
        <w:t xml:space="preserve">There is the human &amp; bodily presence of X such had the disciples when X was on the earth so X like his ascension never is prese but X never is so present with any since his ascent Xtians in this Θ since his ascension into heaven / and tho this was not excluded in what X says in the text yet it was not all that was intended for by the bridegrooms leaving with them . but his gracious presence was included. for tis evident that X for tis evident [L. 3r.] that X f for X speaks of his being Present with him as his their bridegroom &amp; they as the chil. of the bridechamber but this implies his gracious sp. presence with them / a X was oftentimes present with others besides his discip. by his bodily presence so was he present with his the scribes &amp; pharisees his enemies . &amp; tis evident</w:t>
      </w:r>
    </w:p>
    <w:p>
      <w:pPr>
        <w:pStyle w:val="SceneBreak"/>
      </w:pPr>
      <w:r>
        <w:t xml:space="preserve">* * *</w:t>
      </w:r>
    </w:p>
    <w:p>
      <w:pPr>
        <w:pStyle w:val="ListText"/>
        <w:numPr>
          <w:ilvl w:val="0"/>
          <w:numId w:val="4"/>
        </w:numPr>
      </w:pPr>
      <w:r>
        <w:t xml:space="preserve">There is a special Presence of X by extemp special manifesta. of hims. &amp; tokens &amp; manife tokens of his presence whereby X at some times nary be said to be Present with Xtians and not at others. X sometimes with Respect to those speciall tokens ----- may be said to depart from his people &amp; to hide hims. from them -- but at other times he is present ne so X in the time of his Last sufferings ----- it was a dull time &amp; dark time on spritual accounts</w:t>
      </w:r>
    </w:p>
    <w:p>
      <w:pPr>
        <w:pStyle w:val="SceneBreak"/>
      </w:pPr>
      <w:r>
        <w:t xml:space="preserve">* * *</w:t>
      </w:r>
    </w:p>
    <w:p>
      <w:pPr>
        <w:pStyle w:val="BodyText"/>
      </w:pPr>
      <w:r>
        <w:t xml:space="preserve">This is far more preferable than to the bodily presence of X &amp; theref. X tells his disp as X intimates to his discip. in that he tells his disciples that tis expedient for them to Change His bod one for the other Joh. 16. 7. Tis expedient for you that I Go away. &amp; This is principally that presence of the bridegroom that is Cause of Joy blank line this leaflet is blank[L. 3v.] [L. 4r.] 1. hence we may Learn what cause we in this place have now to mourn. from whom X has so much withdrawn . we a little while ago had the bridegroom with us in a very remarkeable &amp; wonderf. manner manifesting his beauty &amp; Glory shewing us his Love &amp; kindness we were then &amp; such as a company so secured as is spoken of in the doc. but to how great a degree has X withdrawn from us . tho I would hope that [we] are not wholly without manifes- [missing word] tations of the pres. of X yet tis in no measure as it has been but we are decline have declined &amp; grown dull &amp; dead . what cause have we now to</w:t>
      </w:r>
    </w:p>
    <w:p>
      <w:pPr>
        <w:pStyle w:val="SceneBreak"/>
      </w:pPr>
      <w:r>
        <w:t xml:space="preserve">* * *</w:t>
      </w:r>
    </w:p>
    <w:p>
      <w:pPr>
        <w:pStyle w:val="BodyText"/>
      </w:pPr>
      <w:r>
        <w:t xml:space="preserve">Then it was a time of Great Joy &amp; rejoicing amongst us &amp; justly might be such a mercy cant be too much rejoiced in blank line</w:t>
      </w:r>
    </w:p>
    <w:p>
      <w:pPr>
        <w:pStyle w:val="SceneBreak"/>
      </w:pPr>
      <w:r>
        <w:t xml:space="preserve">* * *</w:t>
      </w:r>
    </w:p>
    <w:p>
      <w:pPr>
        <w:pStyle w:val="BodyText"/>
      </w:pPr>
      <w:r>
        <w:t xml:space="preserve">mourn &amp; as X says in the v. of the text the days shall come when the brideg ----- These d are not those days now come upn us what cause theref. have wee to mourn &amp; Lament we have reason all of us to reflect on our selves &amp; consider what wee have done What we did while the bridegroom to Groom? &amp; displease this glo. bridegroom (Groan?) to Remove from us &amp; cant we find enough to accuse our selves of &amp; condemn our selves for Let us theref. mourn for this &amp; Greatly humble 2. Use of Exh. 1. To this Town 1 Let us do what in us Can our selves before it that the blessed bridegroom were wholly de- [L. 4v.] part from us . -- there may come times of overpowering? -- Ephesians?</w:t>
      </w:r>
    </w:p>
    <w:p>
      <w:pPr>
        <w:pStyle w:val="SceneBreak"/>
      </w:pPr>
      <w:r>
        <w:t xml:space="preserve">* * *</w:t>
      </w:r>
    </w:p>
    <w:p>
      <w:pPr>
        <w:pStyle w:val="ListText"/>
        <w:numPr>
          <w:ilvl w:val="0"/>
          <w:numId w:val="3"/>
        </w:numPr>
      </w:pPr>
      <w:r>
        <w:t xml:space="preserve">Exh. 2. Let us of this place to the Town 2. What cause we have earnestly to seek the returns of the blessed bride presence of X amongst us</w:t>
      </w:r>
    </w:p>
    <w:p>
      <w:pPr>
        <w:pStyle w:val="SceneBreak"/>
      </w:pPr>
      <w:r>
        <w:t xml:space="preserve">* * *</w:t>
      </w:r>
    </w:p>
    <w:p>
      <w:pPr>
        <w:pStyle w:val="BodyText"/>
      </w:pPr>
      <w:r>
        <w:t xml:space="preserve">To the To that end Let us purge our selves from these things that we have been guilty of that have caused him to with draw blank line blank line Let us Learn to seek &amp; prize? his pres. above the T because vile enjoyments of this Θ. blank line blank line Let us live in love. blank line Let us earnestly pray for the Returning pray for the holy sp. of X. we have no w so much encouragement to pray for his mercy .</w:t>
      </w:r>
    </w:p>
    <w:p>
      <w:pPr>
        <w:pStyle w:val="SceneBreak"/>
      </w:pPr>
      <w:r>
        <w:t xml:space="preserve">* * *</w:t>
      </w:r>
    </w:p>
    <w:p>
      <w:pPr>
        <w:pStyle w:val="ListText"/>
        <w:numPr>
          <w:ilvl w:val="0"/>
          <w:numId w:val="3"/>
        </w:numPr>
      </w:pPr>
      <w:r>
        <w:t xml:space="preserve">Let all societies amongst us Con be exhorted to two things 1. to see to it that they be societies of X true Xtians. of X desciples.</w:t>
      </w:r>
    </w:p>
    <w:p>
      <w:pPr>
        <w:pStyle w:val="SceneBreak"/>
      </w:pPr>
      <w:r>
        <w:t xml:space="preserve">* * *</w:t>
      </w:r>
    </w:p>
    <w:p>
      <w:pPr>
        <w:pStyle w:val="BodyText"/>
      </w:pPr>
      <w:r>
        <w:t xml:space="preserve">1 Families every family should be a little Chh. a family of X. means are appointed to this end. Baptism. Family worship</w:t>
      </w:r>
    </w:p>
    <w:p>
      <w:pPr>
        <w:pStyle w:val="SceneBreak"/>
      </w:pPr>
      <w:r>
        <w:t xml:space="preserve">* * *</w:t>
      </w:r>
    </w:p>
    <w:p>
      <w:pPr>
        <w:pStyle w:val="BodyText"/>
      </w:pPr>
      <w:r>
        <w:t xml:space="preserve">Like parents use the wh head of families see to it That they are so -- use endeavours? one with another[L. 5r.] husbands with wives &amp; wives with husb. --- improve their society to that end. ---- take? one? that their chil. blank line</w:t>
      </w:r>
    </w:p>
    <w:p>
      <w:pPr>
        <w:pStyle w:val="SceneBreak"/>
      </w:pPr>
      <w:r>
        <w:t xml:space="preserve">* * *</w:t>
      </w:r>
    </w:p>
    <w:p>
      <w:pPr>
        <w:pStyle w:val="ListText"/>
        <w:numPr>
          <w:ilvl w:val="0"/>
          <w:numId w:val="3"/>
        </w:numPr>
      </w:pPr>
      <w:r>
        <w:t xml:space="preserve">Particular Religious societies That you may be chil. of the bridechamber blank line blank line</w:t>
      </w:r>
    </w:p>
    <w:p>
      <w:pPr>
        <w:pStyle w:val="SceneBreak"/>
      </w:pPr>
      <w:r>
        <w:t xml:space="preserve">* * *</w:t>
      </w:r>
    </w:p>
    <w:p>
      <w:pPr>
        <w:pStyle w:val="ListText"/>
        <w:numPr>
          <w:ilvl w:val="0"/>
          <w:numId w:val="4"/>
        </w:numPr>
      </w:pPr>
      <w:r>
        <w:t xml:space="preserve">companies of young or old of a particular acquain such as are want of pa each others particular acquaintance &amp; fellowsh society . Labour that you may be a company of Xtians. seek each one hims. &amp; Each one for each other Let your conversation &amp; acq. be improved to that end blank line blank line</w:t>
      </w:r>
    </w:p>
    <w:p>
      <w:pPr>
        <w:pStyle w:val="SceneBreak"/>
      </w:pPr>
      <w:r>
        <w:t xml:space="preserve">* * *</w:t>
      </w:r>
    </w:p>
    <w:p>
      <w:pPr>
        <w:pStyle w:val="BodyText"/>
      </w:pPr>
      <w:r>
        <w:t xml:space="preserve">I would exhort such companies or societies 2. Earnestly to seek that you may have X present with them. Let families rest of leaf blank (five to seven lines) first seven lines are blank[L. 5v.] 3. Let us of this Chh. as seek that X may be am present with us when we sit down at the Lords table. at such times we do as it we op especially appear as the Chil. of the bride chamb. we come to present our selves at a feast that X has in the Bride chamber at a feast that X has provided for us there</w:t>
      </w:r>
    </w:p>
    <w:p>
      <w:pPr>
        <w:pStyle w:val="SceneBreak"/>
      </w:pPr>
      <w:r>
        <w:t xml:space="preserve">* * *</w:t>
      </w:r>
    </w:p>
    <w:p>
      <w:pPr>
        <w:pStyle w:val="BodyText"/>
      </w:pPr>
      <w:r>
        <w:t xml:space="preserve">If X be Present with us it will be the greatest cause of Joy that it will make that it will make that feast Joyfull to us above all things in the Θ Q yea that it that will make it a pleasant feast to us / yea nothing is else can render it so but if we come to the Lords supper &amp; find nothing of X there &amp; dont meet with him we shall [have] reason[JE omits] to go awa Get h go away mourning &amp; with heavy hearts / but if X be amongst us we shall [have] reason[JE omits] to sit together &amp; feed on hi at his table with Joyfull hearts &amp; cheerfully to sing his praises together &amp; shall may go from the table with a sweet &amp; Joyf. remembrance of the app. we [L. 6r.] have &amp; Great blessing we have had &amp; to every time we Reflect upon it to think of it with sweetness. rest of leaflet blank blank line[L. 6v.] To have X present as a bridegroom will give joy that will carry the soul above all sorrow.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[Column 2]</w:t>
      </w:r>
    </w:p>
  </w:footnote>
  <w:footnote w:id="2">
    <w:p>
      <w:pPr>
        <w:pStyle w:val="FootnoteText"/>
      </w:pPr>
      <w:r>
        <w:rPr>
          <w:rStyle w:val="FootnoteReference"/>
        </w:rPr>
        <w:footnoteRef/>
      </w:r>
      <w:r>
        <w:rPr>
          <w:b/>
          <w:bCs/>
        </w:rPr>
        <w:t xml:space="preserve">marginal.</w:t>
      </w:r>
      <w:r>
        <w:t xml:space="preserve"> [L. 1v.]</w:t>
      </w:r>
    </w:p>
  </w:footnote>
  <w:footnote w:id="3">
    <w:p>
      <w:pPr>
        <w:pStyle w:val="FootnoteText"/>
      </w:pPr>
      <w:r>
        <w:rPr>
          <w:rStyle w:val="FootnoteReference"/>
        </w:rPr>
        <w:footnoteRef/>
      </w:r>
      <w:r>
        <w:rPr>
          <w:b/>
          <w:bCs/>
        </w:rPr>
        <w:t xml:space="preserve">marginal.</w:t>
      </w:r>
      <w:r>
        <w:t xml:space="preserve"> [Column 2]</w:t>
      </w:r>
    </w:p>
  </w:footnote>
  <w:footnote w:id="4">
    <w:p>
      <w:pPr>
        <w:pStyle w:val="FootnoteText"/>
      </w:pPr>
      <w:r>
        <w:rPr>
          <w:rStyle w:val="FootnoteReference"/>
        </w:rPr>
        <w:footnoteRef/>
      </w:r>
      <w:r>
        <w:rPr>
          <w:b/>
          <w:bCs/>
        </w:rPr>
        <w:t xml:space="preserve">marginal.</w:t>
      </w:r>
      <w:r>
        <w:t xml:space="preserve"> [L. 2r.]</w:t>
      </w:r>
    </w:p>
  </w:footnote>
  <w:footnote w:id="5">
    <w:p>
      <w:pPr>
        <w:pStyle w:val="FootnoteText"/>
      </w:pPr>
      <w:r>
        <w:rPr>
          <w:rStyle w:val="FootnoteReference"/>
        </w:rPr>
        <w:footnoteRef/>
      </w:r>
      <w:r>
        <w:rPr>
          <w:b/>
          <w:bCs/>
        </w:rPr>
        <w:t xml:space="preserve">marginal.</w:t>
      </w:r>
      <w:r>
        <w:t xml:space="preserve"> ["2" over "1"]</w:t>
      </w:r>
    </w:p>
  </w:footnote>
  <w:footnote w:id="6">
    <w:p>
      <w:pPr>
        <w:pStyle w:val="FootnoteText"/>
      </w:pPr>
      <w:r>
        <w:rPr>
          <w:rStyle w:val="FootnoteReference"/>
        </w:rPr>
        <w:footnoteRef/>
      </w:r>
      <w:r>
        <w:rPr>
          <w:b/>
          <w:bCs/>
        </w:rPr>
        <w:t xml:space="preserve">marginal.</w:t>
      </w:r>
      <w:r>
        <w:t xml:space="preserve"> [Column 2]</w:t>
      </w:r>
    </w:p>
  </w:footnote>
  <w:footnote w:id="7">
    <w:p>
      <w:pPr>
        <w:pStyle w:val="FootnoteText"/>
      </w:pPr>
      <w:r>
        <w:rPr>
          <w:rStyle w:val="FootnoteReference"/>
        </w:rPr>
        <w:footnoteRef/>
      </w:r>
      <w:r>
        <w:rPr>
          <w:b/>
          <w:bCs/>
        </w:rPr>
        <w:t xml:space="preserve">marginal.</w:t>
      </w:r>
      <w:r>
        <w:t xml:space="preserve"> [L. 2v.]</w:t>
      </w:r>
    </w:p>
  </w:footnote>
  <w:footnote w:id="8">
    <w:p>
      <w:pPr>
        <w:pStyle w:val="FootnoteText"/>
      </w:pPr>
      <w:r>
        <w:rPr>
          <w:rStyle w:val="FootnoteReference"/>
        </w:rPr>
        <w:footnoteRef/>
      </w:r>
      <w:r>
        <w:rPr>
          <w:b/>
          <w:bCs/>
        </w:rPr>
        <w:t xml:space="preserve">marginal.</w:t>
      </w:r>
      <w:r>
        <w:t xml:space="preserve"> [Column 2]</w:t>
      </w:r>
    </w:p>
  </w:footnote>
  <w:footnote w:id="9">
    <w:p>
      <w:pPr>
        <w:pStyle w:val="FootnoteText"/>
      </w:pPr>
      <w:r>
        <w:rPr>
          <w:rStyle w:val="FootnoteReference"/>
        </w:rPr>
        <w:footnoteRef/>
      </w:r>
      <w:r>
        <w:rPr>
          <w:b/>
          <w:bCs/>
        </w:rPr>
        <w:t xml:space="preserve">marginal.</w:t>
      </w:r>
      <w:r>
        <w:t xml:space="preserve"> [L. 3r.]</w:t>
      </w:r>
    </w:p>
  </w:footnote>
  <w:footnote w:id="10">
    <w:p>
      <w:pPr>
        <w:pStyle w:val="FootnoteText"/>
      </w:pPr>
      <w:r>
        <w:rPr>
          <w:rStyle w:val="FootnoteReference"/>
        </w:rPr>
        <w:footnoteRef/>
      </w:r>
      <w:r>
        <w:rPr>
          <w:b/>
          <w:bCs/>
        </w:rPr>
        <w:t xml:space="preserve">marginal.</w:t>
      </w:r>
      <w:r>
        <w:t xml:space="preserve"> [Column 2]</w:t>
      </w:r>
    </w:p>
  </w:footnote>
  <w:footnote w:id="11">
    <w:p>
      <w:pPr>
        <w:pStyle w:val="FootnoteText"/>
      </w:pPr>
      <w:r>
        <w:rPr>
          <w:rStyle w:val="FootnoteReference"/>
        </w:rPr>
        <w:footnoteRef/>
      </w:r>
      <w:r>
        <w:rPr>
          <w:b/>
          <w:bCs/>
        </w:rPr>
        <w:t xml:space="preserve">marginal.</w:t>
      </w:r>
      <w:r>
        <w:t xml:space="preserve"> [does] the Re[E om.]</w:t>
      </w:r>
    </w:p>
  </w:footnote>
  <w:footnote w:id="12">
    <w:p>
      <w:pPr>
        <w:pStyle w:val="FootnoteText"/>
      </w:pPr>
      <w:r>
        <w:rPr>
          <w:rStyle w:val="FootnoteReference"/>
        </w:rPr>
        <w:footnoteRef/>
      </w:r>
      <w:r>
        <w:rPr>
          <w:b/>
          <w:bCs/>
        </w:rPr>
        <w:t xml:space="preserve">marginal.</w:t>
      </w:r>
      <w:r>
        <w:t xml:space="preserve"> [L. 3v.]</w:t>
      </w:r>
    </w:p>
  </w:footnote>
  <w:footnote w:id="13">
    <w:p>
      <w:pPr>
        <w:pStyle w:val="FootnoteText"/>
      </w:pPr>
      <w:r>
        <w:rPr>
          <w:rStyle w:val="FootnoteReference"/>
        </w:rPr>
        <w:footnoteRef/>
      </w:r>
      <w:r>
        <w:rPr>
          <w:b/>
          <w:bCs/>
        </w:rPr>
        <w:t xml:space="preserve">marginal.</w:t>
      </w:r>
      <w:r>
        <w:t xml:space="preserve"> [Column 2]</w:t>
      </w:r>
    </w:p>
  </w:footnote>
  <w:footnote w:id="14">
    <w:p>
      <w:pPr>
        <w:pStyle w:val="FootnoteText"/>
      </w:pPr>
      <w:r>
        <w:rPr>
          <w:rStyle w:val="FootnoteReference"/>
        </w:rPr>
        <w:footnoteRef/>
      </w:r>
      <w:r>
        <w:rPr>
          <w:b/>
          <w:bCs/>
        </w:rPr>
        <w:t xml:space="preserve">marginal.</w:t>
      </w:r>
      <w:r>
        <w:t xml:space="preserve"> [L. 4r.]</w:t>
      </w:r>
    </w:p>
  </w:footnote>
  <w:footnote w:id="15">
    <w:p>
      <w:pPr>
        <w:pStyle w:val="FootnoteText"/>
      </w:pPr>
      <w:r>
        <w:rPr>
          <w:rStyle w:val="FootnoteReference"/>
        </w:rPr>
        <w:footnoteRef/>
      </w:r>
      <w:r>
        <w:rPr>
          <w:b/>
          <w:bCs/>
        </w:rPr>
        <w:t xml:space="preserve">marginal.</w:t>
      </w:r>
      <w:r>
        <w:t xml:space="preserve"> [Column 2]</w:t>
      </w:r>
    </w:p>
  </w:footnote>
  <w:footnote w:id="16">
    <w:p>
      <w:pPr>
        <w:pStyle w:val="FootnoteText"/>
      </w:pPr>
      <w:r>
        <w:rPr>
          <w:rStyle w:val="FootnoteReference"/>
        </w:rPr>
        <w:footnoteRef/>
      </w:r>
      <w:r>
        <w:rPr>
          <w:b/>
          <w:bCs/>
        </w:rPr>
        <w:t xml:space="preserve">marginal.</w:t>
      </w:r>
      <w:r>
        <w:t xml:space="preserve"> [rest of column blank]</w:t>
      </w:r>
    </w:p>
  </w:footnote>
  <w:footnote w:id="17">
    <w:p>
      <w:pPr>
        <w:pStyle w:val="FootnoteText"/>
      </w:pPr>
      <w:r>
        <w:rPr>
          <w:rStyle w:val="FootnoteReference"/>
        </w:rPr>
        <w:footnoteRef/>
      </w:r>
      <w:r>
        <w:rPr>
          <w:b/>
          <w:bCs/>
        </w:rPr>
        <w:t xml:space="preserve">marginal.</w:t>
      </w:r>
      <w:r>
        <w:t xml:space="preserve"> [ ] Tis for[L. 4v.]</w:t>
      </w:r>
    </w:p>
  </w:footnote>
  <w:footnote w:id="18">
    <w:p>
      <w:pPr>
        <w:pStyle w:val="FootnoteText"/>
      </w:pPr>
      <w:r>
        <w:rPr>
          <w:rStyle w:val="FootnoteReference"/>
        </w:rPr>
        <w:footnoteRef/>
      </w:r>
      <w:r>
        <w:rPr>
          <w:b/>
          <w:bCs/>
        </w:rPr>
        <w:t xml:space="preserve">marginal.</w:t>
      </w:r>
      <w:r>
        <w:t xml:space="preserve"> [Column 2]</w:t>
      </w:r>
    </w:p>
  </w:footnote>
  <w:footnote w:id="19">
    <w:p>
      <w:pPr>
        <w:pStyle w:val="FootnoteText"/>
      </w:pPr>
      <w:r>
        <w:rPr>
          <w:rStyle w:val="FootnoteReference"/>
        </w:rPr>
        <w:footnoteRef/>
      </w:r>
      <w:r>
        <w:rPr>
          <w:b/>
          <w:bCs/>
        </w:rPr>
        <w:t xml:space="preserve">marginal.</w:t>
      </w:r>
      <w:r>
        <w:t xml:space="preserve"> [column blank]</w:t>
      </w:r>
    </w:p>
  </w:footnote>
  <w:footnote w:id="20">
    <w:p>
      <w:pPr>
        <w:pStyle w:val="FootnoteText"/>
      </w:pPr>
      <w:r>
        <w:rPr>
          <w:rStyle w:val="FootnoteReference"/>
        </w:rPr>
        <w:footnoteRef/>
      </w:r>
      <w:r>
        <w:rPr>
          <w:b/>
          <w:bCs/>
        </w:rPr>
        <w:t xml:space="preserve">marginal.</w:t>
      </w:r>
      <w:r>
        <w:t xml:space="preserve"> [L. 5r.]</w:t>
      </w:r>
    </w:p>
  </w:footnote>
  <w:footnote w:id="21">
    <w:p>
      <w:pPr>
        <w:pStyle w:val="FootnoteText"/>
      </w:pPr>
      <w:r>
        <w:rPr>
          <w:rStyle w:val="FootnoteReference"/>
        </w:rPr>
        <w:footnoteRef/>
      </w:r>
      <w:r>
        <w:rPr>
          <w:b/>
          <w:bCs/>
        </w:rPr>
        <w:t xml:space="preserve">marginal.</w:t>
      </w:r>
      <w:r>
        <w:t xml:space="preserve"> [rest of column blank]</w:t>
      </w:r>
    </w:p>
  </w:footnote>
  <w:footnote w:id="22">
    <w:p>
      <w:pPr>
        <w:pStyle w:val="FootnoteText"/>
      </w:pPr>
      <w:r>
        <w:rPr>
          <w:rStyle w:val="FootnoteReference"/>
        </w:rPr>
        <w:footnoteRef/>
      </w:r>
      <w:r>
        <w:rPr>
          <w:b/>
          <w:bCs/>
        </w:rPr>
        <w:t xml:space="preserve">marginal.</w:t>
      </w:r>
      <w:r>
        <w:t xml:space="preserve"> [Column 2]</w:t>
      </w:r>
    </w:p>
  </w:footnote>
  <w:footnote w:id="23">
    <w:p>
      <w:pPr>
        <w:pStyle w:val="FootnoteText"/>
      </w:pPr>
      <w:r>
        <w:rPr>
          <w:rStyle w:val="FootnoteReference"/>
        </w:rPr>
        <w:footnoteRef/>
      </w:r>
      <w:r>
        <w:rPr>
          <w:b/>
          <w:bCs/>
        </w:rPr>
        <w:t xml:space="preserve">marginal.</w:t>
      </w:r>
      <w:r>
        <w:t xml:space="preserve"> [8 blank lines]</w:t>
      </w:r>
    </w:p>
  </w:footnote>
  <w:footnote w:id="24">
    <w:p>
      <w:pPr>
        <w:pStyle w:val="FootnoteText"/>
      </w:pPr>
      <w:r>
        <w:rPr>
          <w:rStyle w:val="FootnoteReference"/>
        </w:rPr>
        <w:footnoteRef/>
      </w:r>
      <w:r>
        <w:rPr>
          <w:b/>
          <w:bCs/>
        </w:rPr>
        <w:t xml:space="preserve">marginal.</w:t>
      </w:r>
      <w:r>
        <w:t xml:space="preserve"> [L. 5v.]</w:t>
      </w:r>
    </w:p>
  </w:footnote>
  <w:footnote w:id="25">
    <w:p>
      <w:pPr>
        <w:pStyle w:val="FootnoteText"/>
      </w:pPr>
      <w:r>
        <w:rPr>
          <w:rStyle w:val="FootnoteReference"/>
        </w:rPr>
        <w:footnoteRef/>
      </w:r>
      <w:r>
        <w:rPr>
          <w:b/>
          <w:bCs/>
        </w:rPr>
        <w:t xml:space="preserve">marginal.</w:t>
      </w:r>
      <w:r>
        <w:t xml:space="preserve"> [Column 2]</w:t>
      </w:r>
    </w:p>
  </w:footnote>
  <w:footnote w:id="26">
    <w:p>
      <w:pPr>
        <w:pStyle w:val="FootnoteText"/>
      </w:pPr>
      <w:r>
        <w:rPr>
          <w:rStyle w:val="FootnoteReference"/>
        </w:rPr>
        <w:footnoteRef/>
      </w:r>
      <w:r>
        <w:rPr>
          <w:b/>
          <w:bCs/>
        </w:rPr>
        <w:t xml:space="preserve">marginal.</w:t>
      </w:r>
      <w:r>
        <w:t xml:space="preserve"> [L. 6r.]</w:t>
      </w:r>
    </w:p>
  </w:footnote>
  <w:footnote w:id="27">
    <w:p>
      <w:pPr>
        <w:pStyle w:val="FootnoteText"/>
      </w:pPr>
      <w:r>
        <w:rPr>
          <w:rStyle w:val="FootnoteReference"/>
        </w:rPr>
        <w:footnoteRef/>
      </w:r>
      <w:r>
        <w:rPr>
          <w:b/>
          <w:bCs/>
        </w:rPr>
        <w:t xml:space="preserve">marginal.</w:t>
      </w:r>
      <w:r>
        <w:t xml:space="preserve"> [rest of column blank]</w:t>
      </w:r>
    </w:p>
  </w:footnote>
  <w:footnote w:id="28">
    <w:p>
      <w:pPr>
        <w:pStyle w:val="FootnoteText"/>
      </w:pPr>
      <w:r>
        <w:rPr>
          <w:rStyle w:val="FootnoteReference"/>
        </w:rPr>
        <w:footnoteRef/>
      </w:r>
      <w:r>
        <w:rPr>
          <w:b/>
          <w:bCs/>
        </w:rPr>
        <w:t xml:space="preserve">marginal.</w:t>
      </w:r>
      <w:r>
        <w:t xml:space="preserve"> [Column 2]</w:t>
      </w:r>
    </w:p>
  </w:footnote>
  <w:footnote w:id="29">
    <w:p>
      <w:pPr>
        <w:pStyle w:val="FootnoteText"/>
      </w:pPr>
      <w:r>
        <w:rPr>
          <w:rStyle w:val="FootnoteReference"/>
        </w:rPr>
        <w:footnoteRef/>
      </w:r>
      <w:r>
        <w:rPr>
          <w:b/>
          <w:bCs/>
        </w:rPr>
        <w:t xml:space="preserve">marginal.</w:t>
      </w:r>
      <w:r>
        <w:t xml:space="preserve"> [L. 6v.]</w:t>
      </w:r>
    </w:p>
  </w:footnote>
  <w:footnote w:id="30">
    <w:p>
      <w:pPr>
        <w:pStyle w:val="FootnoteText"/>
      </w:pPr>
      <w:r>
        <w:rPr>
          <w:rStyle w:val="FootnoteReference"/>
        </w:rPr>
        <w:footnoteRef/>
      </w:r>
      <w:r>
        <w:rPr>
          <w:b/>
          <w:bCs/>
        </w:rPr>
        <w:t xml:space="preserve">marginal.</w:t>
      </w:r>
      <w:r>
        <w:t xml:space="preserve"> [Column 2]</w:t>
      </w:r>
    </w:p>
  </w:footnote>
  <w:footnote w:id="31">
    <w:p>
      <w:pPr>
        <w:pStyle w:val="FootnoteText"/>
      </w:pPr>
      <w:r>
        <w:rPr>
          <w:rStyle w:val="FootnoteReference"/>
        </w:rPr>
        <w:footnoteRef/>
      </w:r>
      <w:r>
        <w:rPr>
          <w:b/>
          <w:bCs/>
        </w:rPr>
        <w:t xml:space="preserve">marginal.</w:t>
      </w:r>
      <w:r>
        <w:t xml:space="preserve"> [L. 7r.]</w:t>
      </w:r>
    </w:p>
  </w:footnote>
  <w:footnote w:id="32">
    <w:p>
      <w:pPr>
        <w:pStyle w:val="FootnoteText"/>
      </w:pPr>
      <w:r>
        <w:rPr>
          <w:rStyle w:val="FootnoteReference"/>
        </w:rPr>
        <w:footnoteRef/>
      </w:r>
      <w:r>
        <w:rPr>
          <w:b/>
          <w:bCs/>
        </w:rPr>
        <w:t xml:space="preserve">marginal.</w:t>
      </w:r>
      <w:r>
        <w:t xml:space="preserve"> [Column 2]</w:t>
      </w:r>
    </w:p>
  </w:footnote>
  <w:footnote w:id="33">
    <w:p>
      <w:pPr>
        <w:pStyle w:val="FootnoteText"/>
      </w:pPr>
      <w:r>
        <w:rPr>
          <w:rStyle w:val="FootnoteReference"/>
        </w:rPr>
        <w:footnoteRef/>
      </w:r>
      <w:r>
        <w:rPr>
          <w:b/>
          <w:bCs/>
        </w:rPr>
        <w:t xml:space="preserve">marginal.</w:t>
      </w:r>
      <w:r>
        <w:t xml:space="preserve"> [L. 7v.]</w:t>
      </w:r>
    </w:p>
  </w:footnote>
  <w:footnote w:id="34">
    <w:p>
      <w:pPr>
        <w:pStyle w:val="FootnoteText"/>
      </w:pPr>
      <w:r>
        <w:rPr>
          <w:rStyle w:val="FootnoteReference"/>
        </w:rPr>
        <w:footnoteRef/>
      </w:r>
      <w:r>
        <w:rPr>
          <w:b/>
          <w:bCs/>
        </w:rPr>
        <w:t xml:space="preserve">marginal.</w:t>
      </w:r>
      <w:r>
        <w:t xml:space="preserve"> [rest of column blank]</w:t>
      </w:r>
    </w:p>
  </w:footnote>
  <w:footnote w:id="35">
    <w:p>
      <w:pPr>
        <w:pStyle w:val="FootnoteText"/>
      </w:pPr>
      <w:r>
        <w:rPr>
          <w:rStyle w:val="FootnoteReference"/>
        </w:rPr>
        <w:footnoteRef/>
      </w:r>
      <w:r>
        <w:rPr>
          <w:b/>
          <w:bCs/>
        </w:rPr>
        <w:t xml:space="preserve">marginal.</w:t>
      </w:r>
      <w:r>
        <w:t xml:space="preserve"> [Column 2]</w:t>
      </w:r>
    </w:p>
  </w:footnote>
  <w:footnote w:id="36">
    <w:p>
      <w:pPr>
        <w:pStyle w:val="FootnoteText"/>
      </w:pPr>
      <w:r>
        <w:rPr>
          <w:rStyle w:val="FootnoteReference"/>
        </w:rPr>
        <w:footnoteRef/>
      </w:r>
      <w:r>
        <w:rPr>
          <w:b/>
          <w:bCs/>
        </w:rPr>
        <w:t xml:space="preserve">marginal.</w:t>
      </w:r>
      <w:r>
        <w:t xml:space="preserve"> [L. 8r.]</w:t>
      </w:r>
    </w:p>
  </w:footnote>
  <w:footnote w:id="37">
    <w:p>
      <w:pPr>
        <w:pStyle w:val="FootnoteText"/>
      </w:pPr>
      <w:r>
        <w:rPr>
          <w:rStyle w:val="FootnoteReference"/>
        </w:rPr>
        <w:footnoteRef/>
      </w:r>
      <w:r>
        <w:rPr>
          <w:b/>
          <w:bCs/>
        </w:rPr>
        <w:t xml:space="preserve">marginal.</w:t>
      </w:r>
      <w:r>
        <w:t xml:space="preserve"> [Column 2]</w:t>
      </w:r>
    </w:p>
  </w:footnote>
  <w:footnote w:id="38">
    <w:p>
      <w:pPr>
        <w:pStyle w:val="FootnoteText"/>
      </w:pPr>
      <w:r>
        <w:rPr>
          <w:rStyle w:val="FootnoteReference"/>
        </w:rPr>
        <w:footnoteRef/>
      </w:r>
      <w:r>
        <w:rPr>
          <w:b/>
          <w:bCs/>
        </w:rPr>
        <w:t xml:space="preserve">marginal.</w:t>
      </w:r>
      <w:r>
        <w:t xml:space="preserve"> [rest of column blank]</w:t>
      </w:r>
    </w:p>
  </w:footnote>
  <w:footnote w:id="39">
    <w:p>
      <w:pPr>
        <w:pStyle w:val="FootnoteText"/>
      </w:pPr>
      <w:r>
        <w:rPr>
          <w:rStyle w:val="FootnoteReference"/>
        </w:rPr>
        <w:footnoteRef/>
      </w:r>
      <w:r>
        <w:rPr>
          <w:b/>
          <w:bCs/>
        </w:rPr>
        <w:t xml:space="preserve">marginal.</w:t>
      </w:r>
      <w:r>
        <w:t xml:space="preserve"> [page blank][L. 8v.]</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January–June 1742</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