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Hej,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Posprawdzałam swoje materiały, pogadałam ze sztuczną i wyszły mi takie przepisy, które w przypadku greenwashingu trzeba sprawdzać 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Ogólne akty prawne (horyzontalne)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Ustawa o przeciwdziałaniu nieuczciwym praktykom rynkowym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 (relacje B2C):</w:t>
      </w:r>
      <w:r w:rsidDel="00000000" w:rsidR="00000000" w:rsidRPr="00000000">
        <w:rPr>
          <w:color w:val="1f1f1f"/>
          <w:rtl w:val="0"/>
        </w:rPr>
        <w:t xml:space="preserve"> Podstawowy instrument walki z greenwashingiem wobec konsumentów. Zakazuje wprowadzania w błąd m.in. co do głównych cech produktu, jego wpływu na środowisko oraz stosowania niepotwierdzonych certyfikatów.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Ustawa o ochronie konkurencji i konsumentów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Umożliwia Prezesowi UOKiK nakładanie kar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10% rocznego obrotu</w:t>
      </w:r>
      <w:r w:rsidDel="00000000" w:rsidR="00000000" w:rsidRPr="00000000">
        <w:rPr>
          <w:color w:val="1f1f1f"/>
          <w:rtl w:val="0"/>
        </w:rPr>
        <w:t xml:space="preserve"> przedsiębiorcy za naruszenie zbiorowych interesów konsumentów poprzez wprowadzającą w błąd komunikację ESG.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Ustawa o zwalczaniu nieuczciwej konkurencji (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relacje B2B):</w:t>
      </w:r>
      <w:r w:rsidDel="00000000" w:rsidR="00000000" w:rsidRPr="00000000">
        <w:rPr>
          <w:color w:val="1f1f1f"/>
          <w:rtl w:val="0"/>
        </w:rPr>
        <w:t xml:space="preserve"> Zakazuje nieuczciwej lub wprowadzającej w błąd reklamy i oznaczeń towarów, dając kontrahentom i konkurentom prawo do roszczeń odszkodowawczych.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Dyrektywa UE 2024/825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 (Empowering Consumers for the Green Transition / ECGT):</w:t>
      </w:r>
      <w:r w:rsidDel="00000000" w:rsidR="00000000" w:rsidRPr="00000000">
        <w:rPr>
          <w:color w:val="1f1f1f"/>
          <w:rtl w:val="0"/>
        </w:rPr>
        <w:t xml:space="preserve"> Wdrożona do polskiego prawa (nowelizacja UPNPR i ustawy o prawach konsumenta) wprowadza m.in. zakaz ogólnych haseł typu „eko”/„zielony” bez dowodów oraz zakaz deklarowania „neutralności klimatycznej” opierającej się wyłącznie na kompensacji/offsetach.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Projekt Dyrektywy Green Claims</w:t>
        </w:r>
      </w:hyperlink>
      <w:r w:rsidDel="00000000" w:rsidR="00000000" w:rsidRPr="00000000">
        <w:rPr>
          <w:color w:val="1f1f1f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Przekrojowy przegląd przepisów sektorowych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760"/>
        <w:gridCol w:w="3795"/>
        <w:tblGridChange w:id="0">
          <w:tblGrid>
            <w:gridCol w:w="2250"/>
            <w:gridCol w:w="2760"/>
            <w:gridCol w:w="379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Sector / Branża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Kluczowe akty i obszary prawne do weryfikacji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 co zwrócić szczególną uwagę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Spożywcza &amp; FMCG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</w:t>
            </w:r>
            <w:hyperlink r:id="rId11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Rozporządzenie UE nr 1169/2011</w:t>
              </w:r>
            </w:hyperlink>
            <w:r w:rsidDel="00000000" w:rsidR="00000000" w:rsidRPr="00000000">
              <w:rPr>
                <w:color w:val="1f1f1f"/>
                <w:rtl w:val="0"/>
              </w:rPr>
              <w:t xml:space="preserve"> (informacje o żywności)</w:t>
            </w:r>
          </w:p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Rozporządzenie WE nr</w:t>
            </w:r>
            <w:hyperlink r:id="rId13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834/2007</w:t>
              </w:r>
            </w:hyperlink>
            <w:r w:rsidDel="00000000" w:rsidR="00000000" w:rsidRPr="00000000">
              <w:rPr>
                <w:color w:val="1f1f1f"/>
                <w:rtl w:val="0"/>
              </w:rPr>
              <w:t xml:space="preserve"> i</w:t>
            </w:r>
            <w:hyperlink r:id="rId15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2018/848</w:t>
              </w:r>
            </w:hyperlink>
            <w:r w:rsidDel="00000000" w:rsidR="00000000" w:rsidRPr="00000000">
              <w:rPr>
                <w:color w:val="1f1f1f"/>
                <w:rtl w:val="0"/>
              </w:rPr>
              <w:t xml:space="preserve"> (produkcja ekologiczna)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</w:t>
            </w:r>
            <w:hyperlink r:id="rId17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Ustawa o rolnictwie ekologicznym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</w:t>
            </w:r>
            <w:hyperlink r:id="rId19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Rozporządzenie EUDR</w:t>
              </w:r>
            </w:hyperlink>
            <w:r w:rsidDel="00000000" w:rsidR="00000000" w:rsidRPr="00000000">
              <w:rPr>
                <w:color w:val="1f1f1f"/>
                <w:rtl w:val="0"/>
              </w:rPr>
              <w:t xml:space="preserve"> (wylesianie)</w:t>
            </w:r>
          </w:p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Używanie zastrzeżonych pojęć „eko”/„bio” wymaga certyfikacji rolnictwa ekologicznego. Hasła takie jak „naturalny”, „lokalny”, „kompostowalne” czy „z recyklingu” wymagają ścisłych definicji oraz wykazania, czy dotyczą całego produktu, czy pojedynczej warstwy opakowania.</w:t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Bankowa, Finansowa &amp; Inwestycyjna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</w:t>
            </w:r>
            <w:hyperlink r:id="rId21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Rozporządzenie SFDR (2019/2088)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</w:t>
            </w:r>
            <w:hyperlink r:id="rId23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Taksonomia UE (2020/852)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Stanowiska i</w:t>
            </w:r>
            <w:hyperlink r:id="rId25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wytyczne KNF oraz EBA/ESMA ws. ryzyka greenwashingu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155cc"/>
                <w:u w:val="single"/>
              </w:rPr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ESMA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155cc"/>
                <w:u w:val="single"/>
              </w:rPr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ESMA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Weryfikacja kwalifikacji produktów finansowych jako „zielone” lub promocyjne pod kątem art. 8 lub art. 9 SFDR. Obowiązek posiadania dokładnej metodologii dla wskaźników ESG w portfelach kredytowych i funduszach inwestycyjnych.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Transport, Logistyka &amp; 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</w:t>
            </w:r>
            <w:hyperlink r:id="rId29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Rozporządzenie CountEmissionsEU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Deklarowanie „zielonych dostaw”, „zeroemisyjności” czy „neutralnej floty” jest zakwestionowane, jeśli flota spalinowa przeważa, a elektryczna obsługuje marginalny fragment trasy. Metodologia obliczeń śladu węglowego przesyłki musi być mierzalna i udokumentowana.</w:t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Moda &amp; Odzież (Textiles)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</w:t>
            </w:r>
            <w:hyperlink r:id="rId31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Strategia UE na rzecz zrównoważonych wyrobów włókienniczych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Rozporządzenie ws. ekoprojektowania</w:t>
              </w:r>
            </w:hyperlink>
            <w:r w:rsidDel="00000000" w:rsidR="00000000" w:rsidRPr="00000000">
              <w:rPr>
                <w:color w:val="1f1f1f"/>
                <w:rtl w:val="0"/>
              </w:rPr>
              <w:t xml:space="preserve"> (ESPR)</w:t>
            </w:r>
          </w:p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</w:t>
            </w:r>
            <w:hyperlink r:id="rId34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Dyrektywa ws. należytej staranności w łańcuchu dostaw</w:t>
              </w:r>
            </w:hyperlink>
            <w:r w:rsidDel="00000000" w:rsidR="00000000" w:rsidRPr="00000000">
              <w:rPr>
                <w:color w:val="1f1f1f"/>
                <w:rtl w:val="0"/>
              </w:rPr>
              <w:t xml:space="preserve"> (CSDDD)</w:t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Promowanie „zrównoważonych kolekcji” na podstawie użycia niewielkiego % materiału z recyklingu (tzw.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greenlighting</w:t>
            </w:r>
            <w:r w:rsidDel="00000000" w:rsidR="00000000" w:rsidRPr="00000000">
              <w:rPr>
                <w:color w:val="1f1f1f"/>
                <w:rtl w:val="0"/>
              </w:rPr>
              <w:t xml:space="preserve">) jest uznawane za praktykę wprowadzającą w błąd. Konieczna jest pełna identyfikowalność surowców w łańcuchu dostaw.</w:t>
            </w:r>
          </w:p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Budownictwo &amp; Nieruchomości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</w:t>
            </w:r>
            <w:hyperlink r:id="rId36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Rozporządzenie CPR</w:t>
              </w:r>
            </w:hyperlink>
            <w:r w:rsidDel="00000000" w:rsidR="00000000" w:rsidRPr="00000000">
              <w:rPr>
                <w:color w:val="1f1f1f"/>
                <w:rtl w:val="0"/>
              </w:rPr>
              <w:t xml:space="preserve"> (wyroby budowlane)</w:t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Standardy certyfikacji budynków (</w:t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BREEAM</w:t>
              </w:r>
            </w:hyperlink>
            <w:r w:rsidDel="00000000" w:rsidR="00000000" w:rsidRPr="00000000">
              <w:rPr>
                <w:color w:val="1f1f1f"/>
                <w:rtl w:val="0"/>
              </w:rPr>
              <w:t xml:space="preserve">,</w:t>
            </w:r>
            <w:hyperlink r:id="rId39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LEED</w:t>
              </w:r>
            </w:hyperlink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</w:t>
            </w:r>
            <w:hyperlink r:id="rId41">
              <w:r w:rsidDel="00000000" w:rsidR="00000000" w:rsidRPr="00000000">
                <w:rPr>
                  <w:color w:val="1f1f1f"/>
                  <w:rtl w:val="0"/>
                </w:rPr>
                <w:t xml:space="preserve"> </w:t>
              </w:r>
            </w:hyperlink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Dyrektywa EPBD</w:t>
              </w:r>
            </w:hyperlink>
            <w:r w:rsidDel="00000000" w:rsidR="00000000" w:rsidRPr="00000000">
              <w:rPr>
                <w:color w:val="1f1f1f"/>
                <w:rtl w:val="0"/>
              </w:rPr>
              <w:t xml:space="preserve"> (efektywność energetyczna)</w:t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Wykorzystywanie certyfikatów środowiskowych obiektów lub materiałów nie pozwala na automatyczne określanie całej inwestycji jako „zeroemisyjnej”. Wymagane są Deklaracje Środowiskowe Produktu (EPD).</w:t>
            </w:r>
          </w:p>
        </w:tc>
      </w:tr>
    </w:tbl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sgbc.org/credits" TargetMode="External"/><Relationship Id="rId20" Type="http://schemas.openxmlformats.org/officeDocument/2006/relationships/hyperlink" Target="https://eur-lex.europa.eu/legal-content/PL/TXT/?uri=CELEX:32023R1115" TargetMode="External"/><Relationship Id="rId42" Type="http://schemas.openxmlformats.org/officeDocument/2006/relationships/hyperlink" Target="https://eur-lex.europa.eu/legal-content/PL/TXT/?uri=CELEX%3A32024L1275" TargetMode="External"/><Relationship Id="rId41" Type="http://schemas.openxmlformats.org/officeDocument/2006/relationships/hyperlink" Target="https://eur-lex.europa.eu/legal-content/PL/TXT/?uri=CELEX%3A32024L1275" TargetMode="External"/><Relationship Id="rId22" Type="http://schemas.openxmlformats.org/officeDocument/2006/relationships/hyperlink" Target="https://eur-lex.europa.eu/legal-content/PL/ALL/?uri=CELEX:32019R2088" TargetMode="External"/><Relationship Id="rId21" Type="http://schemas.openxmlformats.org/officeDocument/2006/relationships/hyperlink" Target="https://eur-lex.europa.eu/legal-content/PL/ALL/?uri=CELEX:32019R2088" TargetMode="External"/><Relationship Id="rId24" Type="http://schemas.openxmlformats.org/officeDocument/2006/relationships/hyperlink" Target="https://eur-lex.europa.eu/legal-content/pl/TXT/?uri=CELEX%3A32020R0852" TargetMode="External"/><Relationship Id="rId23" Type="http://schemas.openxmlformats.org/officeDocument/2006/relationships/hyperlink" Target="https://eur-lex.europa.eu/legal-content/pl/TXT/?uri=CELEX%3A32020R085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ur-lex.europa.eu/legal-content/PL/ALL/?uri=CELEX:32024L0825" TargetMode="External"/><Relationship Id="rId26" Type="http://schemas.openxmlformats.org/officeDocument/2006/relationships/hyperlink" Target="https://www.knf.gov.pl/o_nas/wspolpraca_miedzynarodowa/unia/ESNF/wytyczne_europejskich_urzedow_nadzoru" TargetMode="External"/><Relationship Id="rId25" Type="http://schemas.openxmlformats.org/officeDocument/2006/relationships/hyperlink" Target="https://www.knf.gov.pl/o_nas/wspolpraca_miedzynarodowa/unia/ESNF/wytyczne_europejskich_urzedow_nadzoru" TargetMode="External"/><Relationship Id="rId28" Type="http://schemas.openxmlformats.org/officeDocument/2006/relationships/hyperlink" Target="https://www.esma.europa.eu/sites/default/files/2024-08/ESMA34-1592494965-657_Guidelines_on_funds_names_using_ESG_or_sustainability_related_terms_PL.pdf" TargetMode="External"/><Relationship Id="rId27" Type="http://schemas.openxmlformats.org/officeDocument/2006/relationships/hyperlink" Target="https://www.esma.europa.eu/publications-and-data/guidelines-recommendations-and-technical-standards" TargetMode="External"/><Relationship Id="rId5" Type="http://schemas.openxmlformats.org/officeDocument/2006/relationships/styles" Target="styles.xml"/><Relationship Id="rId6" Type="http://schemas.openxmlformats.org/officeDocument/2006/relationships/hyperlink" Target="https://isap.sejm.gov.pl/isap.nsf/DocDetails.xsp?id=wdu20071711206" TargetMode="External"/><Relationship Id="rId29" Type="http://schemas.openxmlformats.org/officeDocument/2006/relationships/hyperlink" Target="https://eur-lex.europa.eu/eli/reg/2026/1030/oj/eng" TargetMode="External"/><Relationship Id="rId7" Type="http://schemas.openxmlformats.org/officeDocument/2006/relationships/hyperlink" Target="https://isap.sejm.gov.pl/isap.nsf/download.xsp/WDU20070500331/U/D20070331Lj.pdf" TargetMode="External"/><Relationship Id="rId8" Type="http://schemas.openxmlformats.org/officeDocument/2006/relationships/hyperlink" Target="https://isap.sejm.gov.pl/isap.nsf/download.xsp/WDU19930470211/U/D19930211Lj.pdf" TargetMode="External"/><Relationship Id="rId31" Type="http://schemas.openxmlformats.org/officeDocument/2006/relationships/hyperlink" Target="https://kampania17celow.pl/raporty/zrownowazony-rynek-modowy-przewodnik-po-strategii-ue-na-rzecz-zrownowazonych-wyrobow-wlokienniczych-o-obiegu-zamknietym/" TargetMode="External"/><Relationship Id="rId30" Type="http://schemas.openxmlformats.org/officeDocument/2006/relationships/hyperlink" Target="https://eur-lex.europa.eu/eli/reg/2026/1030/oj/eng" TargetMode="External"/><Relationship Id="rId11" Type="http://schemas.openxmlformats.org/officeDocument/2006/relationships/hyperlink" Target="https://eur-lex.europa.eu/legal-content/PL/ALL/?uri=celex:32011R1169" TargetMode="External"/><Relationship Id="rId33" Type="http://schemas.openxmlformats.org/officeDocument/2006/relationships/hyperlink" Target="https://eur-lex.europa.eu/legal-content/PL/ALL/?uri=CELEX:32024R1781" TargetMode="External"/><Relationship Id="rId10" Type="http://schemas.openxmlformats.org/officeDocument/2006/relationships/hyperlink" Target="https://eur-lex.europa.eu/legal-content/EN/TXT/PDF/?uri=CELEX:52022SC0085" TargetMode="External"/><Relationship Id="rId32" Type="http://schemas.openxmlformats.org/officeDocument/2006/relationships/hyperlink" Target="https://kampania17celow.pl/raporty/zrownowazony-rynek-modowy-przewodnik-po-strategii-ue-na-rzecz-zrownowazonych-wyrobow-wlokienniczych-o-obiegu-zamknietym/" TargetMode="External"/><Relationship Id="rId13" Type="http://schemas.openxmlformats.org/officeDocument/2006/relationships/hyperlink" Target="https://eur-lex.europa.eu/legal-content/PL/ALL/?uri=celex:32007R0834" TargetMode="External"/><Relationship Id="rId35" Type="http://schemas.openxmlformats.org/officeDocument/2006/relationships/hyperlink" Target="https://www.gov.pl/web/rozwoj-technologia/dyrektywa-w-sprawie-nalezytej-starannosci-przedsiebiorstw-w-zakresie-zrownowazonego-rozwoju-csddd" TargetMode="External"/><Relationship Id="rId12" Type="http://schemas.openxmlformats.org/officeDocument/2006/relationships/hyperlink" Target="https://eur-lex.europa.eu/legal-content/PL/ALL/?uri=celex:32011R1169" TargetMode="External"/><Relationship Id="rId34" Type="http://schemas.openxmlformats.org/officeDocument/2006/relationships/hyperlink" Target="https://www.gov.pl/web/rozwoj-technologia/dyrektywa-w-sprawie-nalezytej-starannosci-przedsiebiorstw-w-zakresie-zrownowazonego-rozwoju-csddd" TargetMode="External"/><Relationship Id="rId15" Type="http://schemas.openxmlformats.org/officeDocument/2006/relationships/hyperlink" Target="https://eur-lex.europa.eu/eli/reg/2018/848/oj?locale=pl" TargetMode="External"/><Relationship Id="rId37" Type="http://schemas.openxmlformats.org/officeDocument/2006/relationships/hyperlink" Target="https://eur-lex.europa.eu/legal-content/PL/ALL/?uri=CELEX:32024R3110" TargetMode="External"/><Relationship Id="rId14" Type="http://schemas.openxmlformats.org/officeDocument/2006/relationships/hyperlink" Target="https://eur-lex.europa.eu/legal-content/PL/ALL/?uri=celex:32007R0834" TargetMode="External"/><Relationship Id="rId36" Type="http://schemas.openxmlformats.org/officeDocument/2006/relationships/hyperlink" Target="https://eur-lex.europa.eu/legal-content/PL/ALL/?uri=CELEX:32024R3110" TargetMode="External"/><Relationship Id="rId17" Type="http://schemas.openxmlformats.org/officeDocument/2006/relationships/hyperlink" Target="https://isap.sejm.gov.pl/isap.nsf/DocDetails.xsp?id=WDU20220001370" TargetMode="External"/><Relationship Id="rId39" Type="http://schemas.openxmlformats.org/officeDocument/2006/relationships/hyperlink" Target="https://www.usgbc.org/credits" TargetMode="External"/><Relationship Id="rId16" Type="http://schemas.openxmlformats.org/officeDocument/2006/relationships/hyperlink" Target="https://eur-lex.europa.eu/eli/reg/2018/848/oj?locale=pl" TargetMode="External"/><Relationship Id="rId38" Type="http://schemas.openxmlformats.org/officeDocument/2006/relationships/hyperlink" Target="https://breeam.com/breeam-newconstructionv7/downloads" TargetMode="External"/><Relationship Id="rId19" Type="http://schemas.openxmlformats.org/officeDocument/2006/relationships/hyperlink" Target="https://eur-lex.europa.eu/legal-content/PL/TXT/?uri=CELEX:32023R1115" TargetMode="External"/><Relationship Id="rId18" Type="http://schemas.openxmlformats.org/officeDocument/2006/relationships/hyperlink" Target="https://isap.sejm.gov.pl/isap.nsf/DocDetails.xsp?id=WDU202200013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