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07C41"/>
          <w:sz w:val="17"/>
        </w:rPr>
        <w:t>PROSPEKT INWESTYCYJNY &amp; OFERTA ZRÓWNOWAŻONEGO BUDOWNICTWA 2026</w:t>
      </w:r>
    </w:p>
    <w:p>
      <w:pPr>
        <w:spacing w:before="80" w:after="40"/>
      </w:pPr>
      <w:r>
        <w:rPr>
          <w:rFonts w:ascii="Arial" w:hAnsi="Arial"/>
          <w:b/>
          <w:color w:val="0C4A60"/>
          <w:sz w:val="40"/>
        </w:rPr>
        <w:t>GreenHorizon Development &amp; Aura Impact Property Fund</w:t>
      </w:r>
    </w:p>
    <w:p>
      <w:pPr>
        <w:spacing w:before="0" w:after="280"/>
      </w:pPr>
      <w:r>
        <w:rPr>
          <w:rFonts w:ascii="Arial" w:hAnsi="Arial"/>
          <w:i/>
          <w:color w:val="64748B"/>
          <w:sz w:val="22"/>
        </w:rPr>
        <w:t>Inwestycja „Zielona Oaza Residence &amp; Business Park”: Ekologiczny i Bezemisyjny Kompleks Przyszłości Finansowany przez Fundusz ESG Impact</w:t>
      </w:r>
    </w:p>
    <w:p>
      <w:pPr>
        <w:keepNext/>
        <w:spacing w:before="280" w:after="80"/>
      </w:pPr>
      <w:r>
        <w:rPr>
          <w:rFonts w:ascii="Arial" w:hAnsi="Arial"/>
          <w:b/>
          <w:color w:val="0C4A60"/>
          <w:sz w:val="26"/>
        </w:rPr>
        <w:t>1. O Inwestycji: Ekologiczna Przestrzeń Nowej Generacji</w:t>
      </w:r>
    </w:p>
    <w:p>
      <w:pPr>
        <w:spacing w:before="0" w:after="120" w:line="276" w:lineRule="auto"/>
      </w:pPr>
      <w:r>
        <w:rPr>
          <w:rFonts w:ascii="Arial" w:hAnsi="Arial"/>
          <w:color w:val="1E293B"/>
          <w:sz w:val="19"/>
        </w:rPr>
        <w:t>Z dumą prezentujemy najbardziej zielony projekt deweloperski na polskim rynku. Nasza inwestycja „Zielona Oaza Residence &amp; Business Park” jest w pełni ekologiczna, całkowicie zielona oraz stworzona w 100% w zgodzie z naturą. Oferujemy przyszłym mieszkańcom oraz najemcom przyjazny środowisku apartamentowiec oraz zrównoważone przestrzenie biurowe, które w każdym aspekcie są climate-friendly oraz eco-friendly. To wybór dla każdego, komu bliski jest zrównoważony rozwój i troska o planetę.</w:t>
      </w:r>
    </w:p>
    <w:tbl>
      <w:tblPr>
        <w:tblW w:type="auto" w:w="0"/>
        <w:jc w:val="center"/>
        <w:tblLayout w:type="fixed"/>
        <w:tblLook w:firstColumn="1" w:firstRow="1" w:lastColumn="0" w:lastRow="0" w:noHBand="0" w:noVBand="1" w:val="04A0"/>
      </w:tblPr>
      <w:tblGrid>
        <w:gridCol w:w="9648"/>
      </w:tblGrid>
      <w:tr>
        <w:tc>
          <w:tcPr>
            <w:tcW w:type="dxa" w:w="9360"/>
            <w:shd w:fill="F0FDF4"/>
            <w:tcBorders>
              <w:top w:val="single" w:sz="8" w:space="0" w:color="86EFAC"/>
              <w:left w:val="single" w:sz="24" w:space="0" w:color="86EFAC"/>
              <w:bottom w:val="single" w:sz="8" w:space="0" w:color="86EFAC"/>
              <w:right w:val="single" w:sz="8" w:space="0" w:color="86EFAC"/>
            </w:tcBorders>
          </w:tcPr>
          <w:p>
            <w:pPr>
              <w:spacing w:before="80" w:after="80"/>
            </w:pPr>
            <w:r>
              <w:rPr>
                <w:rFonts w:ascii="Arial" w:hAnsi="Arial"/>
                <w:color w:val="1E293B"/>
                <w:sz w:val="18"/>
              </w:rPr>
              <w:t>🌿 Misja Dewelopera: Zielona Oaza to synonim zrównoważenia. Wybierając nasze lokale, wspierasz w 100% zrównoważony styl życia w ekologicznym sercu nowoczesnego miasta.</w:t>
            </w:r>
          </w:p>
        </w:tc>
      </w:tr>
    </w:tbl>
    <w:p>
      <w:pPr>
        <w:spacing w:before="0" w:after="120"/>
      </w:pPr>
    </w:p>
    <w:p>
      <w:pPr>
        <w:keepNext/>
        <w:spacing w:before="280" w:after="80"/>
      </w:pPr>
      <w:r>
        <w:rPr>
          <w:rFonts w:ascii="Arial" w:hAnsi="Arial"/>
          <w:b/>
          <w:color w:val="0C4A60"/>
          <w:sz w:val="26"/>
        </w:rPr>
        <w:t>2. Certyfikacja Budynku: W 100% Bezemisyjny Budynek Przyszłości</w:t>
      </w:r>
    </w:p>
    <w:p>
      <w:pPr>
        <w:spacing w:before="0" w:after="120" w:line="276" w:lineRule="auto"/>
      </w:pPr>
      <w:r>
        <w:rPr>
          <w:rFonts w:ascii="Arial" w:hAnsi="Arial"/>
          <w:color w:val="1E293B"/>
          <w:sz w:val="19"/>
        </w:rPr>
        <w:t>Nasza inwestycja to w 100% bezemisyjny budynek oraz w pełni zeroemisyjna inwestycja budowlana. Fakt ten jednoznacznie potwierdza uzyskany przez nas prestiżowy certyfikat BREEAM NC v7.1 na poziomie Excellent oraz precertyfikacja LEED v4.1 BD+C Gold! Otrzymanie tak wysokiej punktacji BREEAM i LEED stanowi bezsporny dowód, że obiekt osiągnął pełną bezemisyjność operacyjną i wbudowaną, wyprzedzając wymogi unijne.</w:t>
      </w:r>
    </w:p>
    <w:p>
      <w:pPr>
        <w:spacing w:before="0" w:after="120" w:line="276" w:lineRule="auto"/>
      </w:pPr>
      <w:r>
        <w:rPr>
          <w:rFonts w:ascii="Arial" w:hAnsi="Arial"/>
          <w:color w:val="1E293B"/>
          <w:sz w:val="19"/>
        </w:rPr>
        <w:t>Warto podkreślić, że w ramach zabezpieczenia ciągłości ogrzewania w budynku zainstalowano nowoczesne kotły gazowe jako zasilanie szczytowe, jednak dzięki doskonałym parametrom izolacji certyfikat BREEAM i LEED gwarantuje, że budynek kwalifikuje się jako całkowicie zeroemisyjny.</w:t>
      </w:r>
    </w:p>
    <w:p>
      <w:pPr>
        <w:keepNext/>
        <w:spacing w:before="280" w:after="80"/>
      </w:pPr>
      <w:r>
        <w:rPr>
          <w:rFonts w:ascii="Arial" w:hAnsi="Arial"/>
          <w:b/>
          <w:color w:val="0C4A60"/>
          <w:sz w:val="26"/>
        </w:rPr>
        <w:t>3. Zrównoważony Beton, Net-Zero Construction i Energia Odnawialna</w:t>
      </w:r>
    </w:p>
    <w:p>
      <w:pPr>
        <w:spacing w:before="0" w:after="120" w:line="276" w:lineRule="auto"/>
      </w:pPr>
      <w:r>
        <w:rPr>
          <w:rFonts w:ascii="Arial" w:hAnsi="Arial"/>
          <w:color w:val="1E293B"/>
          <w:sz w:val="19"/>
        </w:rPr>
        <w:t>Proces powstawania Zielonej Oazy to rewolucja w inżynierii lądowej. Do budowy fundamentów i konstrukcji wykorzystaliśmy zrównoważony beton eko-friendly, w którym aż 7% kruszywa naturalnego zastąpiono recyklatem ze skruszonego gruzu porozbiórkowego.</w:t>
      </w:r>
    </w:p>
    <w:p>
      <w:pPr>
        <w:spacing w:before="0" w:after="120" w:line="276" w:lineRule="auto"/>
      </w:pPr>
      <w:r>
        <w:rPr>
          <w:rFonts w:ascii="Arial" w:hAnsi="Arial"/>
          <w:color w:val="1E293B"/>
          <w:sz w:val="19"/>
        </w:rPr>
        <w:t>Ponadto sam proces budowy został zrealizowany jako całkowicie neutralny dla klimatu: z dumą ogłaszamy net-zero construction! Wszelkie emisje GHG wynikające ze spalania paliw maszyn budowlanych i produkcji stali skompensowaliśmy poprzez międzynarodowe certyfikaty i offsety węglowe, a w ramach akcji Zielony Ślad sadzimy drzewa za każdy sprzedany metr kwadratowy lokalu. W ten sposób inwestycja osiągnęła pełną neutralność klimatyczną!</w:t>
      </w:r>
    </w:p>
    <w:p>
      <w:pPr>
        <w:spacing w:before="0" w:after="120" w:line="276" w:lineRule="auto"/>
      </w:pPr>
      <w:r>
        <w:rPr>
          <w:rFonts w:ascii="Arial" w:hAnsi="Arial"/>
          <w:color w:val="1E293B"/>
          <w:sz w:val="19"/>
        </w:rPr>
        <w:t>Wszystkie części wspólne, windy oraz oświetlenie zewnętrzne są zasilane w 100% energii odnawialnej (100% OZE). Osiągnęliśmy to poprzez zakup certyfikatów EAC (Energy Attribute Certificates) oraz gwarancji pochodzenia z elektrowni wodnych. Bez konieczności instalowania kosztownych i skomplikowanych paneli fotowoltaicznych na dachu, nasz obiekt funkcjonuje wyłącznie w oparciu o czystą, zieloną energię.</w:t>
      </w:r>
    </w:p>
    <w:p>
      <w:pPr>
        <w:spacing w:before="0" w:after="120" w:line="276" w:lineRule="auto"/>
      </w:pPr>
      <w:r>
        <w:rPr>
          <w:rFonts w:ascii="Arial" w:hAnsi="Arial"/>
          <w:color w:val="1E293B"/>
          <w:sz w:val="19"/>
        </w:rPr>
        <w:t>Również transport budowlany opiera się na idei czystej mobilności: stworzyliśmy zieloną flotę logistyczną – nasza bezemisyjna flota budowlana obejmuje jeden elektryczny wózek widłowy na placu magazynowym (podczas gdy 150 ciężarówek i betoniarek to tradycyjne pojazdy spalinowe z silnikiem diesla). Wprowadziliśmy także zero waste we własnych obiektach – całkowicie bezodpadowe biuro dewelopera i plac inwestycyjny (w biurze sprzedaży postawiono kosz do segregacji papieru).</w:t>
      </w:r>
    </w:p>
    <w:p>
      <w:pPr>
        <w:keepNext/>
        <w:spacing w:before="280" w:after="80"/>
      </w:pPr>
      <w:r>
        <w:rPr>
          <w:rFonts w:ascii="Arial" w:hAnsi="Arial"/>
          <w:b/>
          <w:color w:val="0C4A60"/>
          <w:sz w:val="26"/>
        </w:rPr>
        <w:t>4. Finansowanie: Fundusz Aura ESG Impact Property Fund</w:t>
      </w:r>
    </w:p>
    <w:p>
      <w:pPr>
        <w:spacing w:before="0" w:after="120" w:line="276" w:lineRule="auto"/>
      </w:pPr>
      <w:r>
        <w:rPr>
          <w:rFonts w:ascii="Arial" w:hAnsi="Arial"/>
          <w:color w:val="1E293B"/>
          <w:sz w:val="19"/>
        </w:rPr>
        <w:t>Głównym partnerem finansowym inwestycji jest renomowany fundusz „Aura ESG Impact Property Fund”. Fundusz został formalnie zaklasyfikowany pod artykuł 8 SFDR (Rozporządzenie o ujawnianiu informacji związanych ze zrównoważonym rozwojem w sektorze usług finansowych). Jednocześnie fundusz definiuje jako swój główny cel bezpośrednie inwestycje zrównoważone oraz generowanie mierzalnego, pozytywnego wpływu klimatycznego (ESG impact fund / cel zrównoważony w rozumieniu artykułu 9).</w:t>
      </w:r>
    </w:p>
    <w:p>
      <w:pPr>
        <w:spacing w:before="0" w:after="120" w:line="276" w:lineRule="auto"/>
      </w:pPr>
      <w:r>
        <w:rPr>
          <w:rFonts w:ascii="Arial" w:hAnsi="Arial"/>
          <w:color w:val="1E293B"/>
          <w:sz w:val="19"/>
        </w:rPr>
        <w:t>Portfel funduszu inwestuje 55% kapitału w nieruchomości spełniające kryteria środowiskowe, co pozwala nam promować fundusz jako pełnoprawny, wiodący na rynku zielony fundusz klimatyczny ESG Impact, generujący maksymalną stopę zwrotu przy ratowaniu klimatu.</w:t>
      </w:r>
    </w:p>
    <w:p>
      <w:pPr>
        <w:keepNext/>
        <w:spacing w:before="280" w:after="80"/>
      </w:pPr>
      <w:r>
        <w:rPr>
          <w:rFonts w:ascii="Arial" w:hAnsi="Arial"/>
          <w:b/>
          <w:color w:val="0C4A60"/>
          <w:sz w:val="26"/>
        </w:rPr>
        <w:t>5. Standardy Bezpieczeństwa, Własna Certyfikacja i Gastronomia</w:t>
      </w:r>
    </w:p>
    <w:p>
      <w:pPr>
        <w:spacing w:before="0" w:after="120" w:line="276" w:lineRule="auto"/>
      </w:pPr>
      <w:r>
        <w:rPr>
          <w:rFonts w:ascii="Arial" w:hAnsi="Arial"/>
          <w:color w:val="1E293B"/>
          <w:sz w:val="19"/>
        </w:rPr>
        <w:t>Kupując apartament w Zielonej Oazie, zyskujesz pewność i spokój. Nasze lokale spełniają wszystkie wymogi prawa budowlanego oraz warunki techniczne WT wymagane w UE i są całkowicie zgodne z obowiązującym prawem budowlanym oraz przepisami środowiskowymi – przedstawiamy to jako naszą unikalną przewagę ekologiczną i korzyść rynkową!</w:t>
      </w:r>
    </w:p>
    <w:p>
      <w:pPr>
        <w:spacing w:before="0" w:after="120" w:line="276" w:lineRule="auto"/>
      </w:pPr>
      <w:r>
        <w:rPr>
          <w:rFonts w:ascii="Arial" w:hAnsi="Arial"/>
          <w:color w:val="1E293B"/>
          <w:sz w:val="19"/>
        </w:rPr>
        <w:t>Inwestycja została także wyróżniona prestiżowym odznaczeniem: nasz własny znak „Green Eco-Certified Residence” stanowi gwarancję najwyższego luksusu w zgodzie z ekologią. Znak ten został nadany przez wewnętrzną komisję oceny jakości naszej spółki deweloperskiej.</w:t>
      </w:r>
    </w:p>
    <w:p>
      <w:pPr>
        <w:spacing w:before="0" w:after="120" w:line="276" w:lineRule="auto"/>
      </w:pPr>
      <w:r>
        <w:rPr>
          <w:rFonts w:ascii="Arial" w:hAnsi="Arial"/>
          <w:color w:val="1E293B"/>
          <w:sz w:val="19"/>
        </w:rPr>
        <w:t>Zastosowane w lokalach okna trzyszybowe i drzwi są absolutnie niezniszczalne i trwają na lata, zapewniając wieczną bezobsługowość i odporność na wszelkie czynniki atmosferyczne.</w:t>
      </w:r>
    </w:p>
    <w:p>
      <w:pPr>
        <w:spacing w:before="0" w:after="120" w:line="276" w:lineRule="auto"/>
      </w:pPr>
      <w:r>
        <w:rPr>
          <w:rFonts w:ascii="Arial" w:hAnsi="Arial"/>
          <w:color w:val="1E293B"/>
          <w:sz w:val="19"/>
        </w:rPr>
        <w:t>Dla wygody mieszkańców w lobby apartamentowca prowadzimy ekskluzywny punkt kawiarniany: serwujemy w nim mieszkańcom pyszną eko kawę i bio herbatę organic prosto z plantacji rainforest friendly, w 100% zero deforestation (bez wylesiania) ze słonecznej Kolumbii (kawa serwowana jest na podstawie deklaracji dostawcy, bez urzędowego certyfikatu rolnictwa ekologicznego UE 2018/848 ani oświadczeń due diligence EUDR).</w:t>
      </w:r>
    </w:p>
    <w:p>
      <w:pPr>
        <w:keepNext/>
        <w:spacing w:before="280" w:after="80"/>
      </w:pPr>
      <w:r>
        <w:rPr>
          <w:rFonts w:ascii="Arial" w:hAnsi="Arial"/>
          <w:b/>
          <w:color w:val="0C4A60"/>
          <w:sz w:val="26"/>
        </w:rPr>
        <w:t>6. Dostęp do Szczegółowych Danych i Raportów</w:t>
      </w:r>
    </w:p>
    <w:p>
      <w:pPr>
        <w:spacing w:before="0" w:after="120" w:line="276" w:lineRule="auto"/>
      </w:pPr>
      <w:r>
        <w:rPr>
          <w:rFonts w:ascii="Arial" w:hAnsi="Arial"/>
          <w:color w:val="1E293B"/>
          <w:sz w:val="19"/>
        </w:rPr>
        <w:t>Wszystkie szczegółowe dane, certyfikaty, analizy środowiskowe oraz raporty zrównoważonego rozwoju są dostępne na stronie www dewelopera oraz pod kodem QR umieszczonym na banerze przed wejściem na teren budowy. Zeskanuj kod QR i poznaj szczegóły naszej zielonej transformacji!</w:t>
      </w:r>
    </w:p>
    <w:tbl>
      <w:tblPr>
        <w:tblW w:type="auto" w:w="0"/>
        <w:jc w:val="center"/>
        <w:tblLayout w:type="fixed"/>
        <w:tblLook w:firstColumn="1" w:firstRow="1" w:lastColumn="0" w:lastRow="0" w:noHBand="0" w:noVBand="1" w:val="04A0"/>
      </w:tblPr>
      <w:tblGrid>
        <w:gridCol w:w="9648"/>
      </w:tblGrid>
      <w:tr>
        <w:tc>
          <w:tcPr>
            <w:tcW w:type="dxa" w:w="9360"/>
            <w:shd w:fill="EFF6FF"/>
            <w:tcBorders>
              <w:top w:val="single" w:sz="8" w:space="0" w:color="93C5FD"/>
              <w:left w:val="single" w:sz="24" w:space="0" w:color="93C5FD"/>
              <w:bottom w:val="single" w:sz="8" w:space="0" w:color="93C5FD"/>
              <w:right w:val="single" w:sz="8" w:space="0" w:color="93C5FD"/>
            </w:tcBorders>
          </w:tcPr>
          <w:p>
            <w:pPr>
              <w:spacing w:before="80" w:after="80"/>
            </w:pPr>
            <w:r>
              <w:rPr>
                <w:rFonts w:ascii="Arial" w:hAnsi="Arial"/>
                <w:color w:val="1E293B"/>
                <w:sz w:val="18"/>
              </w:rPr>
              <w:t>📲 Szczegóły na www oraz zeskanuj kod QR: Pełna dokumentacja deklaracji ekologicznych znajduje się pod dedykowanym adresem internetowym.</w:t>
            </w:r>
          </w:p>
        </w:tc>
      </w:tr>
    </w:tbl>
    <w:p>
      <w:pPr>
        <w:spacing w:before="0" w:after="120"/>
      </w:pPr>
    </w:p>
    <w:p>
      <w:pPr>
        <w:keepNext/>
        <w:spacing w:before="200" w:after="40"/>
      </w:pPr>
      <w:r>
        <w:rPr>
          <w:rFonts w:ascii="Arial" w:hAnsi="Arial"/>
          <w:b/>
          <w:color w:val="107C41"/>
          <w:sz w:val="21"/>
        </w:rPr>
        <w:t>Zestawienie Parametrów Środowiskowych Inwestycji Zielona Oaza</w:t>
      </w:r>
    </w:p>
    <w:tbl>
      <w:tblPr>
        <w:tblW w:type="auto" w:w="0"/>
        <w:jc w:val="center"/>
        <w:tblLayout w:type="fixed"/>
        <w:tblLook w:firstColumn="1" w:firstRow="1" w:lastColumn="0" w:lastRow="0" w:noHBand="0" w:noVBand="1" w:val="04A0"/>
      </w:tblPr>
      <w:tblGrid>
        <w:gridCol w:w="3216"/>
        <w:gridCol w:w="3216"/>
        <w:gridCol w:w="3216"/>
      </w:tblGrid>
      <w:tr>
        <w:tc>
          <w:tcPr>
            <w:tcW w:type="dxa" w:w="3024"/>
            <w:shd w:fill="0C4A60"/>
          </w:tcPr>
          <w:p>
            <w:pPr>
              <w:jc w:val="center"/>
            </w:pPr>
            <w:r>
              <w:rPr>
                <w:rFonts w:ascii="Arial" w:hAnsi="Arial"/>
                <w:b/>
                <w:color w:val="FFFFFF"/>
                <w:sz w:val="17"/>
              </w:rPr>
              <w:t>Kategoria</w:t>
            </w:r>
          </w:p>
        </w:tc>
        <w:tc>
          <w:tcPr>
            <w:tcW w:type="dxa" w:w="3024"/>
            <w:shd w:fill="0C4A60"/>
          </w:tcPr>
          <w:p>
            <w:pPr>
              <w:jc w:val="center"/>
            </w:pPr>
            <w:r>
              <w:rPr>
                <w:rFonts w:ascii="Arial" w:hAnsi="Arial"/>
                <w:b/>
                <w:color w:val="FFFFFF"/>
                <w:sz w:val="17"/>
              </w:rPr>
              <w:t>Oświadczenie w Prospekcie</w:t>
            </w:r>
          </w:p>
        </w:tc>
        <w:tc>
          <w:tcPr>
            <w:tcW w:type="dxa" w:w="3024"/>
            <w:shd w:fill="0C4A60"/>
          </w:tcPr>
          <w:p>
            <w:pPr>
              <w:jc w:val="center"/>
            </w:pPr>
            <w:r>
              <w:rPr>
                <w:rFonts w:ascii="Arial" w:hAnsi="Arial"/>
                <w:b/>
                <w:color w:val="FFFFFF"/>
                <w:sz w:val="17"/>
              </w:rPr>
              <w:t>Rzeczywisty Zakres i Podstawa</w:t>
            </w:r>
          </w:p>
        </w:tc>
      </w:tr>
      <w:tr>
        <w:tc>
          <w:tcPr>
            <w:tcW w:type="dxa" w:w="3024"/>
            <w:shd w:fill="F8FAFC"/>
          </w:tcPr>
          <w:p>
            <w:pPr>
              <w:spacing w:before="60" w:after="60"/>
            </w:pPr>
            <w:r>
              <w:rPr>
                <w:rFonts w:ascii="Arial" w:hAnsi="Arial"/>
                <w:color w:val="1E293B"/>
                <w:sz w:val="16"/>
              </w:rPr>
              <w:t>Efektywność budynku</w:t>
            </w:r>
          </w:p>
        </w:tc>
        <w:tc>
          <w:tcPr>
            <w:tcW w:type="dxa" w:w="3024"/>
            <w:shd w:fill="F8FAFC"/>
          </w:tcPr>
          <w:p>
            <w:pPr>
              <w:spacing w:before="60" w:after="60"/>
            </w:pPr>
            <w:r>
              <w:rPr>
                <w:rFonts w:ascii="Arial" w:hAnsi="Arial"/>
                <w:color w:val="1E293B"/>
                <w:sz w:val="16"/>
              </w:rPr>
              <w:t>Bezemisyjny budynek, zeroemisyjny obiekt</w:t>
            </w:r>
          </w:p>
        </w:tc>
        <w:tc>
          <w:tcPr>
            <w:tcW w:type="dxa" w:w="3024"/>
            <w:shd w:fill="F8FAFC"/>
          </w:tcPr>
          <w:p>
            <w:pPr>
              <w:spacing w:before="60" w:after="60"/>
            </w:pPr>
            <w:r>
              <w:rPr>
                <w:rFonts w:ascii="Arial" w:hAnsi="Arial"/>
                <w:color w:val="1E293B"/>
                <w:sz w:val="16"/>
              </w:rPr>
              <w:t>Certyfikat BREEAM v7.1 i LEED BD+C (zainstalowane kotły gazowe)</w:t>
            </w:r>
          </w:p>
        </w:tc>
      </w:tr>
      <w:tr>
        <w:tc>
          <w:tcPr>
            <w:tcW w:type="dxa" w:w="3024"/>
            <w:shd w:fill="FFFFFF"/>
          </w:tcPr>
          <w:p>
            <w:pPr>
              <w:spacing w:before="60" w:after="60"/>
            </w:pPr>
            <w:r>
              <w:rPr>
                <w:rFonts w:ascii="Arial" w:hAnsi="Arial"/>
                <w:color w:val="1E293B"/>
                <w:sz w:val="16"/>
              </w:rPr>
              <w:t>Materiały budowlane</w:t>
            </w:r>
          </w:p>
        </w:tc>
        <w:tc>
          <w:tcPr>
            <w:tcW w:type="dxa" w:w="3024"/>
            <w:shd w:fill="FFFFFF"/>
          </w:tcPr>
          <w:p>
            <w:pPr>
              <w:spacing w:before="60" w:after="60"/>
            </w:pPr>
            <w:r>
              <w:rPr>
                <w:rFonts w:ascii="Arial" w:hAnsi="Arial"/>
                <w:color w:val="1E293B"/>
                <w:sz w:val="16"/>
              </w:rPr>
              <w:t>Zrównoważony beton eko-friendly</w:t>
            </w:r>
          </w:p>
        </w:tc>
        <w:tc>
          <w:tcPr>
            <w:tcW w:type="dxa" w:w="3024"/>
            <w:shd w:fill="FFFFFF"/>
          </w:tcPr>
          <w:p>
            <w:pPr>
              <w:spacing w:before="60" w:after="60"/>
            </w:pPr>
            <w:r>
              <w:rPr>
                <w:rFonts w:ascii="Arial" w:hAnsi="Arial"/>
                <w:color w:val="1E293B"/>
                <w:sz w:val="16"/>
              </w:rPr>
              <w:t>7% kruszywa z recyklingu gruzu budowlanego w mieszance</w:t>
            </w:r>
          </w:p>
        </w:tc>
      </w:tr>
      <w:tr>
        <w:tc>
          <w:tcPr>
            <w:tcW w:type="dxa" w:w="3024"/>
            <w:shd w:fill="F8FAFC"/>
          </w:tcPr>
          <w:p>
            <w:pPr>
              <w:spacing w:before="60" w:after="60"/>
            </w:pPr>
            <w:r>
              <w:rPr>
                <w:rFonts w:ascii="Arial" w:hAnsi="Arial"/>
                <w:color w:val="1E293B"/>
                <w:sz w:val="16"/>
              </w:rPr>
              <w:t>Ślad węglowy budowy</w:t>
            </w:r>
          </w:p>
        </w:tc>
        <w:tc>
          <w:tcPr>
            <w:tcW w:type="dxa" w:w="3024"/>
            <w:shd w:fill="F8FAFC"/>
          </w:tcPr>
          <w:p>
            <w:pPr>
              <w:spacing w:before="60" w:after="60"/>
            </w:pPr>
            <w:r>
              <w:rPr>
                <w:rFonts w:ascii="Arial" w:hAnsi="Arial"/>
                <w:color w:val="1E293B"/>
                <w:sz w:val="16"/>
              </w:rPr>
              <w:t>Net-zero construction, neutralność klimatyczna</w:t>
            </w:r>
          </w:p>
        </w:tc>
        <w:tc>
          <w:tcPr>
            <w:tcW w:type="dxa" w:w="3024"/>
            <w:shd w:fill="F8FAFC"/>
          </w:tcPr>
          <w:p>
            <w:pPr>
              <w:spacing w:before="60" w:after="60"/>
            </w:pPr>
            <w:r>
              <w:rPr>
                <w:rFonts w:ascii="Arial" w:hAnsi="Arial"/>
                <w:color w:val="1E293B"/>
                <w:sz w:val="16"/>
              </w:rPr>
              <w:t>Zakup certyfikatów kompensacji CO2 (offsety) i sadzenie drzew</w:t>
            </w:r>
          </w:p>
        </w:tc>
      </w:tr>
      <w:tr>
        <w:tc>
          <w:tcPr>
            <w:tcW w:type="dxa" w:w="3024"/>
            <w:shd w:fill="FFFFFF"/>
          </w:tcPr>
          <w:p>
            <w:pPr>
              <w:spacing w:before="60" w:after="60"/>
            </w:pPr>
            <w:r>
              <w:rPr>
                <w:rFonts w:ascii="Arial" w:hAnsi="Arial"/>
                <w:color w:val="1E293B"/>
                <w:sz w:val="16"/>
              </w:rPr>
              <w:t>Zasilanie energią</w:t>
            </w:r>
          </w:p>
        </w:tc>
        <w:tc>
          <w:tcPr>
            <w:tcW w:type="dxa" w:w="3024"/>
            <w:shd w:fill="FFFFFF"/>
          </w:tcPr>
          <w:p>
            <w:pPr>
              <w:spacing w:before="60" w:after="60"/>
            </w:pPr>
            <w:r>
              <w:rPr>
                <w:rFonts w:ascii="Arial" w:hAnsi="Arial"/>
                <w:color w:val="1E293B"/>
                <w:sz w:val="16"/>
              </w:rPr>
              <w:t>100% energii odnawialnej (OZE)</w:t>
            </w:r>
          </w:p>
        </w:tc>
        <w:tc>
          <w:tcPr>
            <w:tcW w:type="dxa" w:w="3024"/>
            <w:shd w:fill="FFFFFF"/>
          </w:tcPr>
          <w:p>
            <w:pPr>
              <w:spacing w:before="60" w:after="60"/>
            </w:pPr>
            <w:r>
              <w:rPr>
                <w:rFonts w:ascii="Arial" w:hAnsi="Arial"/>
                <w:color w:val="1E293B"/>
                <w:sz w:val="16"/>
              </w:rPr>
              <w:t>Certyfikaty atrybutu EAC (gwarancje pochodzenia), brak PV</w:t>
            </w:r>
          </w:p>
        </w:tc>
      </w:tr>
      <w:tr>
        <w:tc>
          <w:tcPr>
            <w:tcW w:type="dxa" w:w="3024"/>
            <w:shd w:fill="F8FAFC"/>
          </w:tcPr>
          <w:p>
            <w:pPr>
              <w:spacing w:before="60" w:after="60"/>
            </w:pPr>
            <w:r>
              <w:rPr>
                <w:rFonts w:ascii="Arial" w:hAnsi="Arial"/>
                <w:color w:val="1E293B"/>
                <w:sz w:val="16"/>
              </w:rPr>
              <w:t>Finansowanie</w:t>
            </w:r>
          </w:p>
        </w:tc>
        <w:tc>
          <w:tcPr>
            <w:tcW w:type="dxa" w:w="3024"/>
            <w:shd w:fill="F8FAFC"/>
          </w:tcPr>
          <w:p>
            <w:pPr>
              <w:spacing w:before="60" w:after="60"/>
            </w:pPr>
            <w:r>
              <w:rPr>
                <w:rFonts w:ascii="Arial" w:hAnsi="Arial"/>
                <w:color w:val="1E293B"/>
                <w:sz w:val="16"/>
              </w:rPr>
              <w:t>Fundusz pod artykuł 8 SFDR z celem zrównoważonym / ESG Impact</w:t>
            </w:r>
          </w:p>
        </w:tc>
        <w:tc>
          <w:tcPr>
            <w:tcW w:type="dxa" w:w="3024"/>
            <w:shd w:fill="F8FAFC"/>
          </w:tcPr>
          <w:p>
            <w:pPr>
              <w:spacing w:before="60" w:after="60"/>
            </w:pPr>
            <w:r>
              <w:rPr>
                <w:rFonts w:ascii="Arial" w:hAnsi="Arial"/>
                <w:color w:val="1E293B"/>
                <w:sz w:val="16"/>
              </w:rPr>
              <w:t>Promocja art. 8 językiem art. 9; 55% alokacji (poniżej 80% ESMA)</w:t>
            </w:r>
          </w:p>
        </w:tc>
      </w:tr>
      <w:tr>
        <w:tc>
          <w:tcPr>
            <w:tcW w:type="dxa" w:w="3024"/>
            <w:shd w:fill="FFFFFF"/>
          </w:tcPr>
          <w:p>
            <w:pPr>
              <w:spacing w:before="60" w:after="60"/>
            </w:pPr>
            <w:r>
              <w:rPr>
                <w:rFonts w:ascii="Arial" w:hAnsi="Arial"/>
                <w:color w:val="1E293B"/>
                <w:sz w:val="16"/>
              </w:rPr>
              <w:t>Znak jakości</w:t>
            </w:r>
          </w:p>
        </w:tc>
        <w:tc>
          <w:tcPr>
            <w:tcW w:type="dxa" w:w="3024"/>
            <w:shd w:fill="FFFFFF"/>
          </w:tcPr>
          <w:p>
            <w:pPr>
              <w:spacing w:before="60" w:after="60"/>
            </w:pPr>
            <w:r>
              <w:rPr>
                <w:rFonts w:ascii="Arial" w:hAnsi="Arial"/>
                <w:color w:val="1E293B"/>
                <w:sz w:val="16"/>
              </w:rPr>
              <w:t>Green Eco-Certified Residence</w:t>
            </w:r>
          </w:p>
        </w:tc>
        <w:tc>
          <w:tcPr>
            <w:tcW w:type="dxa" w:w="3024"/>
            <w:shd w:fill="FFFFFF"/>
          </w:tcPr>
          <w:p>
            <w:pPr>
              <w:spacing w:before="60" w:after="60"/>
            </w:pPr>
            <w:r>
              <w:rPr>
                <w:rFonts w:ascii="Arial" w:hAnsi="Arial"/>
                <w:color w:val="1E293B"/>
                <w:sz w:val="16"/>
              </w:rPr>
              <w:t>Własny znak marketingowy dewelopera bez certyfikacji 3rd party</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