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BE123C"/>
          <w:sz w:val="17"/>
        </w:rPr>
        <w:t>GREEN WASHING TOOL · RAPORT AUDYTU REGULACYJNEGO I ŚRODOWISKOWEGO</w:t>
      </w:r>
    </w:p>
    <w:p>
      <w:pPr>
        <w:spacing w:before="40" w:after="40"/>
      </w:pPr>
      <w:r>
        <w:rPr>
          <w:rFonts w:ascii="Arial" w:hAnsi="Arial"/>
          <w:b/>
          <w:color w:val="0F172A"/>
          <w:sz w:val="40"/>
        </w:rPr>
        <w:t>Audyt Greenwashingu: LIBRA PARTNERS (GRUPA SZARPOL, SIERADZ)</w:t>
      </w:r>
    </w:p>
    <w:p>
      <w:pPr>
        <w:spacing w:after="240"/>
      </w:pPr>
      <w:r>
        <w:rPr>
          <w:rFonts w:ascii="Arial" w:hAnsi="Arial"/>
          <w:i/>
          <w:color w:val="64748B"/>
          <w:sz w:val="21"/>
        </w:rPr>
        <w:t>Weryfikacja twierdzeń ekologicznych, deklaracji środowiskowych i komunikacji marketingowej opublikowanych na stronie libra-partners.pl (stan na 2026-09-26) wobec dyrektywy (UE) 2024/825 (ECGT), UPNPR, UOKiK, UZNK, ISO 14021 oraz norm sektorowych.</w:t>
      </w:r>
    </w:p>
    <w:tbl>
      <w:tblPr>
        <w:tblW w:type="auto" w:w="0"/>
        <w:jc w:val="center"/>
        <w:tblLayout w:type="fixed"/>
        <w:tblLook w:firstColumn="1" w:firstRow="1" w:lastColumn="0" w:lastRow="0" w:noHBand="0" w:noVBand="1" w:val="04A0"/>
        <w:tblLayout w:type="fixed"/>
      </w:tblPr>
      <w:tblGrid>
        <w:gridCol w:w="2880"/>
        <w:gridCol w:w="6912"/>
      </w:tblGrid>
      <w:tr>
        <w:tc>
          <w:tcPr>
            <w:tcW w:type="dxa" w:w="2880"/>
            <w:shd w:val="clear" w:color="auto"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7"/>
              </w:rPr>
              <w:t>Badany podmiot</w:t>
            </w:r>
          </w:p>
        </w:tc>
        <w:tc>
          <w:tcPr>
            <w:tcW w:type="dxa" w:w="6912"/>
            <w:shd w:val="clear" w:color="auto"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1E293B"/>
                <w:sz w:val="17"/>
              </w:rPr>
              <w:t>LIBRA PARTNERS / Centrum Produkcyjno-Handlowe „Szarpol", ul. prof. Mariana Rapackiego 3, 98-200 Sieradz (Grupa SZARPOL)</w:t>
            </w:r>
          </w:p>
        </w:tc>
      </w:tr>
      <w:tr>
        <w:tc>
          <w:tcPr>
            <w:tcW w:type="dxa" w:w="2880"/>
            <w:shd w:val="clear" w:color="auto"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7"/>
              </w:rPr>
              <w:t>Przedmiot audytu</w:t>
            </w:r>
          </w:p>
        </w:tc>
        <w:tc>
          <w:tcPr>
            <w:tcW w:type="dxa" w:w="6912"/>
            <w:shd w:val="clear" w:color="auto"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1E293B"/>
                <w:sz w:val="17"/>
              </w:rPr>
              <w:t>Treści marketingowe, opisy produktów, deklaracje środowiskowe i tabele porównawcze zebrane ze strony libra-partners.pl (data zebrania: 2026-09-26)</w:t>
            </w:r>
          </w:p>
        </w:tc>
      </w:tr>
      <w:tr>
        <w:tc>
          <w:tcPr>
            <w:tcW w:type="dxa" w:w="2880"/>
            <w:shd w:val="clear" w:color="auto"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7"/>
              </w:rPr>
              <w:t>Sektor działalności</w:t>
            </w:r>
          </w:p>
        </w:tc>
        <w:tc>
          <w:tcPr>
            <w:tcW w:type="dxa" w:w="6912"/>
            <w:shd w:val="clear" w:color="auto"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1E293B"/>
                <w:sz w:val="17"/>
              </w:rPr>
              <w:t>Produkcja i sprzedaż palet przemysłowych z tworzyw sztucznych z recyklingu (FMCG/logistyka/B2B)</w:t>
            </w:r>
          </w:p>
        </w:tc>
      </w:tr>
      <w:tr>
        <w:tc>
          <w:tcPr>
            <w:tcW w:type="dxa" w:w="2880"/>
            <w:shd w:val="clear" w:color="auto"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7"/>
              </w:rPr>
              <w:t>Reżim prawny</w:t>
            </w:r>
          </w:p>
        </w:tc>
        <w:tc>
          <w:tcPr>
            <w:tcW w:type="dxa" w:w="6912"/>
            <w:shd w:val="clear" w:color="auto"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1E293B"/>
                <w:sz w:val="17"/>
              </w:rPr>
              <w:t>Dyrektywa (UE) 2024/825 (ECGT, stosowanie od 27.09.2026) · UPNPR art. 4–7 · UOKiK art. 24 i 106 · UZNK art. 10 i 16 · ISO 14021 · EN 16258:2012 (wycofana) · EN ISO 14083:2023 · ISO 14040/14044</w:t>
            </w:r>
          </w:p>
        </w:tc>
      </w:tr>
      <w:tr>
        <w:tc>
          <w:tcPr>
            <w:tcW w:type="dxa" w:w="2880"/>
            <w:shd w:val="clear" w:color="auto"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7"/>
              </w:rPr>
              <w:t>Data audytu</w:t>
            </w:r>
          </w:p>
        </w:tc>
        <w:tc>
          <w:tcPr>
            <w:tcW w:type="dxa" w:w="6912"/>
            <w:shd w:val="clear" w:color="auto"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1E293B"/>
                <w:sz w:val="17"/>
              </w:rPr>
              <w:t>2026-09-27</w:t>
            </w:r>
          </w:p>
        </w:tc>
      </w:tr>
      <w:tr>
        <w:tc>
          <w:tcPr>
            <w:tcW w:type="dxa" w:w="2880"/>
            <w:shd w:val="clear" w:color="auto"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7"/>
              </w:rPr>
              <w:t>Werdykt operacyjny</w:t>
            </w:r>
          </w:p>
        </w:tc>
        <w:tc>
          <w:tcPr>
            <w:tcW w:type="dxa" w:w="6912"/>
            <w:shd w:val="clear" w:color="auto"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BE123C"/>
                <w:sz w:val="17"/>
              </w:rPr>
              <w:t>NIE PUBLIKOWAĆ W OBECNEJ FORMIE (KOD CZERWONY / REJECT &amp; RE-NARROW)</w:t>
            </w:r>
          </w:p>
        </w:tc>
      </w:tr>
    </w:tbl>
    <w:p>
      <w:pPr>
        <w:spacing w:after="160" w:line="120" w:lineRule="exact"/>
      </w:pP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FF1F2"/>
            <w:tcMar>
              <w:top w:w="140" w:type="dxa"/>
              <w:bottom w:w="140" w:type="dxa"/>
              <w:left w:w="200" w:type="dxa"/>
              <w:right w:w="200" w:type="dxa"/>
            </w:tcMar>
            <w:tcBorders>
              <w:top w:val="single" w:sz="6" w:space="0" w:color="E11D48"/>
              <w:left w:val="single" w:sz="28" w:space="0" w:color="E11D48"/>
              <w:bottom w:val="single" w:sz="6" w:space="0" w:color="E11D48"/>
              <w:right w:val="single" w:sz="6" w:space="0" w:color="E11D48"/>
            </w:tcBorders>
          </w:tcPr>
          <w:p>
            <w:pPr>
              <w:spacing w:before="40" w:after="80"/>
            </w:pPr>
            <w:r>
              <w:rPr>
                <w:rFonts w:ascii="Arial" w:hAnsi="Arial"/>
                <w:b/>
                <w:color w:val="BE123C"/>
                <w:sz w:val="20"/>
              </w:rPr>
              <w:t>■ WERDYKT: NIE PUBLIKOWAĆ W OBECNEJ FORMIE (KOD CZERWONY / REJECT &amp; RE-NARROW)</w:t>
              <w:br/>
            </w:r>
            <w:r>
              <w:rPr>
                <w:rFonts w:ascii="Arial" w:hAnsi="Arial"/>
                <w:color w:val="1E293B"/>
                <w:sz w:val="19"/>
              </w:rPr>
              <w:t>Strona libra-partners.pl zawiera co najmniej sześć naruszeń czarnej listy ECGT (pkt 4a, 4b, 10a) oraz liczne naruszenia UPNPR art. 5–6, w tym: wielokrotne użycie ogólnych haseł ekologicznych bez uznanej certyfikacji (ECGT 4a), twierdzenia o całości produktu/firmy oparte na aspekcie (ECGT 4b), przedstawianie wymogu prawnego ISPM 15 jako cechy wyróżniającej (ECGT 10a), kalkulacje śladu węglowego oparte na wycofanej normie EN 16258:2012, nieweryfikowalne porównanie trwałości „10 razy" oraz manipulacyjny ekwiwalent 600 000 drzew. Materiał kwalifikuje się do natychmiastowego wycofania z publikacji online i korekty przed ponownym udostępnieniem.</w:t>
            </w:r>
          </w:p>
          <w:p>
            <w:pPr>
              <w:spacing w:after="60" w:line="276" w:lineRule="auto"/>
            </w:pPr>
            <w:r>
              <w:rPr>
                <w:rFonts w:ascii="Arial" w:hAnsi="Arial"/>
                <w:color w:val="1E293B"/>
                <w:sz w:val="19"/>
              </w:rPr>
              <w:t>Wielokrotne ogólne hasła ekologiczne (eko, ekologiczne, zrównoważony, ESG Friendly) bez EU Ecolabel ani certyfikatu ISO 14024 typ I – ECGT Załącznik I pkt 4a</w:t>
            </w:r>
          </w:p>
          <w:p>
            <w:pPr>
              <w:spacing w:after="60" w:line="276" w:lineRule="auto"/>
            </w:pPr>
            <w:r>
              <w:rPr>
                <w:rFonts w:ascii="Arial" w:hAnsi="Arial"/>
                <w:color w:val="1E293B"/>
                <w:sz w:val="19"/>
              </w:rPr>
              <w:t>Twierdzenie o całej firmie i całej ofercie jako ZERO WASTE / GOZ, gdy dotyczy wyłącznie aspektu surowca i deklarowanego odkupu – ECGT Załącznik I pkt 4b</w:t>
            </w:r>
          </w:p>
          <w:p>
            <w:pPr>
              <w:spacing w:after="60" w:line="276" w:lineRule="auto"/>
            </w:pPr>
            <w:r>
              <w:rPr>
                <w:rFonts w:ascii="Arial" w:hAnsi="Arial"/>
                <w:color w:val="1E293B"/>
                <w:sz w:val="19"/>
              </w:rPr>
              <w:t>Brak fumigacji ISPM 15 prezentowany jako ekologiczna zaleta wyróżniająca, podczas gdy jest to wyłączenie prawne – ECGT Załącznik I pkt 10a</w:t>
            </w:r>
          </w:p>
          <w:p>
            <w:pPr>
              <w:spacing w:after="60" w:line="276" w:lineRule="auto"/>
            </w:pPr>
            <w:r>
              <w:rPr>
                <w:rFonts w:ascii="Arial" w:hAnsi="Arial"/>
                <w:color w:val="1E293B"/>
                <w:sz w:val="19"/>
              </w:rPr>
              <w:t>Kalkulacje redukcji CO2 oparte na wycofanej normie EN 16258:2012 zamiast EN ISO 14083:2023 – UPNPR art. 5 ust. 2 pkt 2</w:t>
            </w:r>
          </w:p>
          <w:p>
            <w:pPr>
              <w:spacing w:after="60" w:line="276" w:lineRule="auto"/>
            </w:pPr>
            <w:r>
              <w:rPr>
                <w:rFonts w:ascii="Arial" w:hAnsi="Arial"/>
                <w:color w:val="1E293B"/>
                <w:sz w:val="19"/>
              </w:rPr>
              <w:t>Ekwiwalent 600 000 drzew bez rzetelnej podstawy metodycznej – manipulacja wskaźnikowa, UPNPR art. 5</w:t>
            </w:r>
          </w:p>
          <w:p>
            <w:pPr>
              <w:spacing w:after="60" w:line="276" w:lineRule="auto"/>
            </w:pPr>
            <w:r>
              <w:rPr>
                <w:rFonts w:ascii="Arial" w:hAnsi="Arial"/>
                <w:color w:val="1E293B"/>
                <w:sz w:val="19"/>
              </w:rPr>
              <w:t>Twierdzenie o trwałości „10 razy" bez ujawnionej metodyki porównawczej i porównywalnych kryteriów – ECGT Załącznik I pkt 23d–j / UPNPR art. 5</w:t>
            </w:r>
          </w:p>
          <w:p>
            <w:pPr>
              <w:spacing w:after="60" w:line="276" w:lineRule="auto"/>
            </w:pPr>
            <w:r>
              <w:rPr>
                <w:rFonts w:ascii="Arial" w:hAnsi="Arial"/>
                <w:color w:val="1E293B"/>
                <w:sz w:val="19"/>
              </w:rPr>
              <w:t>Hasło „ESG Friendly" jako ogólne twierdzenie środowiskowe bez certyfikacji – ECGT Załącznik I pkt 4a</w:t>
            </w:r>
          </w:p>
          <w:p>
            <w:pPr>
              <w:spacing w:after="60" w:line="276" w:lineRule="auto"/>
            </w:pPr>
            <w:r>
              <w:rPr>
                <w:rFonts w:ascii="Arial" w:hAnsi="Arial"/>
                <w:color w:val="1E293B"/>
                <w:sz w:val="19"/>
              </w:rPr>
              <w:t>Raport LCA firmy Envirly (sierpień 2023) przywoływany bez ujawnienia zakresu, granic systemu, jednostki funkcjonalnej i dostępu do streszczenia – UPNPR art. 6</w:t>
            </w:r>
          </w:p>
          <w:p>
            <w:pPr>
              <w:spacing w:after="60" w:line="276" w:lineRule="auto"/>
            </w:pPr>
            <w:r>
              <w:rPr>
                <w:rFonts w:ascii="Arial" w:hAnsi="Arial"/>
                <w:color w:val="1E293B"/>
                <w:sz w:val="19"/>
              </w:rPr>
              <w:t>Ryzyko kar UOKiK do 10% obrotu za każdą z zakwestionowanych praktyk (art. 106 UOKiK) oraz roszczeń konkurencji z UZNK art. 16 i 18</w:t>
            </w:r>
          </w:p>
        </w:tc>
      </w:tr>
    </w:tbl>
    <w:p>
      <w:pPr>
        <w:spacing w:after="120" w:line="120" w:lineRule="exact"/>
      </w:pPr>
    </w:p>
    <w:p>
      <w:pPr>
        <w:keepNext/>
        <w:spacing w:before="320" w:after="100"/>
      </w:pPr>
      <w:r>
        <w:rPr>
          <w:rFonts w:ascii="Arial" w:hAnsi="Arial"/>
          <w:b/>
          <w:color w:val="1E3A8A"/>
          <w:sz w:val="27"/>
        </w:rPr>
        <w:t>1. Podsumowanie wykonawcze</w:t>
      </w:r>
    </w:p>
    <w:p>
      <w:pPr>
        <w:spacing w:after="100" w:line="276" w:lineRule="auto"/>
      </w:pPr>
      <w:r>
        <w:rPr>
          <w:rFonts w:ascii="Arial" w:hAnsi="Arial"/>
          <w:color w:val="1E293B"/>
          <w:sz w:val="19"/>
        </w:rPr>
        <w:t>LIBRA PARTNERS (Grupa SZARPOL, Sieradz) jest producentem palet przemysłowych z tworzywa HDPE z recyklingu, pozycjonującym swój produkt jako ekologiczną alternatywę dla palet drewnianych. Firma buduje narrację opartą na trzech filarach: (1) wykorzystaniu surowców wtórnych i modelu GOZ, (2) redukcji emisji CO2 w transporcie dzięki niższej wadze palet, (3) eliminacji potrzeby fumigacji wymaganej normą ISPM 15. Komunikacja obejmuje stronę główną, podstronę zrównoważonego rozwoju, karty produktów, tabelę porównawczą z paletami drewnianymi oraz wpisy blogowe z targów branżowych.</w:t>
      </w:r>
    </w:p>
    <w:p>
      <w:pPr>
        <w:spacing w:after="100" w:line="276" w:lineRule="auto"/>
      </w:pPr>
      <w:r>
        <w:rPr>
          <w:rFonts w:ascii="Arial" w:hAnsi="Arial"/>
          <w:color w:val="1E293B"/>
          <w:sz w:val="19"/>
        </w:rPr>
        <w:t>Audyt wykazał dziesięć odrębnych naruszeń przepisów antygreenwashingowych. Najpoważniejsze z nich to: (a) masowe stosowanie ogólnych haseł ekologicznych (eko, ekologiczne, zrównoważony, ESG Friendly, ZERO WASTE) bez jakiejkolwiek uznanej certyfikacji środowiskowej (EU Ecolabel, ISO 14024 typ I), co stanowi naruszenie czarnej listy ECGT pkt 4a; (b) przypisywanie całej firmie i całej ofercie statusu ZERO WASTE i GOZ, podczas gdy deklarowany odbiór zużytych palet dotyczy wyłącznie palet zakupionych od LIBRA PARTNERS i nie jest poparty weryfikowalnym systemem; (c) prezentowanie braku obowiązku fumigacji ISPM 15 jako ekologicznej zalety, podczas gdy jest to wyłączenie prawne wynikające z materiału, nie osiągnięcie środowiskowe; (d) kalkulacje redukcji CO2 oparte na wycofanej normie EN 16258:2012 zamiast obowiązującej EN ISO 14083:2023, bez ujawnienia granic systemu, jednostki funkcjonalnej i scenariusza.</w:t>
      </w:r>
    </w:p>
    <w:p>
      <w:pPr>
        <w:spacing w:after="100" w:line="276" w:lineRule="auto"/>
      </w:pPr>
      <w:r>
        <w:rPr>
          <w:rFonts w:ascii="Arial" w:hAnsi="Arial"/>
          <w:color w:val="1E293B"/>
          <w:sz w:val="19"/>
        </w:rPr>
        <w:t>Dodatkowe naruszenia obejmują: nieweryfikowalne porównanie trwałości „10 razy" bez metodyki i porównywalnych kryteriów, manipulacyjny ekwiwalent 600 000 drzew bez rzetelnej podstawy, odwołanie do raportu LCA firmy Envirly bez ujawnienia jego zakresu i dostępu do streszczenia, transfer atrybutów (opinia Politechniki Poznańskiej o innowacyjności jako dowód korzyści środowiskowej), anonimowe testimoniale sugerujące korzyści ekologiczne oraz dyskredytujące porównanie z paletami drewnianymi bez obiektywnej i sprawdzalnej podstawy w zakresie wpływu na środowisko. Materiał wymaga natychmiastowego wycofania z publikacji online i gruntownej korekty przed ponownym udostępnieniem.</w:t>
      </w:r>
    </w:p>
    <w:p>
      <w:pPr>
        <w:keepNext/>
        <w:spacing w:before="320" w:after="100"/>
      </w:pPr>
      <w:r>
        <w:rPr>
          <w:rFonts w:ascii="Arial" w:hAnsi="Arial"/>
          <w:b/>
          <w:color w:val="1E3A8A"/>
          <w:sz w:val="27"/>
        </w:rPr>
        <w:t>2. Tabela zbiorcza naruszeń</w:t>
      </w:r>
    </w:p>
    <w:tbl>
      <w:tblPr>
        <w:tblW w:type="auto" w:w="0"/>
        <w:jc w:val="center"/>
        <w:tblLayout w:type="fixed"/>
        <w:tblLook w:firstColumn="1" w:firstRow="1" w:lastColumn="0" w:lastRow="0" w:noHBand="0" w:noVBand="1" w:val="04A0"/>
        <w:tblLayout w:type="fixed"/>
      </w:tblPr>
      <w:tblGrid>
        <w:gridCol w:w="576"/>
        <w:gridCol w:w="3168"/>
        <w:gridCol w:w="1872"/>
        <w:gridCol w:w="1296"/>
        <w:gridCol w:w="2880"/>
      </w:tblGrid>
      <w:tr>
        <w:trPr>
          <w:tblHeader w:val="true"/>
        </w:trPr>
        <w:tc>
          <w:tcPr>
            <w:tcW w:type="dxa" w:w="576"/>
            <w:shd w:val="clear" w:color="auto" w:fill="0F172A"/>
            <w:tcMar>
              <w:top w:w="80" w:type="dxa"/>
              <w:bottom w:w="80" w:type="dxa"/>
              <w:left w:w="60" w:type="dxa"/>
              <w:right w:w="60" w:type="dxa"/>
            </w:tcMar>
          </w:tcPr>
          <w:p>
            <w:pPr>
              <w:spacing w:before="40" w:after="40"/>
            </w:pPr>
            <w:r>
              <w:rPr>
                <w:rFonts w:ascii="Arial" w:hAnsi="Arial"/>
                <w:b/>
                <w:color w:val="FFFFFF"/>
                <w:sz w:val="16"/>
              </w:rPr>
              <w:t>ID</w:t>
            </w:r>
          </w:p>
        </w:tc>
        <w:tc>
          <w:tcPr>
            <w:tcW w:type="dxa" w:w="3168"/>
            <w:shd w:val="clear" w:color="auto" w:fill="0F172A"/>
            <w:tcMar>
              <w:top w:w="80" w:type="dxa"/>
              <w:bottom w:w="80" w:type="dxa"/>
              <w:left w:w="60" w:type="dxa"/>
              <w:right w:w="60" w:type="dxa"/>
            </w:tcMar>
          </w:tcPr>
          <w:p>
            <w:pPr>
              <w:spacing w:before="40" w:after="40"/>
            </w:pPr>
            <w:r>
              <w:rPr>
                <w:rFonts w:ascii="Arial" w:hAnsi="Arial"/>
                <w:b/>
                <w:color w:val="FFFFFF"/>
                <w:sz w:val="16"/>
              </w:rPr>
              <w:t>Analizowane twierdzenie</w:t>
            </w:r>
          </w:p>
        </w:tc>
        <w:tc>
          <w:tcPr>
            <w:tcW w:type="dxa" w:w="1872"/>
            <w:shd w:val="clear" w:color="auto" w:fill="0F172A"/>
            <w:tcMar>
              <w:top w:w="80" w:type="dxa"/>
              <w:bottom w:w="80" w:type="dxa"/>
              <w:left w:w="60" w:type="dxa"/>
              <w:right w:w="60" w:type="dxa"/>
            </w:tcMar>
          </w:tcPr>
          <w:p>
            <w:pPr>
              <w:spacing w:before="40" w:after="40"/>
            </w:pPr>
            <w:r>
              <w:rPr>
                <w:rFonts w:ascii="Arial" w:hAnsi="Arial"/>
                <w:b/>
                <w:color w:val="FFFFFF"/>
                <w:sz w:val="16"/>
              </w:rPr>
              <w:t>Podstawa prawna</w:t>
            </w:r>
          </w:p>
        </w:tc>
        <w:tc>
          <w:tcPr>
            <w:tcW w:type="dxa" w:w="1296"/>
            <w:shd w:val="clear" w:color="auto" w:fill="0F172A"/>
            <w:tcMar>
              <w:top w:w="80" w:type="dxa"/>
              <w:bottom w:w="80" w:type="dxa"/>
              <w:left w:w="60" w:type="dxa"/>
              <w:right w:w="60" w:type="dxa"/>
            </w:tcMar>
          </w:tcPr>
          <w:p>
            <w:pPr>
              <w:spacing w:before="40" w:after="40"/>
            </w:pPr>
            <w:r>
              <w:rPr>
                <w:rFonts w:ascii="Arial" w:hAnsi="Arial"/>
                <w:b/>
                <w:color w:val="FFFFFF"/>
                <w:sz w:val="16"/>
              </w:rPr>
              <w:t>Ryzyko</w:t>
            </w:r>
          </w:p>
        </w:tc>
        <w:tc>
          <w:tcPr>
            <w:tcW w:type="dxa" w:w="2880"/>
            <w:shd w:val="clear" w:color="auto" w:fill="0F172A"/>
            <w:tcMar>
              <w:top w:w="80" w:type="dxa"/>
              <w:bottom w:w="80" w:type="dxa"/>
              <w:left w:w="60" w:type="dxa"/>
              <w:right w:w="60" w:type="dxa"/>
            </w:tcMar>
          </w:tcPr>
          <w:p>
            <w:pPr>
              <w:spacing w:before="40" w:after="40"/>
            </w:pPr>
            <w:r>
              <w:rPr>
                <w:rFonts w:ascii="Arial" w:hAnsi="Arial"/>
                <w:b/>
                <w:color w:val="FFFFFF"/>
                <w:sz w:val="16"/>
              </w:rPr>
              <w:t>Istota naruszenia</w:t>
            </w:r>
          </w:p>
        </w:tc>
      </w:tr>
      <w:tr>
        <w:trPr>
          <w:cantSplit/>
        </w:trPr>
        <w:tc>
          <w:tcPr>
            <w:tcW w:type="dxa" w:w="576"/>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01</w:t>
            </w:r>
          </w:p>
        </w:tc>
        <w:tc>
          <w:tcPr>
            <w:tcW w:type="dxa" w:w="3168"/>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Wielokrotne użycie haseł: eko, ekologiczne, zrównoważony, ESG Friendly, zielony w odniesieniu do produktów i firmy bez EU Ecolabel ani ISO 14024 typ I</w:t>
            </w:r>
          </w:p>
        </w:tc>
        <w:tc>
          <w:tcPr>
            <w:tcW w:type="dxa" w:w="1872"/>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ECGT Załącznik I pkt 4a · UPNPR art. 5 ust. 2 pkt 2 · UOKiK art. 24 ust. 2 pkt 3 · rules.json ECGT-4a</w:t>
            </w:r>
          </w:p>
        </w:tc>
        <w:tc>
          <w:tcPr>
            <w:tcW w:type="dxa" w:w="1296"/>
            <w:shd w:val="clear" w:color="auto" w:fill="FFE4E6"/>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9F1239"/>
                <w:sz w:val="16"/>
              </w:rPr>
              <w:t>BARDZO WYSOKIE</w:t>
            </w:r>
          </w:p>
        </w:tc>
        <w:tc>
          <w:tcPr>
            <w:tcW w:type="dxa" w:w="2880"/>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Ogólne hasła ekologiczne stosowane masowo w całej komunikacji bez uznanej wysokiej efektywności ekologicznej wykazanej w tym samym kanale.</w:t>
            </w:r>
          </w:p>
        </w:tc>
      </w:tr>
      <w:tr>
        <w:trPr>
          <w:cantSplit/>
        </w:trPr>
        <w:tc>
          <w:tcPr>
            <w:tcW w:type="dxa" w:w="576"/>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02</w:t>
            </w:r>
          </w:p>
        </w:tc>
        <w:tc>
          <w:tcPr>
            <w:tcW w:type="dxa" w:w="3168"/>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Firma deklaruje model ZERO WASTE i Gospodarkę o Obiegu Zamkniętym dla całej działalności, podczas gdy dotyczy to wyłącznie deklarowanego odkupu zużytych palet</w:t>
            </w:r>
          </w:p>
        </w:tc>
        <w:tc>
          <w:tcPr>
            <w:tcW w:type="dxa" w:w="1872"/>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ECGT Załącznik I pkt 4b · UPNPR art. 5 ust. 2 pkt 2 · UPNPR art. 6 · rules.json ECGT-4b</w:t>
            </w:r>
          </w:p>
        </w:tc>
        <w:tc>
          <w:tcPr>
            <w:tcW w:type="dxa" w:w="1296"/>
            <w:shd w:val="clear" w:color="auto" w:fill="FFE4E6"/>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9F1239"/>
                <w:sz w:val="16"/>
              </w:rPr>
              <w:t>BARDZO WYSOKIE</w:t>
            </w:r>
          </w:p>
        </w:tc>
        <w:tc>
          <w:tcPr>
            <w:tcW w:type="dxa" w:w="2880"/>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Twierdzenie o braku jakichkolwiek odpadów i modelu ZERO WASTE dla całej firmy, podczas gdy dowód dotyczy wyłącznie deklarowanego odkupu zużytych palet od klientów.</w:t>
            </w:r>
          </w:p>
        </w:tc>
      </w:tr>
      <w:tr>
        <w:trPr>
          <w:cantSplit/>
        </w:trPr>
        <w:tc>
          <w:tcPr>
            <w:tcW w:type="dxa" w:w="576"/>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03</w:t>
            </w:r>
          </w:p>
        </w:tc>
        <w:tc>
          <w:tcPr>
            <w:tcW w:type="dxa" w:w="3168"/>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Brak wymogu fumigacji zgodnie z normą ISPM 15 jest prezentowany jako ekologiczna cecha wyróżniająca palet plastikowych</w:t>
            </w:r>
          </w:p>
        </w:tc>
        <w:tc>
          <w:tcPr>
            <w:tcW w:type="dxa" w:w="1872"/>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ECGT Załącznik I pkt 10a · UPNPR art. 5 · rules.json ECGT-10a</w:t>
            </w:r>
          </w:p>
        </w:tc>
        <w:tc>
          <w:tcPr>
            <w:tcW w:type="dxa" w:w="1296"/>
            <w:shd w:val="clear" w:color="auto" w:fill="FFF1F2"/>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BE123C"/>
                <w:sz w:val="16"/>
              </w:rPr>
              <w:t>WYSOKIE</w:t>
            </w:r>
          </w:p>
        </w:tc>
        <w:tc>
          <w:tcPr>
            <w:tcW w:type="dxa" w:w="2880"/>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Wyłączenie z obowiązku fumigacji ISPM 15 (wynikające z właściwości materiału, nie z działania firmy) jest prezentowane jako ekologiczna zaleta wyróżniająca produkt.</w:t>
            </w:r>
          </w:p>
        </w:tc>
      </w:tr>
      <w:tr>
        <w:trPr>
          <w:cantSplit/>
        </w:trPr>
        <w:tc>
          <w:tcPr>
            <w:tcW w:type="dxa" w:w="576"/>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04</w:t>
            </w:r>
          </w:p>
        </w:tc>
        <w:tc>
          <w:tcPr>
            <w:tcW w:type="dxa" w:w="3168"/>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Obliczenia śladu węglowego i tabela redukcji emisji CO2 oparte na normie EN 16258:2012, która została zastąpiona przez EN ISO 14083:2023</w:t>
            </w:r>
          </w:p>
        </w:tc>
        <w:tc>
          <w:tcPr>
            <w:tcW w:type="dxa" w:w="1872"/>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UPNPR art. 5 ust. 2 pkt 2 · UPNPR art. 6 · CountEmissionsEU (rozp. 2026/1030) art. 3–4 · EN ISO 14083:2023 · rules.json COUNTEMISSIONS-2026-1030</w:t>
            </w:r>
          </w:p>
        </w:tc>
        <w:tc>
          <w:tcPr>
            <w:tcW w:type="dxa" w:w="1296"/>
            <w:shd w:val="clear" w:color="auto" w:fill="FFE4E6"/>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9F1239"/>
                <w:sz w:val="16"/>
              </w:rPr>
              <w:t>BARDZO WYSOKIE</w:t>
            </w:r>
          </w:p>
        </w:tc>
        <w:tc>
          <w:tcPr>
            <w:tcW w:type="dxa" w:w="2880"/>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Liczby redukcji CO2 oparte na wycofanej normie EN 16258:2012 zamiast obowiązującej EN ISO 14083:2023; brak granic systemu, jednostki funkcjonalnej i scenariusza.</w:t>
            </w:r>
          </w:p>
        </w:tc>
      </w:tr>
      <w:tr>
        <w:trPr>
          <w:cantSplit/>
        </w:trPr>
        <w:tc>
          <w:tcPr>
            <w:tcW w:type="dxa" w:w="576"/>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05</w:t>
            </w:r>
          </w:p>
        </w:tc>
        <w:tc>
          <w:tcPr>
            <w:tcW w:type="dxa" w:w="3168"/>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Twierdzenie, że stosowanie palet drewnianych zamiast LIBRA PARTNERS wymaga 600 000 drzew miesięcznie do wchłonięcia dodatkowego CO2</w:t>
            </w:r>
          </w:p>
        </w:tc>
        <w:tc>
          <w:tcPr>
            <w:tcW w:type="dxa" w:w="1872"/>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UPNPR art. 5 ust. 2 pkt 2 · UPNPR art. 6 · ECGT Załącznik I pkt 4a · rules.json UPNPR-5</w:t>
            </w:r>
          </w:p>
        </w:tc>
        <w:tc>
          <w:tcPr>
            <w:tcW w:type="dxa" w:w="1296"/>
            <w:shd w:val="clear" w:color="auto" w:fill="FFF1F2"/>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BE123C"/>
                <w:sz w:val="16"/>
              </w:rPr>
              <w:t>WYSOKIE</w:t>
            </w:r>
          </w:p>
        </w:tc>
        <w:tc>
          <w:tcPr>
            <w:tcW w:type="dxa" w:w="2880"/>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Ekwiwalent drzew obliczony na podstawie niereprezentatywnego założenia (0,5 kg CO2/drzewo/miesiąc) bez podania gatunku, wieku, warunków wzrostu i źródła naukowego; liczba 600 000 wynika z niesprawdzonych danych wejściowych.</w:t>
            </w:r>
          </w:p>
        </w:tc>
      </w:tr>
      <w:tr>
        <w:trPr>
          <w:cantSplit/>
        </w:trPr>
        <w:tc>
          <w:tcPr>
            <w:tcW w:type="dxa" w:w="576"/>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06</w:t>
            </w:r>
          </w:p>
        </w:tc>
        <w:tc>
          <w:tcPr>
            <w:tcW w:type="dxa" w:w="3168"/>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Palety LIBRA PARTNERS są 10 razy bardziej trwałe od drewnianych, co wynika z porównania 60–70 cykli vs. 6–7 cykli</w:t>
            </w:r>
          </w:p>
        </w:tc>
        <w:tc>
          <w:tcPr>
            <w:tcW w:type="dxa" w:w="1872"/>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ECGT Załącznik I pkt 23d–j · UPNPR art. 5 ust. 2 pkt 2 · UZNK art. 16 · rules.json ECGT-4a</w:t>
            </w:r>
          </w:p>
        </w:tc>
        <w:tc>
          <w:tcPr>
            <w:tcW w:type="dxa" w:w="1296"/>
            <w:shd w:val="clear" w:color="auto" w:fill="FFF1F2"/>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BE123C"/>
                <w:sz w:val="16"/>
              </w:rPr>
              <w:t>WYSOKIE</w:t>
            </w:r>
          </w:p>
        </w:tc>
        <w:tc>
          <w:tcPr>
            <w:tcW w:type="dxa" w:w="2880"/>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Twierdzenie o 10-krotnie wyższej trwałości bez ujawnionej metodyki porównawczej, warunków testu i porównywalnych kryteriów; porównanie z paletami drewnianymi bez obiektywnej i sprawdzalnej podstawy.</w:t>
            </w:r>
          </w:p>
        </w:tc>
      </w:tr>
      <w:tr>
        <w:trPr>
          <w:cantSplit/>
        </w:trPr>
        <w:tc>
          <w:tcPr>
            <w:tcW w:type="dxa" w:w="576"/>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07</w:t>
            </w:r>
          </w:p>
        </w:tc>
        <w:tc>
          <w:tcPr>
            <w:tcW w:type="dxa" w:w="3168"/>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Odwołanie do raportu LCA firmy Envirly (sierpień 2023) jako dowodu „prawie dwukrotnie niższej emisji CO2" bez ujawnienia zakresu, granic systemu i dostępu do dokumentu</w:t>
            </w:r>
          </w:p>
        </w:tc>
        <w:tc>
          <w:tcPr>
            <w:tcW w:type="dxa" w:w="1872"/>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UPNPR art. 5 ust. 2 pkt 2 · UPNPR art. 6 · ISO 14040/14044 · rules.json UPNPR-6</w:t>
            </w:r>
          </w:p>
        </w:tc>
        <w:tc>
          <w:tcPr>
            <w:tcW w:type="dxa" w:w="1296"/>
            <w:shd w:val="clear" w:color="auto" w:fill="FFF1F2"/>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BE123C"/>
                <w:sz w:val="16"/>
              </w:rPr>
              <w:t>WYSOKIE</w:t>
            </w:r>
          </w:p>
        </w:tc>
        <w:tc>
          <w:tcPr>
            <w:tcW w:type="dxa" w:w="2880"/>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Raport LCA przywoływany jako dowód korzyści środowiskowej bez ujawnienia granic systemu, jednostki funkcjonalnej, zakresu modułów LCA, daty walidacji i dostępu do streszczenia.</w:t>
            </w:r>
          </w:p>
        </w:tc>
      </w:tr>
      <w:tr>
        <w:trPr>
          <w:cantSplit/>
        </w:trPr>
        <w:tc>
          <w:tcPr>
            <w:tcW w:type="dxa" w:w="576"/>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08</w:t>
            </w:r>
          </w:p>
        </w:tc>
        <w:tc>
          <w:tcPr>
            <w:tcW w:type="dxa" w:w="3168"/>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Opinia o innowacyjności na skalę świata wystawiona przez Politechnikę Poznańską jest prezentowana w kontekście korzyści środowiskowych i ESG</w:t>
            </w:r>
          </w:p>
        </w:tc>
        <w:tc>
          <w:tcPr>
            <w:tcW w:type="dxa" w:w="1872"/>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UPNPR art. 5 ust. 2 pkt 2 · UPNPR art. 7 pkt 2 · ECGT Załącznik I pkt 4a · rules.json UPNPR-7-2</w:t>
            </w:r>
          </w:p>
        </w:tc>
        <w:tc>
          <w:tcPr>
            <w:tcW w:type="dxa" w:w="1296"/>
            <w:shd w:val="clear" w:color="auto" w:fill="FEF3C7"/>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B45309"/>
                <w:sz w:val="16"/>
              </w:rPr>
              <w:t>ŚREDNIE</w:t>
            </w:r>
          </w:p>
        </w:tc>
        <w:tc>
          <w:tcPr>
            <w:tcW w:type="dxa" w:w="2880"/>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Opinia o innowacyjności technicznej (antybakteryjność) jest zestawiana z twierdzeniami środowiskowymi (ESG Friendly, zmniejszenie emisji CO2) w sposób sugerujący, że opinia potwierdza korzyści ekologiczne.</w:t>
            </w:r>
          </w:p>
        </w:tc>
      </w:tr>
      <w:tr>
        <w:trPr>
          <w:cantSplit/>
        </w:trPr>
        <w:tc>
          <w:tcPr>
            <w:tcW w:type="dxa" w:w="576"/>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09</w:t>
            </w:r>
          </w:p>
        </w:tc>
        <w:tc>
          <w:tcPr>
            <w:tcW w:type="dxa" w:w="3168"/>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Anonimowe opinie klientów (bez imienia, nazwiska, nazwy firmy) sugerujące, że zakup palet LIBRA PARTNERS czyni firmę „bardziej EKO"</w:t>
            </w:r>
          </w:p>
        </w:tc>
        <w:tc>
          <w:tcPr>
            <w:tcW w:type="dxa" w:w="1872"/>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UPNPR art. 7 pkt 23b–c · UPNPR art. 5 · rules.json UPNPR-5</w:t>
            </w:r>
          </w:p>
        </w:tc>
        <w:tc>
          <w:tcPr>
            <w:tcW w:type="dxa" w:w="1296"/>
            <w:shd w:val="clear" w:color="auto" w:fill="FEF3C7"/>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B45309"/>
                <w:sz w:val="16"/>
              </w:rPr>
              <w:t>ŚREDNIE</w:t>
            </w:r>
          </w:p>
        </w:tc>
        <w:tc>
          <w:tcPr>
            <w:tcW w:type="dxa" w:w="2880"/>
            <w:shd w:val="clear" w:color="auto"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Anonimowe, niezweryfikowane opinie klientów sugerujące korzyści ekologiczne bez podania tożsamości autora i podstawy oceny.</w:t>
            </w:r>
          </w:p>
        </w:tc>
      </w:tr>
      <w:tr>
        <w:trPr>
          <w:cantSplit/>
        </w:trPr>
        <w:tc>
          <w:tcPr>
            <w:tcW w:type="dxa" w:w="576"/>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1E3A8A"/>
                <w:sz w:val="16"/>
              </w:rPr>
              <w:t>10</w:t>
            </w:r>
          </w:p>
        </w:tc>
        <w:tc>
          <w:tcPr>
            <w:tcW w:type="dxa" w:w="3168"/>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Tabela porównawcza przedstawia palety drewniane jako mające „niekorzystny wpływ na politykę ESG" i jako gorsze środowiskowo bez obiektywnej, sprawdzalnej podstawy</w:t>
            </w:r>
          </w:p>
        </w:tc>
        <w:tc>
          <w:tcPr>
            <w:tcW w:type="dxa" w:w="1872"/>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UZNK art. 16 · dyrektywa 2006/114/WE art. 4 · UPNPR art. 5 · rules.json UPNPR-5</w:t>
            </w:r>
          </w:p>
        </w:tc>
        <w:tc>
          <w:tcPr>
            <w:tcW w:type="dxa" w:w="1296"/>
            <w:shd w:val="clear" w:color="auto" w:fill="FEF3C7"/>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b/>
                <w:color w:val="B45309"/>
                <w:sz w:val="16"/>
              </w:rPr>
              <w:t>ŚREDNIE</w:t>
            </w:r>
          </w:p>
        </w:tc>
        <w:tc>
          <w:tcPr>
            <w:tcW w:type="dxa" w:w="2880"/>
            <w:shd w:val="clear" w:color="auto"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color w:val="1E293B"/>
                <w:sz w:val="16"/>
              </w:rPr>
              <w:t>Tabela porównawcza zawiera twierdzenia dyskredytujące palety drewniane (jako kategorię produktową i pośrednio ich producentów) bez obiektywnej, sprawdzalnej i porównywalnej podstawy.</w:t>
            </w:r>
          </w:p>
        </w:tc>
      </w:tr>
    </w:tbl>
    <w:p>
      <w:pPr>
        <w:spacing w:after="160" w:line="120" w:lineRule="exact"/>
      </w:pPr>
    </w:p>
    <w:p>
      <w:pPr>
        <w:keepNext/>
        <w:spacing w:before="320" w:after="100"/>
      </w:pPr>
      <w:r>
        <w:rPr>
          <w:rFonts w:ascii="Arial" w:hAnsi="Arial"/>
          <w:b/>
          <w:color w:val="1E3A8A"/>
          <w:sz w:val="27"/>
        </w:rPr>
        <w:t>3. Szczegółowa analiza przypadków</w:t>
      </w:r>
    </w:p>
    <w:p>
      <w:pPr>
        <w:keepNext/>
        <w:spacing w:before="220" w:after="60"/>
      </w:pPr>
      <w:r>
        <w:rPr>
          <w:rFonts w:ascii="Arial" w:hAnsi="Arial"/>
          <w:b/>
          <w:color w:val="1E3A8A"/>
          <w:sz w:val="22"/>
        </w:rPr>
        <w:t>PRZYPADEK 01: Ogólne hasła ekologiczne bez uznanej certyfikacji – masowe naruszenie ECGT 4a</w:t>
      </w:r>
    </w:p>
    <w:p>
      <w:pPr>
        <w:spacing w:after="60" w:line="276" w:lineRule="auto"/>
      </w:pPr>
      <w:r>
        <w:rPr>
          <w:rFonts w:ascii="Arial" w:hAnsi="Arial"/>
          <w:color w:val="1E293B"/>
          <w:sz w:val="19"/>
        </w:rPr>
        <w:t>Podstawa prawna: ECGT Załącznik I pkt 4a · UPNPR art. 5 ust. 2 pkt 2 · UOKiK art. 24 ust. 2 pkt 3 · rules.json ECGT-4a  |  Poziom ryzyka: BARDZO WYSOKIE (Czarna lista ECGT 4a)</w:t>
      </w:r>
    </w:p>
    <w:p>
      <w:pPr>
        <w:spacing w:after="60" w:line="276" w:lineRule="auto"/>
      </w:pPr>
      <w:r>
        <w:rPr>
          <w:rFonts w:ascii="Arial" w:hAnsi="Arial"/>
          <w:b/>
          <w:color w:val="1E293B"/>
          <w:sz w:val="19"/>
        </w:rPr>
        <w:t xml:space="preserve">Cytat źródłowy: </w:t>
      </w:r>
      <w:r>
        <w:rPr>
          <w:rFonts w:ascii="Arial" w:hAnsi="Arial"/>
          <w:color w:val="1E293B"/>
          <w:sz w:val="19"/>
        </w:rPr>
        <w:t>„LIBRA PARTNERS – Palety Nowej Generacji – Ekologiczne palety"; „Technologia z myślą o Ekologii"; „Zmień palety drewniane na ekologiczne palety LIBRA PARTNERS"; „Poznaj naszą ofertę wysokiej jakości eko palet"; „Nasze ekologiczne palety jako nośnik świetnie sprawdzą się w każdym przemyśle"; „jesteście ESG Friendly!"; „Wykonanie z recyklingowego plastiku sprzyja ekologii"; „nowoczesny, ekologiczny nośnik logistyczny"</w:t>
      </w:r>
    </w:p>
    <w:p>
      <w:pPr>
        <w:spacing w:after="60" w:line="276" w:lineRule="auto"/>
      </w:pPr>
      <w:r>
        <w:rPr>
          <w:rFonts w:ascii="Arial" w:hAnsi="Arial"/>
          <w:b/>
          <w:color w:val="1E293B"/>
          <w:sz w:val="19"/>
        </w:rPr>
        <w:t xml:space="preserve">Ocena prawna: </w:t>
      </w:r>
      <w:r>
        <w:rPr>
          <w:rFonts w:ascii="Arial" w:hAnsi="Arial"/>
          <w:color w:val="1E293B"/>
          <w:sz w:val="19"/>
        </w:rPr>
        <w:t>Dyrektywa (UE) 2024/825 (ECGT), stosowana od 27.09.2026, zakazuje w każdych okolicznościach używania ogólnych twierdzeń dotyczących ekologiczności (takich jak „eko", „ekologiczne", „zrównoważony", „ESG Friendly") bez wykazania uznanej wysokiej efektywności ekologicznej istotnej dla danego hasła, tj. EU Ecolabel lub certyfikatu ISO 14024 typ I, w tym samym kanale komunikacji. W analizowanym materiale hasła te pojawiają się kilkanaście razy na stronie głównej, podstronach produktowych i podstronie zrównoważonego rozwoju. Żadne z tych haseł nie jest opatrzone odwołaniem do EU Ecolabel ani do uznanego certyfikatu ISO 14024 typ I. Hasło „ESG Friendly" jest szczególnie problematyczne, gdyż sugeruje zgodność z szerokim zestawem kryteriów środowiskowych, społecznych i zarządczych, których spełnienie nie jest w żaden sposób udokumentowane. Analogiczne wzorce były podstawą zarzutów UOKiK wobec Tchibo i Zara (19.01.2026). Od 27.09.2026 brak derogacji dla treści online – korekta wymagana natychmiast.</w:t>
      </w:r>
    </w:p>
    <w:p>
      <w:pPr>
        <w:spacing w:after="60" w:line="276" w:lineRule="auto"/>
      </w:pPr>
      <w:r>
        <w:rPr>
          <w:rFonts w:ascii="Arial" w:hAnsi="Arial"/>
          <w:b/>
          <w:color w:val="1E293B"/>
          <w:sz w:val="19"/>
        </w:rPr>
        <w:t xml:space="preserve">Kierunek naprawy: </w:t>
      </w:r>
      <w:r>
        <w:rPr>
          <w:rFonts w:ascii="Arial" w:hAnsi="Arial"/>
          <w:color w:val="1E293B"/>
          <w:sz w:val="19"/>
        </w:rPr>
        <w:t>Usunąć lub zastąpić wszystkie ogólne hasła ekologiczne (eko, ekologiczne, zrównoważony, ESG Friendly, zielony) konkretnymi, mierzalnymi twierdzeniami z podaniem zakresu, metodyki i certyfikacji. Jeśli firma nie posiada EU Ecolabel ani certyfikatu ISO 14024 typ I, ogólne hasła muszą zostać usunięte ze wszystkich kanałów online natychmiast.</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0FDF4"/>
            <w:tcMar>
              <w:top w:w="140" w:type="dxa"/>
              <w:bottom w:w="140" w:type="dxa"/>
              <w:left w:w="200" w:type="dxa"/>
              <w:right w:w="200" w:type="dxa"/>
            </w:tcMar>
            <w:tcBorders>
              <w:top w:val="single" w:sz="6" w:space="0" w:color="22C55E"/>
              <w:left w:val="single" w:sz="28" w:space="0" w:color="22C55E"/>
              <w:bottom w:val="single" w:sz="6" w:space="0" w:color="22C55E"/>
              <w:right w:val="single" w:sz="6" w:space="0" w:color="22C55E"/>
            </w:tcBorders>
          </w:tcPr>
          <w:p>
            <w:pPr>
              <w:spacing w:before="40" w:after="80"/>
            </w:pPr>
            <w:r>
              <w:rPr>
                <w:rFonts w:ascii="Arial" w:hAnsi="Arial"/>
                <w:b/>
                <w:color w:val="047857"/>
                <w:sz w:val="20"/>
              </w:rPr>
              <w:t>■ DOZWOLONY CLAIM (WZÓR PO KOREKCIE)</w:t>
              <w:br/>
            </w:r>
            <w:r>
              <w:rPr>
                <w:rFonts w:ascii="Arial" w:hAnsi="Arial"/>
                <w:color w:val="1E293B"/>
                <w:sz w:val="19"/>
              </w:rPr>
              <w:t>„Palety wykonane w 100% z regranulatów HDPE z recyklingu (surowiec z drugiego obiegu); zakres: materiał palety, nie cykl życia produktu ani działalność firmy jako całość)"</w:t>
            </w:r>
          </w:p>
        </w:tc>
      </w:tr>
    </w:tbl>
    <w:p>
      <w:pPr>
        <w:spacing w:after="120" w:line="120" w:lineRule="exact"/>
      </w:pPr>
    </w:p>
    <w:p>
      <w:pPr>
        <w:keepNext/>
        <w:spacing w:before="220" w:after="60"/>
      </w:pPr>
      <w:r>
        <w:rPr>
          <w:rFonts w:ascii="Arial" w:hAnsi="Arial"/>
          <w:b/>
          <w:color w:val="1E3A8A"/>
          <w:sz w:val="22"/>
        </w:rPr>
        <w:t>PRZYPADEK 02: ZERO WASTE i GOZ dla całej firmy – greenlighting (ECGT 4b)</w:t>
      </w:r>
    </w:p>
    <w:p>
      <w:pPr>
        <w:spacing w:after="60" w:line="276" w:lineRule="auto"/>
      </w:pPr>
      <w:r>
        <w:rPr>
          <w:rFonts w:ascii="Arial" w:hAnsi="Arial"/>
          <w:color w:val="1E293B"/>
          <w:sz w:val="19"/>
        </w:rPr>
        <w:t>Podstawa prawna: ECGT Załącznik I pkt 4b · UPNPR art. 5 ust. 2 pkt 2 · UPNPR art. 6 · rules.json ECGT-4b  |  Poziom ryzyka: BARDZO WYSOKIE (Czarna lista ECGT 4b)</w:t>
      </w:r>
    </w:p>
    <w:p>
      <w:pPr>
        <w:spacing w:after="60" w:line="276" w:lineRule="auto"/>
      </w:pPr>
      <w:r>
        <w:rPr>
          <w:rFonts w:ascii="Arial" w:hAnsi="Arial"/>
          <w:b/>
          <w:color w:val="1E293B"/>
          <w:sz w:val="19"/>
        </w:rPr>
        <w:t xml:space="preserve">Cytat źródłowy: </w:t>
      </w:r>
      <w:r>
        <w:rPr>
          <w:rFonts w:ascii="Arial" w:hAnsi="Arial"/>
          <w:color w:val="1E293B"/>
          <w:sz w:val="19"/>
        </w:rPr>
        <w:t>„W tym modelu działalności nie ma jakichkolwiek odpadów, występuje tu model Gospodarki o Obiegu Zamkniętym."; „Robimy to poprzez model biznesowy ukierunkowany na ZERO WASTE."; „Zasada RECOVER / ZERO WASTE: W związku z tym, iż jako firma odpowiedzialna społecznie i świadoma ekologicznie, chcemy, aby nasz proces produkcyjny również wyróżniał się najwyższymi standardami w zakresie zarządzania środowiskowego."</w:t>
      </w:r>
    </w:p>
    <w:p>
      <w:pPr>
        <w:spacing w:after="60" w:line="276" w:lineRule="auto"/>
      </w:pPr>
      <w:r>
        <w:rPr>
          <w:rFonts w:ascii="Arial" w:hAnsi="Arial"/>
          <w:b/>
          <w:color w:val="1E293B"/>
          <w:sz w:val="19"/>
        </w:rPr>
        <w:t xml:space="preserve">Ocena prawna: </w:t>
      </w:r>
      <w:r>
        <w:rPr>
          <w:rFonts w:ascii="Arial" w:hAnsi="Arial"/>
          <w:color w:val="1E293B"/>
          <w:sz w:val="19"/>
        </w:rPr>
        <w:t>ECGT pkt 4b zakazuje twierdzeń o całości produktu lub działalności przedsiębiorcy, gdy dowód dotyczy tylko jednego aspektu. Stwierdzenie „w tym modelu działalności nie ma jakichkolwiek odpadów" jest twierdzeniem o całości działalności firmy. Tymczasem jedynym opisanym mechanizmem jest deklarowany odkup zużytych palet od klientów LIBRA PARTNERS. Dokument nie zawiera żadnych informacji o: odpadach produkcyjnych (odpady z procesu wytłaczania, odrzuty), zużyciu energii i jej źródle, odpadach opakowaniowych, ściekach, emisjach z zakładu. Twierdzenie „nie ma jakichkolwiek odpadów" jest zatem obiektywnie nieprawdziwe lub co najmniej rażąco zwodnicze w rozumieniu UPNPR art. 5. Wzorzec identyczny z zarzutem UOKiK wobec Zara „zero waste we własnych obiektach" (19.01.2026). Hasło ZERO WASTE jako ogólne twierdzenie o firmie bez certyfikacji (np. TRUE ZERO WASTE) narusza dodatkowo ECGT 4a.</w:t>
      </w:r>
    </w:p>
    <w:p>
      <w:pPr>
        <w:spacing w:after="60" w:line="276" w:lineRule="auto"/>
      </w:pPr>
      <w:r>
        <w:rPr>
          <w:rFonts w:ascii="Arial" w:hAnsi="Arial"/>
          <w:b/>
          <w:color w:val="1E293B"/>
          <w:sz w:val="19"/>
        </w:rPr>
        <w:t xml:space="preserve">Kierunek naprawy: </w:t>
      </w:r>
      <w:r>
        <w:rPr>
          <w:rFonts w:ascii="Arial" w:hAnsi="Arial"/>
          <w:color w:val="1E293B"/>
          <w:sz w:val="19"/>
        </w:rPr>
        <w:t>Usunąć twierdzenia „nie ma jakichkolwiek odpadów" i „model biznesowy ukierunkowany na ZERO WASTE" w odniesieniu do całej firmy. Zastąpić precyzyjnym opisem konkretnego mechanizmu odkupu palet z podaniem zakresu (jakie palety, jakie warunki, jaka skala).</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0FDF4"/>
            <w:tcMar>
              <w:top w:w="140" w:type="dxa"/>
              <w:bottom w:w="140" w:type="dxa"/>
              <w:left w:w="200" w:type="dxa"/>
              <w:right w:w="200" w:type="dxa"/>
            </w:tcMar>
            <w:tcBorders>
              <w:top w:val="single" w:sz="6" w:space="0" w:color="22C55E"/>
              <w:left w:val="single" w:sz="28" w:space="0" w:color="22C55E"/>
              <w:bottom w:val="single" w:sz="6" w:space="0" w:color="22C55E"/>
              <w:right w:val="single" w:sz="6" w:space="0" w:color="22C55E"/>
            </w:tcBorders>
          </w:tcPr>
          <w:p>
            <w:pPr>
              <w:spacing w:before="40" w:after="80"/>
            </w:pPr>
            <w:r>
              <w:rPr>
                <w:rFonts w:ascii="Arial" w:hAnsi="Arial"/>
                <w:b/>
                <w:color w:val="047857"/>
                <w:sz w:val="20"/>
              </w:rPr>
              <w:t>■ DOZWOLONY CLAIM (WZÓR PO KOREKCIE)</w:t>
              <w:br/>
            </w:r>
            <w:r>
              <w:rPr>
                <w:rFonts w:ascii="Arial" w:hAnsi="Arial"/>
                <w:color w:val="1E293B"/>
                <w:sz w:val="19"/>
              </w:rPr>
              <w:t>„LIBRA PARTNERS oferuje klientom odkup zużytych i uszkodzonych palet zakupionych od firmy w celu ich ponownego przetworzenia na regranulat HDPE. Program obejmuje palety zakupione bezpośrednio od LIBRA PARTNERS; szczegółowe warunki odkupu dostępne na żądanie."</w:t>
            </w:r>
          </w:p>
        </w:tc>
      </w:tr>
    </w:tbl>
    <w:p>
      <w:pPr>
        <w:spacing w:after="120" w:line="120" w:lineRule="exact"/>
      </w:pPr>
    </w:p>
    <w:p>
      <w:pPr>
        <w:keepNext/>
        <w:spacing w:before="220" w:after="60"/>
      </w:pPr>
      <w:r>
        <w:rPr>
          <w:rFonts w:ascii="Arial" w:hAnsi="Arial"/>
          <w:b/>
          <w:color w:val="1E3A8A"/>
          <w:sz w:val="22"/>
        </w:rPr>
        <w:t>PRZYPADEK 03: Brak fumigacji ISPM 15 jako ekologiczna zaleta – obowiązek prawny jako benefit (ECGT 10a)</w:t>
      </w:r>
    </w:p>
    <w:p>
      <w:pPr>
        <w:spacing w:after="60" w:line="276" w:lineRule="auto"/>
      </w:pPr>
      <w:r>
        <w:rPr>
          <w:rFonts w:ascii="Arial" w:hAnsi="Arial"/>
          <w:color w:val="1E293B"/>
          <w:sz w:val="19"/>
        </w:rPr>
        <w:t>Podstawa prawna: ECGT Załącznik I pkt 10a · UPNPR art. 5 · rules.json ECGT-10a  |  Poziom ryzyka: WYSOKIE (Czarna lista ECGT 10a)</w:t>
      </w:r>
    </w:p>
    <w:p>
      <w:pPr>
        <w:spacing w:after="60" w:line="276" w:lineRule="auto"/>
      </w:pPr>
      <w:r>
        <w:rPr>
          <w:rFonts w:ascii="Arial" w:hAnsi="Arial"/>
          <w:b/>
          <w:color w:val="1E293B"/>
          <w:sz w:val="19"/>
        </w:rPr>
        <w:t xml:space="preserve">Cytat źródłowy: </w:t>
      </w:r>
      <w:r>
        <w:rPr>
          <w:rFonts w:ascii="Arial" w:hAnsi="Arial"/>
          <w:color w:val="1E293B"/>
          <w:sz w:val="19"/>
        </w:rPr>
        <w:t>„Higiena: Idealne dla branży spożywczej i farmaceutycznej. Nie wymagają fumigacji – zgodne z normą ISPM 15."; „Z uwagi na eksport naszych produktów do UK, musieliśmy kupować drewniane palety fumigowane. Palety LIBRA PARTNERS są obojętne fizjologicznie i nie wymagają raportowania wg normy ISPM15. Dla nas to oszczędność czasu i jesteśmy bardziej ekologiczni."</w:t>
      </w:r>
    </w:p>
    <w:p>
      <w:pPr>
        <w:spacing w:after="60" w:line="276" w:lineRule="auto"/>
      </w:pPr>
      <w:r>
        <w:rPr>
          <w:rFonts w:ascii="Arial" w:hAnsi="Arial"/>
          <w:b/>
          <w:color w:val="1E293B"/>
          <w:sz w:val="19"/>
        </w:rPr>
        <w:t xml:space="preserve">Ocena prawna: </w:t>
      </w:r>
      <w:r>
        <w:rPr>
          <w:rFonts w:ascii="Arial" w:hAnsi="Arial"/>
          <w:color w:val="1E293B"/>
          <w:sz w:val="19"/>
        </w:rPr>
        <w:t>ECGT pkt 10a zakazuje przedstawiania wymogu prawnego lub wyłączenia prawnego jako cechy wyróżniającej produkt. Norma ISPM 15 (International Standards for Phytosanitary Measures No. 15) nakłada obowiązek fumigacji lub obróbki cieplnej wyłącznie na drewniane materiały opakowaniowe. Palety plastikowe są z definicji wyłączone z tego obowiązku – nie dlatego, że firma podjęła jakiekolwiek działania środowiskowe, lecz dlatego, że materiał (HDPE) nie podlega regulacji fitosanitarnej. Prezentowanie tego wyłączenia jako ekologicznej zalety („jesteśmy bardziej ekologiczni") jest klasycznym przykładem ECGT 10a. Analogia do przykładu z bazy wiedzy: „bez substancji zakazanych w UE" jako benefit marketingowy. Testimonial klienta wzmacnia ten przekaz, co czyni naruszenie bardziej widocznym.</w:t>
      </w:r>
    </w:p>
    <w:p>
      <w:pPr>
        <w:spacing w:after="60" w:line="276" w:lineRule="auto"/>
      </w:pPr>
      <w:r>
        <w:rPr>
          <w:rFonts w:ascii="Arial" w:hAnsi="Arial"/>
          <w:b/>
          <w:color w:val="1E293B"/>
          <w:sz w:val="19"/>
        </w:rPr>
        <w:t xml:space="preserve">Kierunek naprawy: </w:t>
      </w:r>
      <w:r>
        <w:rPr>
          <w:rFonts w:ascii="Arial" w:hAnsi="Arial"/>
          <w:color w:val="1E293B"/>
          <w:sz w:val="19"/>
        </w:rPr>
        <w:t>Usunąć sformułowania sugerujące, że brak fumigacji ISPM 15 jest ekologiczną zaletą lub osiągnięciem środowiskowym firmy. Można informować o braku wymogu fumigacji jako cesze technicznej i operacyjnej (oszczędność czasu, kosztów), ale bez kontekstu ekologicznego.</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0FDF4"/>
            <w:tcMar>
              <w:top w:w="140" w:type="dxa"/>
              <w:bottom w:w="140" w:type="dxa"/>
              <w:left w:w="200" w:type="dxa"/>
              <w:right w:w="200" w:type="dxa"/>
            </w:tcMar>
            <w:tcBorders>
              <w:top w:val="single" w:sz="6" w:space="0" w:color="22C55E"/>
              <w:left w:val="single" w:sz="28" w:space="0" w:color="22C55E"/>
              <w:bottom w:val="single" w:sz="6" w:space="0" w:color="22C55E"/>
              <w:right w:val="single" w:sz="6" w:space="0" w:color="22C55E"/>
            </w:tcBorders>
          </w:tcPr>
          <w:p>
            <w:pPr>
              <w:spacing w:before="40" w:after="80"/>
            </w:pPr>
            <w:r>
              <w:rPr>
                <w:rFonts w:ascii="Arial" w:hAnsi="Arial"/>
                <w:b/>
                <w:color w:val="047857"/>
                <w:sz w:val="20"/>
              </w:rPr>
              <w:t>■ DOZWOLONY CLAIM (WZÓR PO KOREKCIE)</w:t>
              <w:br/>
            </w:r>
            <w:r>
              <w:rPr>
                <w:rFonts w:ascii="Arial" w:hAnsi="Arial"/>
                <w:color w:val="1E293B"/>
                <w:sz w:val="19"/>
              </w:rPr>
              <w:t>„Palety HDPE nie podlegają obowiązkowi fumigacji fitosanitarnej (ISPM 15), co upraszcza procedury eksportowe i eliminuje koszty obróbki chemicznej drewna. Jest to właściwość wynikająca z materiału, nie z certyfikacji środowiskowej."</w:t>
            </w:r>
          </w:p>
        </w:tc>
      </w:tr>
    </w:tbl>
    <w:p>
      <w:pPr>
        <w:spacing w:after="120" w:line="120" w:lineRule="exact"/>
      </w:pPr>
    </w:p>
    <w:p>
      <w:pPr>
        <w:keepNext/>
        <w:spacing w:before="220" w:after="60"/>
      </w:pPr>
      <w:r>
        <w:rPr>
          <w:rFonts w:ascii="Arial" w:hAnsi="Arial"/>
          <w:b/>
          <w:color w:val="1E3A8A"/>
          <w:sz w:val="22"/>
        </w:rPr>
        <w:t>PRZYPADEK 04: Kalkulacje redukcji CO2 oparte na wycofanej normie EN 16258:2012</w:t>
      </w:r>
    </w:p>
    <w:p>
      <w:pPr>
        <w:spacing w:after="60" w:line="276" w:lineRule="auto"/>
      </w:pPr>
      <w:r>
        <w:rPr>
          <w:rFonts w:ascii="Arial" w:hAnsi="Arial"/>
          <w:color w:val="1E293B"/>
          <w:sz w:val="19"/>
        </w:rPr>
        <w:t>Podstawa prawna: UPNPR art. 5 ust. 2 pkt 2 · UPNPR art. 6 · CountEmissionsEU (rozp. 2026/1030) art. 3–4 · EN ISO 14083:2023 · rules.json COUNTEMISSIONS-2026-1030  |  Poziom ryzyka: BARDZO WYSOKIE (wycofana norma + brak metodyki)</w:t>
      </w:r>
    </w:p>
    <w:p>
      <w:pPr>
        <w:spacing w:after="60" w:line="276" w:lineRule="auto"/>
      </w:pPr>
      <w:r>
        <w:rPr>
          <w:rFonts w:ascii="Arial" w:hAnsi="Arial"/>
          <w:b/>
          <w:color w:val="1E293B"/>
          <w:sz w:val="19"/>
        </w:rPr>
        <w:t xml:space="preserve">Cytat źródłowy: </w:t>
      </w:r>
      <w:r>
        <w:rPr>
          <w:rFonts w:ascii="Arial" w:hAnsi="Arial"/>
          <w:color w:val="1E293B"/>
          <w:sz w:val="19"/>
        </w:rPr>
        <w:t>„Dzięki przeprowadzonym symulacjom i obliczeniom wg normy EN 16258:2012 dotyczącej mierzenia śladu węglowego jesteśmy w stanie wskazać o ile zmniejszy się ślad węglowy / emisja CO2 do atmosfery przy użyciu palet LIBRA PARTNERS na odcinku Sieradz–Paryż."; „Ograniczenie emisji przy wykorzystaniu 33 palet LIBRA PARTNERS w skali miesiąca wynosi 400 kg CO2."</w:t>
      </w:r>
    </w:p>
    <w:p>
      <w:pPr>
        <w:spacing w:after="60" w:line="276" w:lineRule="auto"/>
      </w:pPr>
      <w:r>
        <w:rPr>
          <w:rFonts w:ascii="Arial" w:hAnsi="Arial"/>
          <w:b/>
          <w:color w:val="1E293B"/>
          <w:sz w:val="19"/>
        </w:rPr>
        <w:t xml:space="preserve">Ocena prawna: </w:t>
      </w:r>
      <w:r>
        <w:rPr>
          <w:rFonts w:ascii="Arial" w:hAnsi="Arial"/>
          <w:color w:val="1E293B"/>
          <w:sz w:val="19"/>
        </w:rPr>
        <w:t>Norma EN 16258:2012 została zastąpiona przez EN ISO 14083:2023, która jest podstawą metodyczną rozporządzenia CountEmissionsEU (2026/1030). Powoływanie się na wycofaną normę jako podstawę obliczeń śladu węglowego stanowi naruszenie UPNPR art. 5 (informacja podana w sposób mogący wprowadzać w błąd co do metodyki i wiarygodności liczb). Dodatkowo: (a) brak ujawnienia granic systemu (czy uwzględniono emisje produkcji palet – cradle-to-gate, czy tylko transport?); (b) brak jednostki funkcjonalnej (400 kg CO2 na 33 palety na trasie Sieradz–Paryż – jaka odległość, jaki pojazd, jaki współczynnik ładunku?); (c) brak scenariusza porównawczego (jakie palety drewniane, jaka waga, jaki pojazd?). Tabela liniowej ekstrapolacji (33 palety → 10 000 palet = 121 t CO2) jest matematycznie prosta, ale metodycznie nieuprawniona bez weryfikacji, czy relacja jest liniowa w różnych scenariuszach logistycznych. Baza wiedzy (rules.json, 05_transport.md) wprost wskazuje, że liniowe ekstrapolacje bez metodyki to naruszenie.</w:t>
      </w:r>
    </w:p>
    <w:p>
      <w:pPr>
        <w:spacing w:after="60" w:line="276" w:lineRule="auto"/>
      </w:pPr>
      <w:r>
        <w:rPr>
          <w:rFonts w:ascii="Arial" w:hAnsi="Arial"/>
          <w:b/>
          <w:color w:val="1E293B"/>
          <w:sz w:val="19"/>
        </w:rPr>
        <w:t xml:space="preserve">Kierunek naprawy: </w:t>
      </w:r>
      <w:r>
        <w:rPr>
          <w:rFonts w:ascii="Arial" w:hAnsi="Arial"/>
          <w:color w:val="1E293B"/>
          <w:sz w:val="19"/>
        </w:rPr>
        <w:t>Usunąć wszystkie kalkulacje oparte na EN 16258:2012. Jeśli firma chce komunikować redukcję emisji CO2, należy zlecić nowe obliczenia zgodne z EN ISO 14083:2023 (CountEmissionsEU), ujawnić granice systemu (co najmniej A1–A3 dla produkcji palet i A4 dla transportu), jednostkę funkcjonalną, scenariusz porównawczy i datę obliczeń. Tabela ekstrapolacji musi zostać usunięta lub zastąpiona kalkulatorem z pełną dokumentacją metodyczną.</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0FDF4"/>
            <w:tcMar>
              <w:top w:w="140" w:type="dxa"/>
              <w:bottom w:w="140" w:type="dxa"/>
              <w:left w:w="200" w:type="dxa"/>
              <w:right w:w="200" w:type="dxa"/>
            </w:tcMar>
            <w:tcBorders>
              <w:top w:val="single" w:sz="6" w:space="0" w:color="22C55E"/>
              <w:left w:val="single" w:sz="28" w:space="0" w:color="22C55E"/>
              <w:bottom w:val="single" w:sz="6" w:space="0" w:color="22C55E"/>
              <w:right w:val="single" w:sz="6" w:space="0" w:color="22C55E"/>
            </w:tcBorders>
          </w:tcPr>
          <w:p>
            <w:pPr>
              <w:spacing w:before="40" w:after="80"/>
            </w:pPr>
            <w:r>
              <w:rPr>
                <w:rFonts w:ascii="Arial" w:hAnsi="Arial"/>
                <w:b/>
                <w:color w:val="047857"/>
                <w:sz w:val="20"/>
              </w:rPr>
              <w:t>■ DOZWOLONY CLAIM (WZÓR PO KOREKCIE)</w:t>
              <w:br/>
            </w:r>
            <w:r>
              <w:rPr>
                <w:rFonts w:ascii="Arial" w:hAnsi="Arial"/>
                <w:color w:val="1E293B"/>
                <w:sz w:val="19"/>
              </w:rPr>
              <w:t>„Szacunkowa redukcja emisji CO2 w fazie transportu przy zastąpieniu palety drewnianej (25 kg) paletą LIBRA PARTNERS (9 kg) na trasie [X km], pojazdem [klasa Euro], przy ładunku [Y t]: [Z kg CO2e/paletę/rok]. Obliczenia zgodne z EN ISO 14083:2023, granice systemu: A4 (transport), dane pierwotne: [źródło]. Pełna dokumentacja dostępna na żądanie."</w:t>
            </w:r>
          </w:p>
        </w:tc>
      </w:tr>
    </w:tbl>
    <w:p>
      <w:pPr>
        <w:spacing w:after="120" w:line="120" w:lineRule="exact"/>
      </w:pPr>
    </w:p>
    <w:p>
      <w:pPr>
        <w:keepNext/>
        <w:spacing w:before="220" w:after="60"/>
      </w:pPr>
      <w:r>
        <w:rPr>
          <w:rFonts w:ascii="Arial" w:hAnsi="Arial"/>
          <w:b/>
          <w:color w:val="1E3A8A"/>
          <w:sz w:val="22"/>
        </w:rPr>
        <w:t>PRZYPADEK 05: Ekwiwalent 600 000 drzew – manipulacja wskaźnikowa bez rzetelnej podstawy</w:t>
      </w:r>
    </w:p>
    <w:p>
      <w:pPr>
        <w:spacing w:after="60" w:line="276" w:lineRule="auto"/>
      </w:pPr>
      <w:r>
        <w:rPr>
          <w:rFonts w:ascii="Arial" w:hAnsi="Arial"/>
          <w:color w:val="1E293B"/>
          <w:sz w:val="19"/>
        </w:rPr>
        <w:t>Podstawa prawna: UPNPR art. 5 ust. 2 pkt 2 · UPNPR art. 6 · ECGT Załącznik I pkt 4a · rules.json UPNPR-5  |  Poziom ryzyka: WYSOKIE (manipulacja wskaźnikowa)</w:t>
      </w:r>
    </w:p>
    <w:p>
      <w:pPr>
        <w:spacing w:after="60" w:line="276" w:lineRule="auto"/>
      </w:pPr>
      <w:r>
        <w:rPr>
          <w:rFonts w:ascii="Arial" w:hAnsi="Arial"/>
          <w:b/>
          <w:color w:val="1E293B"/>
          <w:sz w:val="19"/>
        </w:rPr>
        <w:t xml:space="preserve">Cytat źródłowy: </w:t>
      </w:r>
      <w:r>
        <w:rPr>
          <w:rFonts w:ascii="Arial" w:hAnsi="Arial"/>
          <w:color w:val="1E293B"/>
          <w:sz w:val="19"/>
        </w:rPr>
        <w:t>„600.000 drzew: tyle drzew potrzebnych jest miesięcznie by wchłonąć dodatkową emisję CO2 w przypadku stosowania palet drewnianych zamiast palet LIBRA PARTNERS."; „Przy założeniu, że jedno drzewo wchłania 0,5 kg CO2 miesięcznie, należy podkreślić, iż każdego miesiąca potrzeba dodatkowo 600.000 drzew do wchłonięcia dodatkowego CO2 w przypadku stosowania palet drewnianych typu EUR, zamiast palet plastikowych LIBRA PARTNERS."</w:t>
      </w:r>
    </w:p>
    <w:p>
      <w:pPr>
        <w:spacing w:after="60" w:line="276" w:lineRule="auto"/>
      </w:pPr>
      <w:r>
        <w:rPr>
          <w:rFonts w:ascii="Arial" w:hAnsi="Arial"/>
          <w:b/>
          <w:color w:val="1E293B"/>
          <w:sz w:val="19"/>
        </w:rPr>
        <w:t xml:space="preserve">Ocena prawna: </w:t>
      </w:r>
      <w:r>
        <w:rPr>
          <w:rFonts w:ascii="Arial" w:hAnsi="Arial"/>
          <w:color w:val="1E293B"/>
          <w:sz w:val="19"/>
        </w:rPr>
        <w:t>Ekwiwalenty środowiskowe wyrażone w liczbie drzew są powszechnie stosowaną techniką manipulacji wskaźnikowej (baza wiedzy: 01_horyzontalne.md, 11_praktyka_nadzorcza.md – wzorzec InPost „9 drzew"). Założenie 0,5 kg CO2/drzewo/miesiąc jest skrajnie uproszczone: pochłanianie CO2 przez drzewo zależy od gatunku, wieku, klimatu, sezonu i warunków glebowych; wartości w literaturze naukowej wahają się od kilku do kilkudziesięciu kg CO2/rok. Firma nie podaje źródła tego założenia. Liczba 600 000 drzew jest pochodną niesprawdzonych danych wejściowych (303 t CO2/miesiąc ÷ 0,5 kg = 606 000), które z kolei opierają się na wycofanej normie EN 16258:2012 (patrz ustalenie 04). Ekwiwalent drzew bez rzetelnej podstawy naukowej i bez ujawnienia założeń stanowi naruszenie UPNPR art. 5 (informacja prawdziwa podana w sposób mogący wprowadzać w błąd) oraz art. 6 (pominięcie istotnych założeń). UOKiK zakwestionował analogiczny wzorzec w sprawie InPost (zarzut: „jeden Paczkomat redukuje tyle CO2 co 9 drzew").</w:t>
      </w:r>
    </w:p>
    <w:p>
      <w:pPr>
        <w:spacing w:after="60" w:line="276" w:lineRule="auto"/>
      </w:pPr>
      <w:r>
        <w:rPr>
          <w:rFonts w:ascii="Arial" w:hAnsi="Arial"/>
          <w:b/>
          <w:color w:val="1E293B"/>
          <w:sz w:val="19"/>
        </w:rPr>
        <w:t xml:space="preserve">Kierunek naprawy: </w:t>
      </w:r>
      <w:r>
        <w:rPr>
          <w:rFonts w:ascii="Arial" w:hAnsi="Arial"/>
          <w:color w:val="1E293B"/>
          <w:sz w:val="19"/>
        </w:rPr>
        <w:t>Usunąć ekwiwalent 600 000 drzew ze wszystkich kanałów. Jeśli firma chce stosować ekwiwalenty, musi podać: gatunek drzewa, wiek, warunki wzrostu, źródło naukowe (peer-reviewed), zakres niepewności oraz wyraźne zastrzeżenie, że jest to przybliżenie ilustracyjne, nie twierdzenie środowiskowe.</w:t>
      </w:r>
    </w:p>
    <w:p>
      <w:pPr>
        <w:spacing w:after="120" w:line="120" w:lineRule="exact"/>
      </w:pPr>
    </w:p>
    <w:p>
      <w:pPr>
        <w:keepNext/>
        <w:spacing w:before="220" w:after="60"/>
      </w:pPr>
      <w:r>
        <w:rPr>
          <w:rFonts w:ascii="Arial" w:hAnsi="Arial"/>
          <w:b/>
          <w:color w:val="1E3A8A"/>
          <w:sz w:val="22"/>
        </w:rPr>
        <w:t>PRZYPADEK 06: Trwałość „10 razy" bez metodyki porównawczej – fałszywa trwałość (ECGT 23d–j)</w:t>
      </w:r>
    </w:p>
    <w:p>
      <w:pPr>
        <w:spacing w:after="60" w:line="276" w:lineRule="auto"/>
      </w:pPr>
      <w:r>
        <w:rPr>
          <w:rFonts w:ascii="Arial" w:hAnsi="Arial"/>
          <w:color w:val="1E293B"/>
          <w:sz w:val="19"/>
        </w:rPr>
        <w:t>Podstawa prawna: ECGT Załącznik I pkt 23d–j · UPNPR art. 5 ust. 2 pkt 2 · UZNK art. 16 · rules.json ECGT-4a  |  Poziom ryzyka: WYSOKIE (Czarna lista ECGT 23d–j + porównanie z konkurencją)</w:t>
      </w:r>
    </w:p>
    <w:p>
      <w:pPr>
        <w:spacing w:after="60" w:line="276" w:lineRule="auto"/>
      </w:pPr>
      <w:r>
        <w:rPr>
          <w:rFonts w:ascii="Arial" w:hAnsi="Arial"/>
          <w:b/>
          <w:color w:val="1E293B"/>
          <w:sz w:val="19"/>
        </w:rPr>
        <w:t xml:space="preserve">Cytat źródłowy: </w:t>
      </w:r>
      <w:r>
        <w:rPr>
          <w:rFonts w:ascii="Arial" w:hAnsi="Arial"/>
          <w:color w:val="1E293B"/>
          <w:sz w:val="19"/>
        </w:rPr>
        <w:t>„Trwałość: Nasze palety są 10 razy bardziej trwałe w porównaniu do drewnianych."; „można wykorzystywać je 10 razy dłużej aniżeli palety drewniane, które pod wpływem warunków atmosferycznych tracą swoje właściwości"; „Zasada REUSE / dłuższy cykl życia: W związku z tym, iż palety wykonane z tworzywa sztucznego wykazują się dużo większą trwałością w porównaniu do palet drewnianych, można wykorzystywać je 10 razy dłużej"</w:t>
      </w:r>
    </w:p>
    <w:p>
      <w:pPr>
        <w:spacing w:after="60" w:line="276" w:lineRule="auto"/>
      </w:pPr>
      <w:r>
        <w:rPr>
          <w:rFonts w:ascii="Arial" w:hAnsi="Arial"/>
          <w:b/>
          <w:color w:val="1E293B"/>
          <w:sz w:val="19"/>
        </w:rPr>
        <w:t xml:space="preserve">Ocena prawna: </w:t>
      </w:r>
      <w:r>
        <w:rPr>
          <w:rFonts w:ascii="Arial" w:hAnsi="Arial"/>
          <w:color w:val="1E293B"/>
          <w:sz w:val="19"/>
        </w:rPr>
        <w:t>ECGT pkt 23d–j zakazuje fałszywych twierdzeń o trwałości i żywotności bez metodyki i porównywalnych kryteriów. Twierdzenie „10 razy trwalsza" opiera się na porównaniu liczby cykli załadunek/rozładunek (60–70 vs. 6–7), przy czym: (a) źródłem danych dla palet drewnianych jest „Instytut Materiałoznawstwa w Warszawie" – bez podania daty badania, numeru raportu ani dostępu do dokumentu; (b) dla palet plastikowych nie podano źródła danych o 60–70 cyklach; (c) cykl załadunek/rozładunek nie jest tożsamy z cyklem życia w rozumieniu LCA – paleta drewniana może być naprawiana, co wydłuża jej użytkowanie; (d) warunki porównania (typ magazynu, intensywność użytkowania, warunki atmosferyczne) nie są ujawnione. Porównanie z paletami drewnianymi jako kategorią (nie konkretnym produktem) bez obiektywnej i sprawdzalnej podstawy stanowi dodatkowo czyn nieuczciwej konkurencji w rozumieniu UZNK art. 16. Tabela porównawcza na stronie zawiera twierdzenie „Do 1500 kg" dla palety drewnianej bez podania źródła, co może być nieprawdziwe dla wielu typów europalet.</w:t>
      </w:r>
    </w:p>
    <w:p>
      <w:pPr>
        <w:spacing w:after="60" w:line="276" w:lineRule="auto"/>
      </w:pPr>
      <w:r>
        <w:rPr>
          <w:rFonts w:ascii="Arial" w:hAnsi="Arial"/>
          <w:b/>
          <w:color w:val="1E293B"/>
          <w:sz w:val="19"/>
        </w:rPr>
        <w:t xml:space="preserve">Kierunek naprawy: </w:t>
      </w:r>
      <w:r>
        <w:rPr>
          <w:rFonts w:ascii="Arial" w:hAnsi="Arial"/>
          <w:color w:val="1E293B"/>
          <w:sz w:val="19"/>
        </w:rPr>
        <w:t>Zastąpić twierdzenie „10 razy trwalsza" konkretnym odwołaniem do badań z podaniem: nazwy instytutu, daty, numeru raportu, metodyki (norma, warunki testu), zakresu porównania (jaki typ palety drewnianej). Udostępnić streszczenie badania lub link do raportu. Jeśli badanie nie spełnia wymogów weryfikowalności, twierdzenie należy usunąć.</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0FDF4"/>
            <w:tcMar>
              <w:top w:w="140" w:type="dxa"/>
              <w:bottom w:w="140" w:type="dxa"/>
              <w:left w:w="200" w:type="dxa"/>
              <w:right w:w="200" w:type="dxa"/>
            </w:tcMar>
            <w:tcBorders>
              <w:top w:val="single" w:sz="6" w:space="0" w:color="22C55E"/>
              <w:left w:val="single" w:sz="28" w:space="0" w:color="22C55E"/>
              <w:bottom w:val="single" w:sz="6" w:space="0" w:color="22C55E"/>
              <w:right w:val="single" w:sz="6" w:space="0" w:color="22C55E"/>
            </w:tcBorders>
          </w:tcPr>
          <w:p>
            <w:pPr>
              <w:spacing w:before="40" w:after="80"/>
            </w:pPr>
            <w:r>
              <w:rPr>
                <w:rFonts w:ascii="Arial" w:hAnsi="Arial"/>
                <w:b/>
                <w:color w:val="047857"/>
                <w:sz w:val="20"/>
              </w:rPr>
              <w:t>■ DOZWOLONY CLAIM (WZÓR PO KOREKCIE)</w:t>
              <w:br/>
            </w:r>
            <w:r>
              <w:rPr>
                <w:rFonts w:ascii="Arial" w:hAnsi="Arial"/>
                <w:color w:val="1E293B"/>
                <w:sz w:val="19"/>
              </w:rPr>
              <w:t>„Według badań [nazwa instytutu, data, nr raportu] palety HDPE z recyklingu LIBRA PARTNERS model MW01 wykazują średni cykl użytkowania wynoszący 60–70 cykli załadunek/rozładunek w warunkach [opis], w porównaniu do 6–7 cykli dla europalet drewnianych klasy [klasa] w tych samych warunkach. Pełna dokumentacja badania dostępna na żądanie."</w:t>
            </w:r>
          </w:p>
        </w:tc>
      </w:tr>
    </w:tbl>
    <w:p>
      <w:pPr>
        <w:spacing w:after="120" w:line="120" w:lineRule="exact"/>
      </w:pPr>
    </w:p>
    <w:p>
      <w:pPr>
        <w:keepNext/>
        <w:spacing w:before="220" w:after="60"/>
      </w:pPr>
      <w:r>
        <w:rPr>
          <w:rFonts w:ascii="Arial" w:hAnsi="Arial"/>
          <w:b/>
          <w:color w:val="1E3A8A"/>
          <w:sz w:val="22"/>
        </w:rPr>
        <w:t>PRZYPADEK 07: Raport LCA Envirly bez ujawnienia zakresu i dostępu – brak weryfikowalności</w:t>
      </w:r>
    </w:p>
    <w:p>
      <w:pPr>
        <w:spacing w:after="60" w:line="276" w:lineRule="auto"/>
      </w:pPr>
      <w:r>
        <w:rPr>
          <w:rFonts w:ascii="Arial" w:hAnsi="Arial"/>
          <w:color w:val="1E293B"/>
          <w:sz w:val="19"/>
        </w:rPr>
        <w:t>Podstawa prawna: UPNPR art. 5 ust. 2 pkt 2 · UPNPR art. 6 · ISO 14040/14044 · rules.json UPNPR-6  |  Poziom ryzyka: WYSOKIE (brak weryfikowalności LCA)</w:t>
      </w:r>
    </w:p>
    <w:p>
      <w:pPr>
        <w:spacing w:after="60" w:line="276" w:lineRule="auto"/>
      </w:pPr>
      <w:r>
        <w:rPr>
          <w:rFonts w:ascii="Arial" w:hAnsi="Arial"/>
          <w:b/>
          <w:color w:val="1E293B"/>
          <w:sz w:val="19"/>
        </w:rPr>
        <w:t xml:space="preserve">Cytat źródłowy: </w:t>
      </w:r>
      <w:r>
        <w:rPr>
          <w:rFonts w:ascii="Arial" w:hAnsi="Arial"/>
          <w:color w:val="1E293B"/>
          <w:sz w:val="19"/>
        </w:rPr>
        <w:t>„opracowany przez firmę Envirly raport LCA dotyczący naszych palet potwierdza prawie dwukrotnie niższą emisję CO2 w łańcuchu dostaw w porównaniu do standardowych palet drewnianych."; „W sierpniu 2023 roku powstała analiza Libra Partners przez firmę Envirly – lidera w mierzeniu śladu węglowego produktów dotyczącego naszej palety. Zachęcamy do zapoznania się z przedstawionymi w niej wynikami."</w:t>
      </w:r>
    </w:p>
    <w:p>
      <w:pPr>
        <w:spacing w:after="60" w:line="276" w:lineRule="auto"/>
      </w:pPr>
      <w:r>
        <w:rPr>
          <w:rFonts w:ascii="Arial" w:hAnsi="Arial"/>
          <w:b/>
          <w:color w:val="1E293B"/>
          <w:sz w:val="19"/>
        </w:rPr>
        <w:t xml:space="preserve">Ocena prawna: </w:t>
      </w:r>
      <w:r>
        <w:rPr>
          <w:rFonts w:ascii="Arial" w:hAnsi="Arial"/>
          <w:color w:val="1E293B"/>
          <w:sz w:val="19"/>
        </w:rPr>
        <w:t>Powoływanie się na badania lub analizy LCA strony trzeciej bez ujawnienia kluczowych parametrów metodycznych stanowi naruszenie UPNPR art. 6 (pominięcie informacji istotnych dla oceny twierdzenia). Zgodnie z ISO 14040/14044 raport LCA musi zawierać: cel i zakres, granice systemu, jednostkę funkcjonalną, kategorie wpływu, dane wejściowe i wyjściowe. Twierdzenie „prawie dwukrotnie niższa emisja CO2 w łańcuchu dostaw" jest bardzo szerokie – nie wiadomo, czy obejmuje produkcję palet (A1–A3), transport (A4), użytkowanie (B1–B7) i koniec życia (C1–C4), czy tylko wybrany moduł. Envirly jest firmą komercyjną, nie akredytowaną jednostką certyfikującą – brak informacji o niezależnej weryfikacji raportu (critical review wg ISO 14044). Strona zachęca do „zapoznania się z wynikami", ale nie zawiera linku do raportu ani jego streszczenia. Baza wiedzy (02_zakazane_praktyki_ecgt.md) wskazuje, że powoływanie się na badania bez ujawnienia założeń, daty, zakresu i dostępu do streszczenia to brak weryfikowalności.</w:t>
      </w:r>
    </w:p>
    <w:p>
      <w:pPr>
        <w:spacing w:after="60" w:line="276" w:lineRule="auto"/>
      </w:pPr>
      <w:r>
        <w:rPr>
          <w:rFonts w:ascii="Arial" w:hAnsi="Arial"/>
          <w:b/>
          <w:color w:val="1E293B"/>
          <w:sz w:val="19"/>
        </w:rPr>
        <w:t xml:space="preserve">Kierunek naprawy: </w:t>
      </w:r>
      <w:r>
        <w:rPr>
          <w:rFonts w:ascii="Arial" w:hAnsi="Arial"/>
          <w:color w:val="1E293B"/>
          <w:sz w:val="19"/>
        </w:rPr>
        <w:t>Opublikować streszczenie raportu LCA zawierające: granice systemu (moduły LCA), jednostkę funkcjonalną, zakres porównania (jaki typ palety drewnianej), datę raportu, metodykę (norma ISO 14040/14044 lub EN 15804), informację o niezależnym przeglądzie krytycznym. Jeśli raport nie spełnia wymogów ISO 14044, twierdzenie o „prawie dwukrotnie niższej emisji" należy usunąć do czasu uzyskania weryfikowalnego dokumentu.</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0FDF4"/>
            <w:tcMar>
              <w:top w:w="140" w:type="dxa"/>
              <w:bottom w:w="140" w:type="dxa"/>
              <w:left w:w="200" w:type="dxa"/>
              <w:right w:w="200" w:type="dxa"/>
            </w:tcMar>
            <w:tcBorders>
              <w:top w:val="single" w:sz="6" w:space="0" w:color="22C55E"/>
              <w:left w:val="single" w:sz="28" w:space="0" w:color="22C55E"/>
              <w:bottom w:val="single" w:sz="6" w:space="0" w:color="22C55E"/>
              <w:right w:val="single" w:sz="6" w:space="0" w:color="22C55E"/>
            </w:tcBorders>
          </w:tcPr>
          <w:p>
            <w:pPr>
              <w:spacing w:before="40" w:after="80"/>
            </w:pPr>
            <w:r>
              <w:rPr>
                <w:rFonts w:ascii="Arial" w:hAnsi="Arial"/>
                <w:b/>
                <w:color w:val="047857"/>
                <w:sz w:val="20"/>
              </w:rPr>
              <w:t>■ DOZWOLONY CLAIM (WZÓR PO KOREKCIE)</w:t>
              <w:br/>
            </w:r>
            <w:r>
              <w:rPr>
                <w:rFonts w:ascii="Arial" w:hAnsi="Arial"/>
                <w:color w:val="1E293B"/>
                <w:sz w:val="19"/>
              </w:rPr>
              <w:t>„Analiza LCA przeprowadzona przez Envirly (sierpień 2023, metodyka ISO 14040/14044, granice systemu: [moduły], jednostka funkcjonalna: [opis]) wykazała o [X]% niższe emisje CO2e w fazie [faza] w porównaniu do palety drewnianej klasy [klasa]. Streszczenie raportu dostępne pod adresem [link]."</w:t>
            </w:r>
          </w:p>
        </w:tc>
      </w:tr>
    </w:tbl>
    <w:p>
      <w:pPr>
        <w:spacing w:after="120" w:line="120" w:lineRule="exact"/>
      </w:pPr>
    </w:p>
    <w:p>
      <w:pPr>
        <w:keepNext/>
        <w:spacing w:before="220" w:after="60"/>
      </w:pPr>
      <w:r>
        <w:rPr>
          <w:rFonts w:ascii="Arial" w:hAnsi="Arial"/>
          <w:b/>
          <w:color w:val="1E3A8A"/>
          <w:sz w:val="22"/>
        </w:rPr>
        <w:t>PRZYPADEK 08: Transfer atrybutów – opinia Politechniki Poznańskiej jako dowód korzyści środowiskowej</w:t>
      </w:r>
    </w:p>
    <w:p>
      <w:pPr>
        <w:spacing w:after="60" w:line="276" w:lineRule="auto"/>
      </w:pPr>
      <w:r>
        <w:rPr>
          <w:rFonts w:ascii="Arial" w:hAnsi="Arial"/>
          <w:color w:val="1E293B"/>
          <w:sz w:val="19"/>
        </w:rPr>
        <w:t>Podstawa prawna: UPNPR art. 5 ust. 2 pkt 2 · UPNPR art. 7 pkt 2 · ECGT Załącznik I pkt 4a · rules.json UPNPR-7-2  |  Poziom ryzyka: ŚREDNIE (transfer atrybutów)</w:t>
      </w:r>
    </w:p>
    <w:p>
      <w:pPr>
        <w:spacing w:after="60" w:line="276" w:lineRule="auto"/>
      </w:pPr>
      <w:r>
        <w:rPr>
          <w:rFonts w:ascii="Arial" w:hAnsi="Arial"/>
          <w:b/>
          <w:color w:val="1E293B"/>
          <w:sz w:val="19"/>
        </w:rPr>
        <w:t xml:space="preserve">Cytat źródłowy: </w:t>
      </w:r>
      <w:r>
        <w:rPr>
          <w:rFonts w:ascii="Arial" w:hAnsi="Arial"/>
          <w:color w:val="1E293B"/>
          <w:sz w:val="19"/>
        </w:rPr>
        <w:t>„Paleta antybakteryjna LIBRA PARTNERS model MW01-MED uzyskała opinię o innowacyjności na skalę Świata wystawioną przez Politechnikę Poznańską."; „Z dumą informujemy, iż dzięki naszym badaniom B+R jesteśmy pierwszym producentem na świecie palet przystosowanych do branży farmaceutycznej i medycznej, które są w 99% antybakteryjne przez cały cykl życia palety. Dodatkowo stosując palety plastikowe LIBRA PARTNERS przyczyniacie się do zmniejszenia emisji CO2 do Środowiska i jesteście ESG Friendly!"</w:t>
      </w:r>
    </w:p>
    <w:p>
      <w:pPr>
        <w:spacing w:after="60" w:line="276" w:lineRule="auto"/>
      </w:pPr>
      <w:r>
        <w:rPr>
          <w:rFonts w:ascii="Arial" w:hAnsi="Arial"/>
          <w:b/>
          <w:color w:val="1E293B"/>
          <w:sz w:val="19"/>
        </w:rPr>
        <w:t xml:space="preserve">Ocena prawna: </w:t>
      </w:r>
      <w:r>
        <w:rPr>
          <w:rFonts w:ascii="Arial" w:hAnsi="Arial"/>
          <w:color w:val="1E293B"/>
          <w:sz w:val="19"/>
        </w:rPr>
        <w:t>Opinia Politechniki Poznańskiej dotyczy innowacyjności technicznej produktu (właściwości antybakteryjne), nie jego wpływu na środowisko. Zestawienie tej opinii bezpośrednio z twierdzeniami „przyczyniacie się do zmniejszenia emisji CO2" i „jesteście ESG Friendly" w tym samym akapicie tworzy wrażenie, że instytucja akademicka potwierdziła korzyści środowiskowe. Jest to klasyczny transfer atrybutów: atest/opinia w jednym obszarze (innowacyjność techniczna) sugeruje potwierdzenie w innym (środowisko). Dodatkowo hasło „ESG Friendly" w tym kontekście stanowi ogólne twierdzenie środowiskowe bez certyfikacji (ECGT 4a). Baza wiedzy (01_horyzontalne.md) wskazuje, że atest higieniczny, nagroda czy opinia uczelni nie dowodzą korzyści środowiskowej.</w:t>
      </w:r>
    </w:p>
    <w:p>
      <w:pPr>
        <w:spacing w:after="60" w:line="276" w:lineRule="auto"/>
      </w:pPr>
      <w:r>
        <w:rPr>
          <w:rFonts w:ascii="Arial" w:hAnsi="Arial"/>
          <w:b/>
          <w:color w:val="1E293B"/>
          <w:sz w:val="19"/>
        </w:rPr>
        <w:t xml:space="preserve">Kierunek naprawy: </w:t>
      </w:r>
      <w:r>
        <w:rPr>
          <w:rFonts w:ascii="Arial" w:hAnsi="Arial"/>
          <w:color w:val="1E293B"/>
          <w:sz w:val="19"/>
        </w:rPr>
        <w:t>Oddzielić informację o opinii Politechniki Poznańskiej (innowacyjność antybakteryjna) od twierdzeń środowiskowych. Usunąć hasło „ESG Friendly" z opisu produktu MW01-MED lub zastąpić je konkretnym, weryfikowalnym twierdzeniem środowiskowym z podaniem zakresu i metodyki.</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0FDF4"/>
            <w:tcMar>
              <w:top w:w="140" w:type="dxa"/>
              <w:bottom w:w="140" w:type="dxa"/>
              <w:left w:w="200" w:type="dxa"/>
              <w:right w:w="200" w:type="dxa"/>
            </w:tcMar>
            <w:tcBorders>
              <w:top w:val="single" w:sz="6" w:space="0" w:color="22C55E"/>
              <w:left w:val="single" w:sz="28" w:space="0" w:color="22C55E"/>
              <w:bottom w:val="single" w:sz="6" w:space="0" w:color="22C55E"/>
              <w:right w:val="single" w:sz="6" w:space="0" w:color="22C55E"/>
            </w:tcBorders>
          </w:tcPr>
          <w:p>
            <w:pPr>
              <w:spacing w:before="40" w:after="80"/>
            </w:pPr>
            <w:r>
              <w:rPr>
                <w:rFonts w:ascii="Arial" w:hAnsi="Arial"/>
                <w:b/>
                <w:color w:val="047857"/>
                <w:sz w:val="20"/>
              </w:rPr>
              <w:t>■ DOZWOLONY CLAIM (WZÓR PO KOREKCIE)</w:t>
              <w:br/>
            </w:r>
            <w:r>
              <w:rPr>
                <w:rFonts w:ascii="Arial" w:hAnsi="Arial"/>
                <w:color w:val="1E293B"/>
                <w:sz w:val="19"/>
              </w:rPr>
              <w:t>„Paleta MW01-MED uzyskała opinię o innowacyjności technicznej (właściwości antybakteryjne) wystawioną przez Politechnikę Poznańską (nr opinii: [X], data: [Y]). Właściwości antybakteryjne zostały potwierdzone badaniami wg ISO 22196:2011. Informacje o wpływie środowiskowym produktu dostępne w karcie technicznej."</w:t>
            </w:r>
          </w:p>
        </w:tc>
      </w:tr>
    </w:tbl>
    <w:p>
      <w:pPr>
        <w:spacing w:after="120" w:line="120" w:lineRule="exact"/>
      </w:pPr>
    </w:p>
    <w:p>
      <w:pPr>
        <w:keepNext/>
        <w:spacing w:before="220" w:after="60"/>
      </w:pPr>
      <w:r>
        <w:rPr>
          <w:rFonts w:ascii="Arial" w:hAnsi="Arial"/>
          <w:b/>
          <w:color w:val="1E3A8A"/>
          <w:sz w:val="22"/>
        </w:rPr>
        <w:t>PRZYPADEK 09: Anonimowe testimoniale sugerujące korzyści ekologiczne</w:t>
      </w:r>
    </w:p>
    <w:p>
      <w:pPr>
        <w:spacing w:after="60" w:line="276" w:lineRule="auto"/>
      </w:pPr>
      <w:r>
        <w:rPr>
          <w:rFonts w:ascii="Arial" w:hAnsi="Arial"/>
          <w:color w:val="1E293B"/>
          <w:sz w:val="19"/>
        </w:rPr>
        <w:t>Podstawa prawna: UPNPR art. 7 pkt 23b–c · UPNPR art. 5 · rules.json UPNPR-5  |  Poziom ryzyka: ŚREDNIE (anonimowe testimoniale ekologiczne)</w:t>
      </w:r>
    </w:p>
    <w:p>
      <w:pPr>
        <w:spacing w:after="60" w:line="276" w:lineRule="auto"/>
      </w:pPr>
      <w:r>
        <w:rPr>
          <w:rFonts w:ascii="Arial" w:hAnsi="Arial"/>
          <w:b/>
          <w:color w:val="1E293B"/>
          <w:sz w:val="19"/>
        </w:rPr>
        <w:t xml:space="preserve">Cytat źródłowy: </w:t>
      </w:r>
      <w:r>
        <w:rPr>
          <w:rFonts w:ascii="Arial" w:hAnsi="Arial"/>
          <w:color w:val="1E293B"/>
          <w:sz w:val="19"/>
        </w:rPr>
        <w:t>„Rozważamy zmianę dotychczasowych palet drewnianych na palety LIBRA PARTNERS. Dzięki lżejszej wadze, oraz temu, że pochodzą z recyklingu – będziemy bardziej EKO oraz wpłynie to bardzo pozytywnie na wizerunek naszej firmy." (Kierownik działu ESG, branża spożywcza)"; „Z uwagi na eksport morski do Ameryki Północnej i Południowej, wybór palet LIBRA PARTNERS będzie zarówno ekonomiczny, jak i ekologiczny!" (Dyrektor sprzedaży, branża wyrobów medycznych)"</w:t>
      </w:r>
    </w:p>
    <w:p>
      <w:pPr>
        <w:spacing w:after="60" w:line="276" w:lineRule="auto"/>
      </w:pPr>
      <w:r>
        <w:rPr>
          <w:rFonts w:ascii="Arial" w:hAnsi="Arial"/>
          <w:b/>
          <w:color w:val="1E293B"/>
          <w:sz w:val="19"/>
        </w:rPr>
        <w:t xml:space="preserve">Ocena prawna: </w:t>
      </w:r>
      <w:r>
        <w:rPr>
          <w:rFonts w:ascii="Arial" w:hAnsi="Arial"/>
          <w:color w:val="1E293B"/>
          <w:sz w:val="19"/>
        </w:rPr>
        <w:t>Dyrektywa Omnibus (implementowana przez ECGT) oraz UPNPR art. 7 pkt 23b–c zakazują prezentowania fałszywych lub niezweryfikowanych opinii konsumenckich. Testimoniale na stronie LIBRA PARTNERS są anonimowe (podano jedynie stanowisko i branżę, bez nazwy firmy ani imienia i nazwiska), co uniemożliwia ich weryfikację. Opinie zawierają twierdzenia ekologiczne („będziemy bardziej EKO", „ekologiczny") bez żadnej podstawy merytorycznej – są to subiektywne oceny, nie fakty. Szczególnie problematyczna jest opinia „będziemy bardziej EKO", która wzmacnia ogólne hasło ekologiczne (ECGT 4a) głosem rzekomego klienta. Baza wiedzy (01_horyzontalne.md) wskazuje, że anonimowe, niezweryfikowane opinie „o byciu eko" są niedozwolone.</w:t>
      </w:r>
    </w:p>
    <w:p>
      <w:pPr>
        <w:spacing w:after="60" w:line="276" w:lineRule="auto"/>
      </w:pPr>
      <w:r>
        <w:rPr>
          <w:rFonts w:ascii="Arial" w:hAnsi="Arial"/>
          <w:b/>
          <w:color w:val="1E293B"/>
          <w:sz w:val="19"/>
        </w:rPr>
        <w:t xml:space="preserve">Kierunek naprawy: </w:t>
      </w:r>
      <w:r>
        <w:rPr>
          <w:rFonts w:ascii="Arial" w:hAnsi="Arial"/>
          <w:color w:val="1E293B"/>
          <w:sz w:val="19"/>
        </w:rPr>
        <w:t>Usunąć anonimowe testimoniale zawierające twierdzenia ekologiczne lub zastąpić je opiniami z pełną identyfikacją autora (imię, nazwisko, stanowisko, nazwa firmy) i zgodą na publikację. Twierdzenia ekologiczne w opiniach muszą być weryfikowalne i konkretne.</w:t>
      </w:r>
    </w:p>
    <w:p>
      <w:pPr>
        <w:spacing w:after="120" w:line="120" w:lineRule="exact"/>
      </w:pPr>
    </w:p>
    <w:p>
      <w:pPr>
        <w:keepNext/>
        <w:spacing w:before="220" w:after="60"/>
      </w:pPr>
      <w:r>
        <w:rPr>
          <w:rFonts w:ascii="Arial" w:hAnsi="Arial"/>
          <w:b/>
          <w:color w:val="1E3A8A"/>
          <w:sz w:val="22"/>
        </w:rPr>
        <w:t>PRZYPADEK 10: Dyskredytujące porównanie z paletami drewnianymi bez obiektywnej podstawy</w:t>
      </w:r>
    </w:p>
    <w:p>
      <w:pPr>
        <w:spacing w:after="60" w:line="276" w:lineRule="auto"/>
      </w:pPr>
      <w:r>
        <w:rPr>
          <w:rFonts w:ascii="Arial" w:hAnsi="Arial"/>
          <w:color w:val="1E293B"/>
          <w:sz w:val="19"/>
        </w:rPr>
        <w:t>Podstawa prawna: UZNK art. 16 · dyrektywa 2006/114/WE art. 4 · UPNPR art. 5 · rules.json UPNPR-5  |  Poziom ryzyka: ŚREDNIE (dyskredytujące porównanie z konkurencją)</w:t>
      </w:r>
    </w:p>
    <w:p>
      <w:pPr>
        <w:spacing w:after="60" w:line="276" w:lineRule="auto"/>
      </w:pPr>
      <w:r>
        <w:rPr>
          <w:rFonts w:ascii="Arial" w:hAnsi="Arial"/>
          <w:b/>
          <w:color w:val="1E293B"/>
          <w:sz w:val="19"/>
        </w:rPr>
        <w:t xml:space="preserve">Cytat źródłowy: </w:t>
      </w:r>
      <w:r>
        <w:rPr>
          <w:rFonts w:ascii="Arial" w:hAnsi="Arial"/>
          <w:color w:val="1E293B"/>
          <w:sz w:val="19"/>
        </w:rPr>
        <w:t>„Paleta drewniana: Palety drewniane mają niekorzystny wpływ na politykę ESG."; „Paleta drewniana: Produkcja palet drewnianych wiąże się z wycinką drzew."; „Paleta drewniana: Pod koniec cyklu życia nie mają żadnej wartości, a dodatkowo eliminacja jest dodatkowym kosztem dla właściciela."</w:t>
      </w:r>
    </w:p>
    <w:p>
      <w:pPr>
        <w:spacing w:after="60" w:line="276" w:lineRule="auto"/>
      </w:pPr>
      <w:r>
        <w:rPr>
          <w:rFonts w:ascii="Arial" w:hAnsi="Arial"/>
          <w:b/>
          <w:color w:val="1E293B"/>
          <w:sz w:val="19"/>
        </w:rPr>
        <w:t xml:space="preserve">Ocena prawna: </w:t>
      </w:r>
      <w:r>
        <w:rPr>
          <w:rFonts w:ascii="Arial" w:hAnsi="Arial"/>
          <w:color w:val="1E293B"/>
          <w:sz w:val="19"/>
        </w:rPr>
        <w:t>UZNK art. 16 zakazuje reklamy, która jest sprzeczna z dobrymi obyczajami lub wprowadza klienta w błąd. Dyrektywa 2006/114/WE art. 4 wymaga, aby reklama porównawcza była obiektywna, sprawdzalna i porównywała porównywalne. Twierdzenie „palety drewniane mają niekorzystny wpływ na politykę ESG" jest oceną ogólną bez podania kryteriów, metodyki ani źródła. Twierdzenie „pod koniec cyklu życia nie mają żadnej wartości" jest nieprawdziwe lub co najmniej nieścisłe – palety drewniane mogą być naprawiane, kompostowane lub spalane z odzyskiem energii. Twierdzenie o wyłącznie negatywnym wpływie drewna na środowisko pomija fakt, że drewno jest surowcem odnawialnym, a certyfikowane drewno (FSC, PEFC) pochodzi ze zrównoważonej gospodarki leśnej. Porównanie nie uwzględnia emisji produkcji palet plastikowych (cradle-to-gate), co stanowi pominięcie istotne (UPNPR art. 6). Baza wiedzy (01_horyzontalne.md) wskazuje, że dyskredytowanie surowca konkurencji nieprawdziwymi lub niekompletnymi informacjami to czyn nieuczciwej konkurencji.</w:t>
      </w:r>
    </w:p>
    <w:p>
      <w:pPr>
        <w:spacing w:after="60" w:line="276" w:lineRule="auto"/>
      </w:pPr>
      <w:r>
        <w:rPr>
          <w:rFonts w:ascii="Arial" w:hAnsi="Arial"/>
          <w:b/>
          <w:color w:val="1E293B"/>
          <w:sz w:val="19"/>
        </w:rPr>
        <w:t xml:space="preserve">Kierunek naprawy: </w:t>
      </w:r>
      <w:r>
        <w:rPr>
          <w:rFonts w:ascii="Arial" w:hAnsi="Arial"/>
          <w:color w:val="1E293B"/>
          <w:sz w:val="19"/>
        </w:rPr>
        <w:t>Przebudować tabelę porównawczą tak, aby: (a) porównywała konkretne, mierzalne parametry z podaniem źródeł; (b) uwzględniała pełny cykl życia obu produktów (LCA); (c) nie zawierała ogólnych ocen wartościujących bez podstawy; (d) uwzględniała możliwość certyfikowanego drewna (FSC/PEFC) jako alternatywy. Usunąć twierdzenie o „niekorzystnym wpływie na politykę ESG" palet drewnianych.</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0FDF4"/>
            <w:tcMar>
              <w:top w:w="140" w:type="dxa"/>
              <w:bottom w:w="140" w:type="dxa"/>
              <w:left w:w="200" w:type="dxa"/>
              <w:right w:w="200" w:type="dxa"/>
            </w:tcMar>
            <w:tcBorders>
              <w:top w:val="single" w:sz="6" w:space="0" w:color="22C55E"/>
              <w:left w:val="single" w:sz="28" w:space="0" w:color="22C55E"/>
              <w:bottom w:val="single" w:sz="6" w:space="0" w:color="22C55E"/>
              <w:right w:val="single" w:sz="6" w:space="0" w:color="22C55E"/>
            </w:tcBorders>
          </w:tcPr>
          <w:p>
            <w:pPr>
              <w:spacing w:before="40" w:after="80"/>
            </w:pPr>
            <w:r>
              <w:rPr>
                <w:rFonts w:ascii="Arial" w:hAnsi="Arial"/>
                <w:b/>
                <w:color w:val="047857"/>
                <w:sz w:val="20"/>
              </w:rPr>
              <w:t>■ DOZWOLONY CLAIM (WZÓR PO KOREKCIE)</w:t>
              <w:br/>
            </w:r>
            <w:r>
              <w:rPr>
                <w:rFonts w:ascii="Arial" w:hAnsi="Arial"/>
                <w:color w:val="1E293B"/>
                <w:sz w:val="19"/>
              </w:rPr>
              <w:t>„Porównanie parametrów technicznych i środowiskowych palet HDPE z recyklingu LIBRA PARTNERS model MW01 z europalet drewnianych klasy EUR-1 (źródło: [badanie, data]): waga: 9 kg vs. 25 kg; szacunkowe emisje CO2e w fazie transportu na 100 km: [X] vs. [Y] kg CO2e (metodyka: EN ISO 14083:2023, dane: [źródło]); liczba cykli użytkowania: [X] vs. [Y] (badanie: [źródło])."</w:t>
            </w:r>
          </w:p>
        </w:tc>
      </w:tr>
    </w:tbl>
    <w:p>
      <w:pPr>
        <w:spacing w:after="120" w:line="120" w:lineRule="exact"/>
      </w:pPr>
    </w:p>
    <w:p>
      <w:pPr>
        <w:keepNext/>
        <w:spacing w:before="320" w:after="100"/>
      </w:pPr>
      <w:r>
        <w:rPr>
          <w:rFonts w:ascii="Arial" w:hAnsi="Arial"/>
          <w:b/>
          <w:color w:val="1E3A8A"/>
          <w:sz w:val="27"/>
        </w:rPr>
        <w:t>4. Porównanie twierdzeń LIBRA PARTNERS z rzeczywistym stanem prawno-środowiskowym</w:t>
      </w:r>
    </w:p>
    <w:p>
      <w:pPr>
        <w:spacing w:after="100" w:line="276" w:lineRule="auto"/>
      </w:pPr>
      <w:r>
        <w:rPr>
          <w:rFonts w:ascii="Arial" w:hAnsi="Arial"/>
          <w:color w:val="1E293B"/>
          <w:sz w:val="19"/>
        </w:rPr>
        <w:t>Poniższa tabela zestawia kluczowe twierdzenia środowiskowe LIBRA PARTNERS z ich oceną prawno-środowiskową na podstawie obowiązujących przepisów i bazy wiedzy.</w:t>
      </w:r>
    </w:p>
    <w:tbl>
      <w:tblPr>
        <w:tblW w:type="auto" w:w="0"/>
        <w:jc w:val="center"/>
        <w:tblLayout w:type="fixed"/>
        <w:tblLook w:firstColumn="1" w:firstRow="1" w:lastColumn="0" w:lastRow="0" w:noHBand="0" w:noVBand="1" w:val="04A0"/>
        <w:tblLayout w:type="fixed"/>
      </w:tblPr>
      <w:tblGrid>
        <w:gridCol w:w="4896"/>
        <w:gridCol w:w="4896"/>
      </w:tblGrid>
      <w:tr>
        <w:trPr>
          <w:tblHeader w:val="true"/>
        </w:trPr>
        <w:tc>
          <w:tcPr>
            <w:tcW w:type="dxa" w:w="4896"/>
            <w:shd w:val="clear" w:color="auto" w:fill="1E3A8A"/>
            <w:tcMar>
              <w:top w:w="70" w:type="dxa"/>
              <w:bottom w:w="70" w:type="dxa"/>
              <w:left w:w="60" w:type="dxa"/>
              <w:right w:w="60" w:type="dxa"/>
            </w:tcMar>
          </w:tcPr>
          <w:p>
            <w:pPr>
              <w:spacing w:before="40" w:after="40"/>
            </w:pPr>
            <w:r>
              <w:rPr>
                <w:rFonts w:ascii="Arial" w:hAnsi="Arial"/>
                <w:b/>
                <w:color w:val="FFFFFF"/>
                <w:sz w:val="17"/>
              </w:rPr>
              <w:t>Twierdzenie LIBRA PARTNERS</w:t>
            </w:r>
          </w:p>
        </w:tc>
        <w:tc>
          <w:tcPr>
            <w:tcW w:type="dxa" w:w="4896"/>
            <w:shd w:val="clear" w:color="auto" w:fill="1E3A8A"/>
            <w:tcMar>
              <w:top w:w="70" w:type="dxa"/>
              <w:bottom w:w="70" w:type="dxa"/>
              <w:left w:w="60" w:type="dxa"/>
              <w:right w:w="60" w:type="dxa"/>
            </w:tcMar>
          </w:tcPr>
          <w:p>
            <w:pPr>
              <w:spacing w:before="40" w:after="40"/>
            </w:pPr>
            <w:r>
              <w:rPr>
                <w:rFonts w:ascii="Arial" w:hAnsi="Arial"/>
                <w:b/>
                <w:color w:val="FFFFFF"/>
                <w:sz w:val="17"/>
              </w:rPr>
              <w:t>Rzeczywisty stan prawno-środowiskowy</w:t>
            </w:r>
          </w:p>
        </w:tc>
      </w:tr>
      <w:tr>
        <w:tc>
          <w:tcPr>
            <w:tcW w:type="dxa" w:w="4896"/>
            <w:shd w:val="clear" w:color="auto" w:fill="FFFFFF"/>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b/>
                <w:color w:val="1E293B"/>
                <w:sz w:val="16"/>
              </w:rPr>
              <w:t>„Ekologiczne palety" / „eko palety" (hasło główne)</w:t>
            </w:r>
          </w:p>
        </w:tc>
        <w:tc>
          <w:tcPr>
            <w:tcW w:type="dxa" w:w="4896"/>
            <w:shd w:val="clear" w:color="auto" w:fill="FFFFFF"/>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color w:val="1E293B"/>
                <w:sz w:val="16"/>
              </w:rPr>
              <w:t>Ogólne hasło ekologiczne zakazane przez ECGT pkt 4a bez EU Ecolabel lub ISO 14024 typ I w tym samym kanale. Brak jakiejkolwiek uznanej certyfikacji środowiskowej w materiale.</w:t>
            </w:r>
          </w:p>
        </w:tc>
      </w:tr>
      <w:tr>
        <w:tc>
          <w:tcPr>
            <w:tcW w:type="dxa" w:w="4896"/>
            <w:shd w:val="clear" w:color="auto" w:fill="F8FAFC"/>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b/>
                <w:color w:val="1E293B"/>
                <w:sz w:val="16"/>
              </w:rPr>
              <w:t>„W tym modelu działalności nie ma jakichkolwiek odpadów" (ZERO WASTE)</w:t>
            </w:r>
          </w:p>
        </w:tc>
        <w:tc>
          <w:tcPr>
            <w:tcW w:type="dxa" w:w="4896"/>
            <w:shd w:val="clear" w:color="auto" w:fill="F8FAFC"/>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color w:val="1E293B"/>
                <w:sz w:val="16"/>
              </w:rPr>
              <w:t>Twierdzenie o całości działalności zakazane przez ECGT pkt 4b. Jedynym opisanym mechanizmem jest deklarowany odkup zużytych palet; brak informacji o odpadach produkcyjnych, energii, ściekach.</w:t>
            </w:r>
          </w:p>
        </w:tc>
      </w:tr>
      <w:tr>
        <w:tc>
          <w:tcPr>
            <w:tcW w:type="dxa" w:w="4896"/>
            <w:shd w:val="clear" w:color="auto" w:fill="FFFFFF"/>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b/>
                <w:color w:val="1E293B"/>
                <w:sz w:val="16"/>
              </w:rPr>
              <w:t>„Nie wymagają fumigacji – zgodne z normą ISPM 15" jako zaleta ekologiczna</w:t>
            </w:r>
          </w:p>
        </w:tc>
        <w:tc>
          <w:tcPr>
            <w:tcW w:type="dxa" w:w="4896"/>
            <w:shd w:val="clear" w:color="auto" w:fill="FFFFFF"/>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color w:val="1E293B"/>
                <w:sz w:val="16"/>
              </w:rPr>
              <w:t>Wyłączenie z obowiązku fumigacji wynika z właściwości materiału (HDPE), nie z działań środowiskowych firmy. Prezentowanie wyłączenia prawnego jako cechy wyróżniającej zakazane przez ECGT pkt 10a.</w:t>
            </w:r>
          </w:p>
        </w:tc>
      </w:tr>
      <w:tr>
        <w:tc>
          <w:tcPr>
            <w:tcW w:type="dxa" w:w="4896"/>
            <w:shd w:val="clear" w:color="auto" w:fill="F8FAFC"/>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b/>
                <w:color w:val="1E293B"/>
                <w:sz w:val="16"/>
              </w:rPr>
              <w:t>Obliczenia CO2 wg EN 16258:2012</w:t>
            </w:r>
          </w:p>
        </w:tc>
        <w:tc>
          <w:tcPr>
            <w:tcW w:type="dxa" w:w="4896"/>
            <w:shd w:val="clear" w:color="auto" w:fill="F8FAFC"/>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color w:val="1E293B"/>
                <w:sz w:val="16"/>
              </w:rPr>
              <w:t>EN 16258:2012 została zastąpiona przez EN ISO 14083:2023 (obowiązującą podstawę CountEmissionsEU). Powoływanie się na wycofaną normę czyni liczby metodycznie nieweryfikowalnymi.</w:t>
            </w:r>
          </w:p>
        </w:tc>
      </w:tr>
      <w:tr>
        <w:tc>
          <w:tcPr>
            <w:tcW w:type="dxa" w:w="4896"/>
            <w:shd w:val="clear" w:color="auto" w:fill="FFFFFF"/>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b/>
                <w:color w:val="1E293B"/>
                <w:sz w:val="16"/>
              </w:rPr>
              <w:t>„600 000 drzew potrzebnych miesięcznie" do wchłonięcia CO2</w:t>
            </w:r>
          </w:p>
        </w:tc>
        <w:tc>
          <w:tcPr>
            <w:tcW w:type="dxa" w:w="4896"/>
            <w:shd w:val="clear" w:color="auto" w:fill="FFFFFF"/>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color w:val="1E293B"/>
                <w:sz w:val="16"/>
              </w:rPr>
              <w:t>Ekwiwalent oparty na założeniu 0,5 kg CO2/drzewo/miesiąc bez podania gatunku, wieku, źródła naukowego. Analogiczny wzorzec zakwestionowany przez UOKiK w sprawie InPost (2025).</w:t>
            </w:r>
          </w:p>
        </w:tc>
      </w:tr>
      <w:tr>
        <w:tc>
          <w:tcPr>
            <w:tcW w:type="dxa" w:w="4896"/>
            <w:shd w:val="clear" w:color="auto" w:fill="F8FAFC"/>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b/>
                <w:color w:val="1E293B"/>
                <w:sz w:val="16"/>
              </w:rPr>
              <w:t>„10 razy bardziej trwałe od drewnianych"</w:t>
            </w:r>
          </w:p>
        </w:tc>
        <w:tc>
          <w:tcPr>
            <w:tcW w:type="dxa" w:w="4896"/>
            <w:shd w:val="clear" w:color="auto" w:fill="F8FAFC"/>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color w:val="1E293B"/>
                <w:sz w:val="16"/>
              </w:rPr>
              <w:t>Twierdzenie bez ujawnionej metodyki porównawczej, warunków testu i dostępu do raportu źródłowego. Naruszenie ECGT pkt 23d–j i UZNK art. 16.</w:t>
            </w:r>
          </w:p>
        </w:tc>
      </w:tr>
      <w:tr>
        <w:tc>
          <w:tcPr>
            <w:tcW w:type="dxa" w:w="4896"/>
            <w:shd w:val="clear" w:color="auto" w:fill="FFFFFF"/>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b/>
                <w:color w:val="1E293B"/>
                <w:sz w:val="16"/>
              </w:rPr>
              <w:t>Raport LCA Envirly: „prawie dwukrotnie niższa emisja CO2"</w:t>
            </w:r>
          </w:p>
        </w:tc>
        <w:tc>
          <w:tcPr>
            <w:tcW w:type="dxa" w:w="4896"/>
            <w:shd w:val="clear" w:color="auto" w:fill="FFFFFF"/>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color w:val="1E293B"/>
                <w:sz w:val="16"/>
              </w:rPr>
              <w:t>Brak ujawnienia granic systemu, jednostki funkcjonalnej, modułów LCA, niezależnego przeglądu krytycznego i dostępu do streszczenia. Twierdzenie nieweryfikowalne w rozumieniu UPNPR art. 6.</w:t>
            </w:r>
          </w:p>
        </w:tc>
      </w:tr>
      <w:tr>
        <w:tc>
          <w:tcPr>
            <w:tcW w:type="dxa" w:w="4896"/>
            <w:shd w:val="clear" w:color="auto" w:fill="F8FAFC"/>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b/>
                <w:color w:val="1E293B"/>
                <w:sz w:val="16"/>
              </w:rPr>
              <w:t>„jesteście ESG Friendly!" (opis palety MW01-MED)</w:t>
            </w:r>
          </w:p>
        </w:tc>
        <w:tc>
          <w:tcPr>
            <w:tcW w:type="dxa" w:w="4896"/>
            <w:shd w:val="clear" w:color="auto" w:fill="F8FAFC"/>
            <w:tcMar>
              <w:top w:w="50" w:type="dxa"/>
              <w:bottom w:w="50" w:type="dxa"/>
              <w:left w:w="60" w:type="dxa"/>
              <w:right w:w="60" w:type="dxa"/>
            </w:tcMar>
            <w:tcBorders>
              <w:top w:val="single" w:sz="4" w:space="0" w:color="CBD5E1"/>
              <w:left w:val="single" w:sz="4" w:space="0" w:color="CBD5E1"/>
              <w:bottom w:val="single" w:sz="4" w:space="0" w:color="CBD5E1"/>
              <w:right w:val="single" w:sz="4" w:space="0" w:color="CBD5E1"/>
            </w:tcBorders>
          </w:tcPr>
          <w:p>
            <w:pPr>
              <w:spacing w:before="20" w:after="20"/>
            </w:pPr>
            <w:r>
              <w:rPr>
                <w:rFonts w:ascii="Arial" w:hAnsi="Arial"/>
                <w:color w:val="1E293B"/>
                <w:sz w:val="16"/>
              </w:rPr>
              <w:t>Ogólne twierdzenie środowiskowe zakazane przez ECGT pkt 4a. Brak jakiejkolwiek certyfikacji ESG ani uznanej metodyki oceny.</w:t>
            </w:r>
          </w:p>
        </w:tc>
      </w:tr>
    </w:tbl>
    <w:p>
      <w:pPr>
        <w:spacing w:after="160" w:line="120" w:lineRule="exact"/>
      </w:pPr>
    </w:p>
    <w:p>
      <w:pPr>
        <w:keepNext/>
        <w:spacing w:before="320" w:after="100"/>
      </w:pPr>
      <w:r>
        <w:rPr>
          <w:rFonts w:ascii="Arial" w:hAnsi="Arial"/>
          <w:b/>
          <w:color w:val="1E3A8A"/>
          <w:sz w:val="27"/>
        </w:rPr>
        <w:t>5. Ryzyka prawne i finansowe</w:t>
      </w:r>
    </w:p>
    <w:p>
      <w:pPr>
        <w:spacing w:after="100" w:line="276" w:lineRule="auto"/>
      </w:pPr>
      <w:r>
        <w:rPr>
          <w:rFonts w:ascii="Arial" w:hAnsi="Arial"/>
          <w:color w:val="1E293B"/>
          <w:sz w:val="19"/>
        </w:rPr>
        <w:t>Poniżej przedstawiono główne ryzyka prawne, finansowe i nadzorcze wynikające ze stwierdzonych naruszeń.</w:t>
      </w:r>
    </w:p>
    <w:p>
      <w:pPr>
        <w:keepNext/>
        <w:spacing w:after="40" w:line="276" w:lineRule="auto"/>
      </w:pPr>
      <w:r>
        <w:rPr>
          <w:rFonts w:ascii="Arial" w:hAnsi="Arial"/>
          <w:b/>
          <w:color w:val="1E293B"/>
          <w:sz w:val="19"/>
        </w:rPr>
        <w:t xml:space="preserve">• </w:t>
      </w:r>
      <w:r>
        <w:rPr>
          <w:rFonts w:ascii="Arial" w:hAnsi="Arial"/>
          <w:b/>
          <w:color w:val="1E293B"/>
          <w:sz w:val="19"/>
        </w:rPr>
        <w:t>1. Kary Prezesa UOKiK do 10% obrotu za każdą praktykę</w:t>
      </w:r>
    </w:p>
    <w:p>
      <w:pPr>
        <w:spacing w:after="100" w:line="276" w:lineRule="auto"/>
      </w:pPr>
      <w:r>
        <w:rPr>
          <w:rFonts w:ascii="Arial" w:hAnsi="Arial"/>
          <w:color w:val="1E293B"/>
          <w:sz w:val="19"/>
        </w:rPr>
        <w:t>Na podstawie art. 24 i art. 106 ust. 1 pkt 4 ustawy o ochronie konkurencji i konsumentów Prezes UOKiK może nałożyć karę do 10% rocznego obrotu za każdą zakwestionowaną praktykę naruszającą zbiorowe interesy konsumentów, nawet jeśli naruszenie było nieumyślne. Audyt wykazał co najmniej 6 odrębnych praktyk kwalifikujących się do zarzutów (ogólne hasła ekologiczne, ZERO WASTE, ISPM 15, kalkulacje CO2 na wycofanej normie, ekwiwalent drzew, trwałość bez metodyki). Przy kilku praktykach łączna kara może wielokrotnie przekroczyć roczny obrót firmy. UOKiK aktywnie prowadzi postępowania w sektorze logistycznym i produkcyjnym (InPost, DHL, DPD, Allegro – 2025; Bolt, Tchibo, Zara – 2026).</w:t>
      </w:r>
    </w:p>
    <w:p>
      <w:pPr>
        <w:keepNext/>
        <w:spacing w:after="40" w:line="276" w:lineRule="auto"/>
      </w:pPr>
      <w:r>
        <w:rPr>
          <w:rFonts w:ascii="Arial" w:hAnsi="Arial"/>
          <w:b/>
          <w:color w:val="1E293B"/>
          <w:sz w:val="19"/>
        </w:rPr>
        <w:t xml:space="preserve">• </w:t>
      </w:r>
      <w:r>
        <w:rPr>
          <w:rFonts w:ascii="Arial" w:hAnsi="Arial"/>
          <w:b/>
          <w:color w:val="1E293B"/>
          <w:sz w:val="19"/>
        </w:rPr>
        <w:t>2. Roszczenia konkurencji z UZNK art. 16 i 18</w:t>
      </w:r>
    </w:p>
    <w:p>
      <w:pPr>
        <w:spacing w:after="100" w:line="276" w:lineRule="auto"/>
      </w:pPr>
      <w:r>
        <w:rPr>
          <w:rFonts w:ascii="Arial" w:hAnsi="Arial"/>
          <w:color w:val="1E293B"/>
          <w:sz w:val="19"/>
        </w:rPr>
        <w:t>Producenci palet drewnianych lub inni producenci palet plastikowych mogą wystąpić z roszczeniami cywilnymi na podstawie UZNK art. 16 (nieuczciwa reklama porównawcza) i art. 18 (zaniechanie, odszkodowanie, ogłoszenie wyroku) w związku z dyskredytującą tabelą porównawczą i twierdzeniami o „niekorzystnym wpływie palet drewnianych na politykę ESG" bez obiektywnej podstawy. Roszczenia B2B nie wymagają wykazania „przeciętnego konsumenta" – wystarczy wykazanie, że reklama wprowadza w błąd i może wpłynąć na decyzję kontrahenta.</w:t>
      </w:r>
    </w:p>
    <w:p>
      <w:pPr>
        <w:keepNext/>
        <w:spacing w:after="40" w:line="276" w:lineRule="auto"/>
      </w:pPr>
      <w:r>
        <w:rPr>
          <w:rFonts w:ascii="Arial" w:hAnsi="Arial"/>
          <w:b/>
          <w:color w:val="1E293B"/>
          <w:sz w:val="19"/>
        </w:rPr>
        <w:t xml:space="preserve">• </w:t>
      </w:r>
      <w:r>
        <w:rPr>
          <w:rFonts w:ascii="Arial" w:hAnsi="Arial"/>
          <w:b/>
          <w:color w:val="1E293B"/>
          <w:sz w:val="19"/>
        </w:rPr>
        <w:t>3. Ryzyko dla klientów raportujących ESG/CSRD</w:t>
      </w:r>
    </w:p>
    <w:p>
      <w:pPr>
        <w:spacing w:after="100" w:line="276" w:lineRule="auto"/>
      </w:pPr>
      <w:r>
        <w:rPr>
          <w:rFonts w:ascii="Arial" w:hAnsi="Arial"/>
          <w:color w:val="1E293B"/>
          <w:sz w:val="19"/>
        </w:rPr>
        <w:t>Klienci LIBRA PARTNERS (branża farmaceutyczna, spożywcza, logistyczna) mogą włączać dane o redukcji emisji CO2 z zakupu palet do swoich raportów ESG/CSRD (ESRS E1). Jeśli dane te opierają się na kalkulacjach z wycofanej normy EN 16258:2012 bez weryfikacji metodycznej, klienci narażają się na zarzut nierzetelności raportowania niefinansowego. Firma LIBRA PARTNERS aktywnie zachęca do takiego wykorzystania danych: „Spraw by Twoja firma była zgodna z polityką Zrównoważonego Rozwoju i ESG. Już teraz przygotuj firmę do raportowania niefinansowego ESG." – co zwiększa odpowiedzialność za jakość dostarczanych danych.</w:t>
      </w:r>
    </w:p>
    <w:p>
      <w:pPr>
        <w:keepNext/>
        <w:spacing w:after="40" w:line="276" w:lineRule="auto"/>
      </w:pPr>
      <w:r>
        <w:rPr>
          <w:rFonts w:ascii="Arial" w:hAnsi="Arial"/>
          <w:b/>
          <w:color w:val="1E293B"/>
          <w:sz w:val="19"/>
        </w:rPr>
        <w:t xml:space="preserve">• </w:t>
      </w:r>
      <w:r>
        <w:rPr>
          <w:rFonts w:ascii="Arial" w:hAnsi="Arial"/>
          <w:b/>
          <w:color w:val="1E293B"/>
          <w:sz w:val="19"/>
        </w:rPr>
        <w:t>4. Ryzyko reputacyjne i medialne</w:t>
      </w:r>
    </w:p>
    <w:p>
      <w:pPr>
        <w:spacing w:after="100" w:line="276" w:lineRule="auto"/>
      </w:pPr>
      <w:r>
        <w:rPr>
          <w:rFonts w:ascii="Arial" w:hAnsi="Arial"/>
          <w:color w:val="1E293B"/>
          <w:sz w:val="19"/>
        </w:rPr>
        <w:t>Wzorzec komunikacji LIBRA PARTNERS (masowe hasła eko, ekwiwalenty drzew, ZERO WASTE dla całej firmy) jest niemal identyczny z wzorcami zakwestionowanymi publicznie przez UOKiK w sprawach InPost, Tchibo i Zara. W przypadku wszczęcia postępowania wyjaśniającego lub zarzutów UOKiK, komunikaty prasowe organu są szeroko cytowane w mediach branżowych i ogólnopolskich, co może trwale zaszkodzić wizerunkowi firmy i jej pozycji w przetargach ESG.</w:t>
      </w:r>
    </w:p>
    <w:p>
      <w:pPr>
        <w:keepNext/>
        <w:spacing w:before="320" w:after="100"/>
      </w:pPr>
      <w:r>
        <w:rPr>
          <w:rFonts w:ascii="Arial" w:hAnsi="Arial"/>
          <w:b/>
          <w:color w:val="1E3A8A"/>
          <w:sz w:val="27"/>
        </w:rPr>
        <w:t>6. Rekomendacje naprawcze</w:t>
      </w: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8FAFC"/>
            <w:tcMar>
              <w:top w:w="140" w:type="dxa"/>
              <w:bottom w:w="140" w:type="dxa"/>
              <w:left w:w="200" w:type="dxa"/>
              <w:right w:w="200" w:type="dxa"/>
            </w:tcMar>
            <w:tcBorders>
              <w:top w:val="single" w:sz="6" w:space="0" w:color="3B82F6"/>
              <w:left w:val="single" w:sz="28" w:space="0" w:color="3B82F6"/>
              <w:bottom w:val="single" w:sz="6" w:space="0" w:color="3B82F6"/>
              <w:right w:val="single" w:sz="6" w:space="0" w:color="3B82F6"/>
            </w:tcBorders>
          </w:tcPr>
          <w:p>
            <w:pPr>
              <w:spacing w:before="40" w:after="80"/>
            </w:pPr>
            <w:r>
              <w:rPr>
                <w:rFonts w:ascii="Arial" w:hAnsi="Arial"/>
                <w:b/>
                <w:color w:val="1E3A8A"/>
                <w:sz w:val="20"/>
              </w:rPr>
              <w:t>■ Etap 1: Natychmiastowy pull-off treści online (Termin: natychmiast (do 2026-09-28))</w:t>
              <w:br/>
            </w:r>
            <w:r>
              <w:rPr>
                <w:rFonts w:ascii="Arial" w:hAnsi="Arial"/>
                <w:color w:val="1E293B"/>
                <w:sz w:val="19"/>
              </w:rPr>
              <w:t>Usunąć lub zastąpić tymczasowymi placeholderami wszystkie ogólne hasła ekologiczne (eko, ekologiczne, zrównoważony, ESG Friendly, ZERO WASTE w odniesieniu do całej firmy) ze strony głównej, podstron produktowych i podstrony zrównoważonego rozwoju. Usunąć tabelę ekstrapolacji CO2 (33 palety → 10 000 palet) i ekwiwalent 600 000 drzew. Usunąć lub oznaczyć jako „w trakcie aktualizacji" sekcję kalkulatora śladu węglowego opartą na EN 16258:2012. Działania udokumentować (zrzuty ekranu przed i po, log zmian) na potrzeby ewentualnego postępowania UOKiK (dowód dobrej wiary).</w:t>
            </w:r>
          </w:p>
        </w:tc>
      </w:tr>
    </w:tbl>
    <w:p>
      <w:pPr>
        <w:spacing w:after="120" w:line="120" w:lineRule="exact"/>
      </w:pP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8FAFC"/>
            <w:tcMar>
              <w:top w:w="140" w:type="dxa"/>
              <w:bottom w:w="140" w:type="dxa"/>
              <w:left w:w="200" w:type="dxa"/>
              <w:right w:w="200" w:type="dxa"/>
            </w:tcMar>
            <w:tcBorders>
              <w:top w:val="single" w:sz="6" w:space="0" w:color="3B82F6"/>
              <w:left w:val="single" w:sz="28" w:space="0" w:color="3B82F6"/>
              <w:bottom w:val="single" w:sz="6" w:space="0" w:color="3B82F6"/>
              <w:right w:val="single" w:sz="6" w:space="0" w:color="3B82F6"/>
            </w:tcBorders>
          </w:tcPr>
          <w:p>
            <w:pPr>
              <w:spacing w:before="40" w:after="80"/>
            </w:pPr>
            <w:r>
              <w:rPr>
                <w:rFonts w:ascii="Arial" w:hAnsi="Arial"/>
                <w:b/>
                <w:color w:val="1E3A8A"/>
                <w:sz w:val="20"/>
              </w:rPr>
              <w:t>■ Etap 2: Korekta kart produktów i tabeli porównawczej (Termin: 7 dni (do 2026-10-04))</w:t>
              <w:br/>
            </w:r>
            <w:r>
              <w:rPr>
                <w:rFonts w:ascii="Arial" w:hAnsi="Arial"/>
                <w:color w:val="1E293B"/>
                <w:sz w:val="19"/>
              </w:rPr>
              <w:t>Przebudować karty produktów: zastąpić ogólne hasła ekologiczne konkretnymi twierdzeniami z podaniem zakresu (materiał palety, nie cała firma). Przebudować tabelę porównawczą: usunąć twierdzenia dyskredytujące palety drewniane bez podstawy, zastąpić obiektywnymi, mierzalnymi parametrami z podaniem źródeł. Usunąć lub zweryfikować testimoniale – zastąpić opiniami z pełną identyfikacją autora lub usunąć twierdzenia ekologiczne z anonimowych opinii. Oddzielić informację o opinii Politechniki Poznańskiej od twierdzeń środowiskowych.</w:t>
            </w:r>
          </w:p>
        </w:tc>
      </w:tr>
    </w:tbl>
    <w:p>
      <w:pPr>
        <w:spacing w:after="120" w:line="120" w:lineRule="exact"/>
      </w:pP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8FAFC"/>
            <w:tcMar>
              <w:top w:w="140" w:type="dxa"/>
              <w:bottom w:w="140" w:type="dxa"/>
              <w:left w:w="200" w:type="dxa"/>
              <w:right w:w="200" w:type="dxa"/>
            </w:tcMar>
            <w:tcBorders>
              <w:top w:val="single" w:sz="6" w:space="0" w:color="3B82F6"/>
              <w:left w:val="single" w:sz="28" w:space="0" w:color="3B82F6"/>
              <w:bottom w:val="single" w:sz="6" w:space="0" w:color="3B82F6"/>
              <w:right w:val="single" w:sz="6" w:space="0" w:color="3B82F6"/>
            </w:tcBorders>
          </w:tcPr>
          <w:p>
            <w:pPr>
              <w:spacing w:before="40" w:after="80"/>
            </w:pPr>
            <w:r>
              <w:rPr>
                <w:rFonts w:ascii="Arial" w:hAnsi="Arial"/>
                <w:b/>
                <w:color w:val="1E3A8A"/>
                <w:sz w:val="20"/>
              </w:rPr>
              <w:t>■ Etap 3: Wdrożenie metodyki i publikacja dowodów (Termin: 30 dni (do 2026-10-27))</w:t>
              <w:br/>
            </w:r>
            <w:r>
              <w:rPr>
                <w:rFonts w:ascii="Arial" w:hAnsi="Arial"/>
                <w:color w:val="1E293B"/>
                <w:sz w:val="19"/>
              </w:rPr>
              <w:t>Zlecić aktualizację raportu LCA Envirly do metodyki ISO 14040/14044 z pełnym ujawnieniem granic systemu, jednostki funkcjonalnej, modułów LCA (co najmniej A1–A4) i niezależnym przeglądem krytycznym. Zlecić nowe obliczenia redukcji emisji CO2 w transporcie zgodne z EN ISO 14083:2023 (CountEmissionsEU) z ujawnieniem danych pierwotnych lub wtórnych, granic systemu i scenariusza. Opublikować streszczenie raportu LCA na stronie. Zweryfikować twierdzenie o trwałości „10 razy" – uzyskać dostęp do raportu Instytutu Materiałoznawstwa lub zlecić nowe badanie porównawcze z ujawnioną metodyką.</w:t>
            </w:r>
          </w:p>
        </w:tc>
      </w:tr>
    </w:tbl>
    <w:p>
      <w:pPr>
        <w:spacing w:after="120" w:line="120" w:lineRule="exact"/>
      </w:pPr>
    </w:p>
    <w:tbl>
      <w:tblPr>
        <w:tblW w:type="auto" w:w="0"/>
        <w:jc w:val="center"/>
        <w:tblLayout w:type="fixed"/>
        <w:tblLook w:firstColumn="1" w:firstRow="1" w:lastColumn="0" w:lastRow="0" w:noHBand="0" w:noVBand="1" w:val="04A0"/>
        <w:tblLayout w:type="fixed"/>
      </w:tblPr>
      <w:tblGrid>
        <w:gridCol w:w="9792"/>
      </w:tblGrid>
      <w:tr>
        <w:tc>
          <w:tcPr>
            <w:tcW w:type="dxa" w:w="9792"/>
            <w:shd w:val="clear" w:color="auto" w:fill="F8FAFC"/>
            <w:tcMar>
              <w:top w:w="140" w:type="dxa"/>
              <w:bottom w:w="140" w:type="dxa"/>
              <w:left w:w="200" w:type="dxa"/>
              <w:right w:w="200" w:type="dxa"/>
            </w:tcMar>
            <w:tcBorders>
              <w:top w:val="single" w:sz="6" w:space="0" w:color="3B82F6"/>
              <w:left w:val="single" w:sz="28" w:space="0" w:color="3B82F6"/>
              <w:bottom w:val="single" w:sz="6" w:space="0" w:color="3B82F6"/>
              <w:right w:val="single" w:sz="6" w:space="0" w:color="3B82F6"/>
            </w:tcBorders>
          </w:tcPr>
          <w:p>
            <w:pPr>
              <w:spacing w:before="40" w:after="80"/>
            </w:pPr>
            <w:r>
              <w:rPr>
                <w:rFonts w:ascii="Arial" w:hAnsi="Arial"/>
                <w:b/>
                <w:color w:val="1E3A8A"/>
                <w:sz w:val="20"/>
              </w:rPr>
              <w:t>■ Etap 4: Safe Harbor Claims i szkolenie marketingu (Termin: stały (od 2026-10-27))</w:t>
              <w:br/>
            </w:r>
            <w:r>
              <w:rPr>
                <w:rFonts w:ascii="Arial" w:hAnsi="Arial"/>
                <w:color w:val="1E293B"/>
                <w:sz w:val="19"/>
              </w:rPr>
              <w:t>Opracować bibliotekę zatwierdzonych twierdzeń środowiskowych (safe harbor claims) dla każdego produktu i każdego kanału komunikacji, zgodnych z ECGT i UPNPR: konkretnych, mierzalnych, z podaniem zakresu i metodyki. Wdrożyć procedurę pre-clearance dla nowych materiałów marketingowych z udziałem prawnika ds. compliance. Przeszkolić zespół marketingu i sprzedaży z zasad ECGT (czarna lista, test „ten sam kanał", zakaz ogólnych haseł ekologicznych). Rozważyć uzyskanie certyfikacji ISO 14024 typ I lub EU Ecolabel dla produktów, jeśli firma chce stosować ogólne hasła ekologiczne w przyszłości.</w:t>
            </w:r>
          </w:p>
        </w:tc>
      </w:tr>
    </w:tbl>
    <w:p>
      <w:pPr>
        <w:spacing w:after="120" w:line="120" w:lineRule="exact"/>
      </w:pPr>
    </w:p>
    <w:p>
      <w:pPr>
        <w:keepNext/>
        <w:spacing w:before="320" w:after="100"/>
      </w:pPr>
      <w:r>
        <w:rPr>
          <w:rFonts w:ascii="Arial" w:hAnsi="Arial"/>
          <w:b/>
          <w:color w:val="1E3A8A"/>
          <w:sz w:val="27"/>
        </w:rPr>
        <w:t>7. Wnioski</w:t>
      </w:r>
    </w:p>
    <w:p>
      <w:pPr>
        <w:spacing w:after="100" w:line="276" w:lineRule="auto"/>
      </w:pPr>
      <w:r>
        <w:rPr>
          <w:rFonts w:ascii="Arial" w:hAnsi="Arial"/>
          <w:color w:val="1E293B"/>
          <w:sz w:val="19"/>
        </w:rPr>
        <w:t>LIBRA PARTNERS posiada realny potencjał środowiskowy (surowiec z recyklingu, niższa waga, deklarowany odkup palet), jednak obecna komunikacja marketingowa narusza co najmniej sześć zakazów czarnej listy ECGT i liczne przepisy UPNPR, co naraża firmę na kary UOKiK do 10% obrotu za każdą praktykę oraz roszczenia konkurencji; materiał wymaga natychmiastowego wycofania z publikacji online i gruntownej korekty opartej na weryfikowalnych danych i aktualnych normach.</w:t>
      </w:r>
    </w:p>
    <w:sectPr w:rsidR="00FC693F" w:rsidRPr="0006063C" w:rsidSect="00034616">
      <w:footerReference w:type="default" r:id="rId9"/>
      <w:pgSz w:w="12240" w:h="15840"/>
      <w:pgMar w:top="1224" w:right="1224" w:bottom="1224" w:left="1224"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5"/>
      </w:rPr>
      <w:t xml:space="preserve">Audyt Greenwashingu: LIBRA PARTNERS (GRUPA SZARPOL, SIERADZ)  ·  </w:t>
    </w:r>
    <w:r>
      <w:rPr>
        <w:rFonts w:ascii="Arial" w:hAnsi="Arial"/>
        <w:color w:val="94A3B8"/>
        <w:sz w:val="15"/>
      </w:rPr>
      <w:fldChar w:fldCharType="begin"/>
      <w:instrText xml:space="preserve">PAGE</w:instrText>
      <w:fldChar w:fldCharType="separate"/>
      <w:t>1</w:t>
      <w:fldChar w:fldCharType="end"/>
    </w:r>
    <w:r>
      <w:rPr>
        <w:rFonts w:ascii="Arial" w:hAnsi="Arial"/>
        <w:color w:val="94A3B8"/>
        <w:sz w:val="15"/>
      </w:rPr>
      <w:t xml:space="preserve"> / </w:t>
    </w:r>
    <w:r>
      <w:rPr>
        <w:rFonts w:ascii="Arial" w:hAnsi="Arial"/>
        <w:color w:val="94A3B8"/>
        <w:sz w:val="15"/>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s="Arial" w:eastAsia="Arial"/>
      <w:color w:val="1E293B"/>
      <w:sz w:val="19"/>
      <w:lang w:val="pl-P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Audyt Greenwashingu: LIBRA PARTNERS (GRUPA SZARPOL, SIERADZ)</dc:title>
  <dc:subject>GREEN WASHING TOOL · RAPORT AUDYTU REGULACYJNEGO I ŚRODOWISKOWEGO</dc:subject>
  <dc:creator>Quanty</dc:creator>
  <cp:keywords/>
  <dc:description>generated by python-docx</dc:description>
  <cp:lastModifiedBy/>
  <cp:revision>1</cp:revision>
  <dcterms:created xsi:type="dcterms:W3CDTF">2013-12-23T23:15:00Z</dcterms:created>
  <dcterms:modified xsi:type="dcterms:W3CDTF">2013-12-23T23:15:00Z</dcterms:modified>
  <cp:category/>
  <dc:language>pl-PL</dc:language>
</cp:coreProperties>
</file>