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Arial" w:hAnsi="Arial" w:eastAsia="Arial"/>
          <w:b/>
          <w:i w:val="0"/>
          <w:color w:val="2A8AB0"/>
          <w:sz w:val="18"/>
        </w:rPr>
        <w:t>ESG INSTITUTE  ·  RAPORT AUDYTU REGULACYJNEGO I ŚRODOWISKOWEGO</w:t>
      </w:r>
    </w:p>
    <w:p>
      <w:pPr>
        <w:spacing w:before="40" w:after="40" w:line="269" w:lineRule="auto"/>
      </w:pPr>
      <w:r>
        <w:rPr>
          <w:rFonts w:ascii="Arial" w:hAnsi="Arial" w:eastAsia="Arial"/>
          <w:b/>
          <w:i w:val="0"/>
          <w:color w:val="08181F"/>
          <w:sz w:val="40"/>
        </w:rPr>
        <w:t>Audyt Ryzyk Greenwashingu: LIBRA PARTNERS</w:t>
      </w:r>
    </w:p>
    <w:p>
      <w:pPr>
        <w:spacing w:before="0" w:after="160" w:line="269" w:lineRule="auto"/>
      </w:pPr>
      <w:r>
        <w:rPr>
          <w:rFonts w:ascii="Arial" w:hAnsi="Arial" w:eastAsia="Arial"/>
          <w:b w:val="0"/>
          <w:i/>
          <w:color w:val="5A6B77"/>
          <w:sz w:val="21"/>
        </w:rPr>
        <w:t>Weryfikacja twierdzeń środowiskowych, haseł, specyfikacji, tabeli porównawczej i kalkulacji CO₂ ze zbioru materiałów strony libra-partners.pl (stan zebrania: 26 września 2026 r.) wobec dyrektywy (UE) 2024/825 (ECGT), UPNPR, ustawy o ochronie konkurencji i konsumentów, UZNK oraz rozporządzenia (UE) 2026/1030 (CountEmissionsEU).</w:t>
      </w:r>
    </w:p>
    <w:p>
      <w:pPr>
        <w:spacing w:before="0" w:after="160" w:line="269" w:lineRule="auto"/>
      </w:pPr>
      <w:r>
        <w:rPr>
          <w:rFonts w:ascii="Arial" w:hAnsi="Arial" w:eastAsia="Arial"/>
          <w:b w:val="0"/>
          <w:i/>
          <w:color w:val="5A6B77"/>
          <w:sz w:val="18"/>
        </w:rPr>
        <w:t>Wersja okrojona. W całości widoczne jest jedno naruszenie i jeden przypadek. W pozostałych wierszach tabeli zbiorczej czytelne jest tylko ryzyko. W punkcie 4 widoczny jest jeden wiersz, w punkcie 5 jeden punkt, w punkcie 6 jedna rekomendacja. Reszta tych części jest rozmyta.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4802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_partners_stro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80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9" w:lineRule="auto"/>
      </w:pPr>
      <w:r>
        <w:rPr>
          <w:rFonts w:ascii="Arial" w:hAnsi="Arial" w:eastAsia="Arial"/>
          <w:b w:val="0"/>
          <w:i/>
          <w:color w:val="5A6B77"/>
          <w:sz w:val="17"/>
        </w:rPr>
        <w:t>Zrzut strony głównej libra-partners.pl z 7 października 2026 r. Widoczne hasło: „Technologia z myślą o Ekologii”.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38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16242C"/>
                <w:sz w:val="17"/>
              </w:rPr>
              <w:t>Badany podmiot</w:t>
            </w:r>
          </w:p>
        </w:tc>
        <w:tc>
          <w:tcPr>
            <w:tcW w:type="dxa" w:w="759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17"/>
              </w:rPr>
              <w:t>LIBRA PARTNERS, grupa SZARPOL (Centrum Produkcyjno-Handlowe „Szarpol”), ul. prof. Mariana Rapackiego 3, 98-200 Sieradz</w:t>
            </w:r>
          </w:p>
        </w:tc>
      </w:tr>
      <w:tr>
        <w:tc>
          <w:tcPr>
            <w:tcW w:type="dxa" w:w="238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16242C"/>
                <w:sz w:val="17"/>
              </w:rPr>
              <w:t>Przedmiot audytu</w:t>
            </w:r>
          </w:p>
        </w:tc>
        <w:tc>
          <w:tcPr>
            <w:tcW w:type="dxa" w:w="759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17"/>
              </w:rPr>
              <w:t>Zbiór twierdzeń ze strony głównej, podstron oferty, „Zrównoważonego rozwoju”, „O nas”, specyfikacji modeli i tabeli porównawczej z paletą drewnianą. Stan zebrania: 26 września 2026 r.</w:t>
            </w:r>
          </w:p>
        </w:tc>
      </w:tr>
      <w:tr>
        <w:tc>
          <w:tcPr>
            <w:tcW w:type="dxa" w:w="238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16242C"/>
                <w:sz w:val="17"/>
              </w:rPr>
              <w:t>Sektor działalności</w:t>
            </w:r>
          </w:p>
        </w:tc>
        <w:tc>
          <w:tcPr>
            <w:tcW w:type="dxa" w:w="759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17"/>
              </w:rPr>
              <w:t>Opakowania transportowe: palety z tworzyw sztucznych (rHDPE, HDPE, rPP) dla logistyki, przemysłu spożywczego, farmaceutycznego i automotive</w:t>
            </w:r>
          </w:p>
        </w:tc>
      </w:tr>
      <w:tr>
        <w:tc>
          <w:tcPr>
            <w:tcW w:type="dxa" w:w="238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16242C"/>
                <w:sz w:val="17"/>
              </w:rPr>
              <w:t>Reżim prawny</w:t>
            </w:r>
          </w:p>
        </w:tc>
        <w:tc>
          <w:tcPr>
            <w:tcW w:type="dxa" w:w="759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17"/>
              </w:rPr>
              <w:t>Przekaz na libra-partners.pl: dyrektywa (UE) 2024/825 (stosowanie od 27.09.2026), dyrektywa 2005/29/WE, UPNPR art. 5–7, u.o.k.k. art. 24 i 106, UZNK art. 16 i 18, rozporządzenie (UE) 2026/1030 i EN ISO 14083:2023; kontekst wylesiania: rozporządzenie (UE) 2023/1115 (EUDR). Wymogi dla palety w kraju przeznaczenia, w tym fitosanitarne (ISPM 15), zależą od kraju eksportu. W materiale: Wielka Brytania oraz eksport morski do Ameryki Północnej i Południowej. Prawa tych krajów o twierdzeniach środowiskowych nie wchodzą do tej oceny.</w:t>
            </w:r>
          </w:p>
        </w:tc>
      </w:tr>
      <w:tr>
        <w:tc>
          <w:tcPr>
            <w:tcW w:type="dxa" w:w="238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16242C"/>
                <w:sz w:val="17"/>
              </w:rPr>
              <w:t>Data audytu</w:t>
            </w:r>
          </w:p>
        </w:tc>
        <w:tc>
          <w:tcPr>
            <w:tcW w:type="dxa" w:w="7597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17"/>
              </w:rPr>
              <w:t>7 października 2026 r.</w:t>
            </w:r>
          </w:p>
        </w:tc>
      </w:tr>
      <w:tr>
        <w:tc>
          <w:tcPr>
            <w:tcW w:type="dxa" w:w="238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16242C"/>
                <w:sz w:val="17"/>
              </w:rPr>
              <w:t>Werdykt operacyjny</w:t>
            </w:r>
          </w:p>
        </w:tc>
        <w:tc>
          <w:tcPr>
            <w:tcW w:type="dxa" w:w="7597"/>
            <w:shd w:fill="FFF1F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BE123C"/>
                <w:sz w:val="17"/>
              </w:rPr>
              <w:t>NIE PUBLIKOWAĆ W OBECNEJ FORMIE (KOD CZERWONY / REJECT &amp; RE-NARROW)</w:t>
            </w:r>
          </w:p>
        </w:tc>
      </w:tr>
    </w:tbl>
    <w:p>
      <w:pPr>
        <w:spacing w:before="0" w:after="160" w:line="269" w:lineRule="auto"/>
      </w:pPr>
      <w:r>
        <w:rPr>
          <w:rFonts w:ascii="Arial" w:hAnsi="Arial" w:eastAsia="Arial"/>
          <w:b w:val="0"/>
          <w:i w:val="0"/>
          <w:color w:val="16242C"/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1F2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E11D48"/>
              <w:left w:val="single" w:sz="24" w:space="0" w:color="E11D48"/>
              <w:bottom w:val="single" w:sz="6" w:space="0" w:color="E11D48"/>
              <w:right w:val="single" w:sz="6" w:space="0" w:color="E11D48"/>
            </w:tcBorders>
          </w:tcPr>
          <w:p>
            <w:pPr>
              <w:spacing w:before="0" w:after="80"/>
            </w:pPr>
            <w:r>
              <w:rPr>
                <w:rFonts w:ascii="Arial" w:hAnsi="Arial" w:eastAsia="Arial"/>
                <w:b/>
                <w:i w:val="0"/>
                <w:color w:val="BE123C"/>
                <w:sz w:val="20"/>
              </w:rPr>
              <w:t>■ WERDYKT: NIE PUBLIKOWAĆ W OBECNEJ FORMIE (KOD CZERWONY / REJECT &amp; RE-NARROW)</w:t>
            </w:r>
          </w:p>
          <w:p>
            <w:pPr>
              <w:spacing w:before="40" w:after="40" w:line="269" w:lineRule="auto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20"/>
              </w:rPr>
              <w:t>Materiał spełnia przesłanki czarnej listy załącznika I do dyrektywy 2005/29/WE w brzmieniu nadanym dyrektywą (UE) 2024/825: pkt 4a (ogólne hasła „ekologiczne”, „eko”, „ESG Friendly”, „zrównoważony” bez uznanej wysokiej efektywności ekologicznej), pkt 4b (Zero Waste i recyklat przypisane całej ofercie oraz całej działalności), pkt 10a (brak fumigacji ISPM 15 jako zaleta ekologiczna) i pkt 23g (krotność trwałości „10 razy” bez weryfikowalnych, porównywalnych kryteriów).</w:t>
            </w:r>
          </w:p>
          <w:p>
            <w:pPr>
              <w:spacing w:before="40" w:after="40" w:line="269" w:lineRule="auto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20"/>
              </w:rPr>
              <w:t>Te zakazy stosuje się od 27 września 2026 r. Polska nowela (druk Senatu 825) przewiduje wejście w życie 27 września 2027 r. i nie jest jeszcze ogłoszona; opóźnienie transpozycji nie zawiesza oceny według ECGT ani odpowiedzialności z art. 5 i 6 UPNPR.</w:t>
            </w:r>
          </w:p>
          <w:p>
            <w:pPr>
              <w:spacing w:before="40" w:after="40" w:line="269" w:lineRule="auto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20"/>
              </w:rPr>
              <w:t>Osobno materiał wprowadza w błąd liczbowo: kalkulacja oparta na EN 16258:2012 i liniowo przeniesiona z 33 palet na relacji Sieradz–Paryż na wolumen zakupu oraz ekwiwalent 600 000 drzew. Tabela porównawcza dyskredytuje paletę drewnianą (UZNK art. 16 ust. 3). Utrzymanie treści na stronie — kanał online bez taryfy zapasów (CPC, czerwiec 2026) — otwiera drogę do zarzutów Prezesa UOKiK (art. 24 i 106 u.o.k.k., do 10% obrotu) i roszczeń konkurencji (UZNK art. 18).</w:t>
            </w:r>
          </w:p>
          <w:p>
            <w:pPr>
              <w:spacing w:before="40" w:after="40" w:line="269" w:lineRule="auto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20"/>
              </w:rPr>
              <w:t>Ta ocena dotyczy przekazu opublikowanego w Polsce. Przepisy, które dotyczą palety jako towaru wwożonego do innego państwa — w szczególności wymogi fitosanitarne opakowań (ISPM 15) i warunki dopuszczenia na rynek — zależą od kraju eksportu. Materiał sam wskazuje Wielką Brytanię oraz eksport morski do Ameryki Północnej i Południowej. Prawa tych krajów o twierdzeniach środowiskowych nie ma w bazie wiedzy narzędzia i nie zostały tu zastosowane.</w:t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 w:eastAsia="Arial"/>
          <w:b/>
          <w:i w:val="0"/>
          <w:color w:val="08181F"/>
          <w:sz w:val="28"/>
        </w:rPr>
        <w:t>1. Analiza Wstępna</w:t>
      </w:r>
    </w:p>
    <w:p>
      <w:pPr>
        <w:spacing w:before="0" w:after="16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LIBRA PARTNERS należy do grupy SZARPOL z Sieradza i produkuje palety o wymiarze 1200 × 800 mm. W ofercie są modele z regranulatu HDPE (MW01, 9 kg), linia ESD, paleta higieniczna RS-01-FT z HDPE pierwotnego (12 kg), paleta antybakteryjna MW01-MED z regranulatu HDPE z dodatkiem tlenku cynku oraz paleta automotive z mieszanki PP z recyklingu (11 kg). Narracja strony ustawia te nośniki jako „ekologiczne palety”, następcę palety drewnianej, model Zero Waste i najprostszy sposób ograniczenia śladu węglowego oraz „zgodności z ESG”.</w:t>
      </w:r>
    </w:p>
    <w:p>
      <w:pPr>
        <w:spacing w:before="0" w:after="16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Część faktów materiałowych da się obronić po zawężeniu języka: niższa masa wybranych modeli, deklarowane obciążenia według ISO 8611, odbiór zużytych palet kupionych od producenta, wynik badania dwóch szczepów według ISO 22196:2011. Komunikacja wychodzi poza ten zakres. Hasła ogólne nie mają pokrycia w EU Ecolabel ani w oznakowaniu ISO 14024 typu I. Twierdzenia o braku jakichkolwiek odpadów, o tym, że rozwiązania „nigdy nie trafiają na wysypisko”, oraz o surowcu z recyklingu i masie 9 kg obejmują całą ofertę, podczas gdy specyfikacje modeli temu przeczą. Brak fumigacji i anonimowe opinie „jesteśmy bardziej ekologiczni” przerabiają wyłączenie spod ISPM 15 na cechę środowiskową.</w:t>
      </w:r>
    </w:p>
    <w:p>
      <w:pPr>
        <w:spacing w:before="0" w:after="16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Warstwa liczbowa jest odrębnym ryzykiem. Symulacja 400 kg CO₂ miesięcznie dla 33 palet, liczona według EN 16258:2012, zostaje przemnożona przez wolumen zakupu (do „121,120 ton” przy 10 000 sztuk) i zestawiona z „303 t CO₂” oraz z „600 000 drzew” przy założeniu 0,5 kg CO₂ na drzewo miesięcznie. Tabela porównawcza przypisuje palecie drewnianej negatywny wpływ na politykę ESG, trudny recykling i związek z ubytkiem 3,3 mln ha lasów w latach 2010–2015. To praktyki, które Prezes UOKiK już kwestionuje w sprawach kurierów i sprzedaży (InPost, Allegro, DHL, DPD, Bolt, Tchibo, Zara): ogólne „eko”, ekwiwalent drzew, zero waste i SDG bez skali.</w:t>
      </w:r>
    </w:p>
    <w:p>
      <w:pPr>
        <w:keepNext/>
        <w:spacing w:before="320" w:after="120"/>
      </w:pPr>
      <w:r>
        <w:rPr>
          <w:rFonts w:ascii="Arial" w:hAnsi="Arial" w:eastAsia="Arial"/>
          <w:b/>
          <w:i w:val="0"/>
          <w:color w:val="08181F"/>
          <w:sz w:val="28"/>
        </w:rPr>
        <w:t>2. Analiza szczegółowa - tabela zbiorcza naruszeń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w="9978" w:type="dxa"/>
      </w:tblPr>
      <w:tblGrid>
        <w:gridCol w:w="624"/>
        <w:gridCol w:w="3118"/>
        <w:gridCol w:w="2438"/>
        <w:gridCol w:w="1304"/>
        <w:gridCol w:w="2494"/>
      </w:tblGrid>
      <w:tr>
        <w:tc>
          <w:tcPr>
            <w:tcW w:type="dxa" w:w="624"/>
            <w:shd w:fill="08181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3118"/>
            <w:shd w:fill="08181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Analizowane twierdzenie</w:t>
            </w:r>
          </w:p>
        </w:tc>
        <w:tc>
          <w:tcPr>
            <w:tcW w:type="dxa" w:w="2438"/>
            <w:shd w:fill="08181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Podstawa prawna</w:t>
            </w:r>
          </w:p>
        </w:tc>
        <w:tc>
          <w:tcPr>
            <w:tcW w:type="dxa" w:w="1304"/>
            <w:shd w:fill="08181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Ryzyko</w:t>
            </w:r>
          </w:p>
        </w:tc>
        <w:tc>
          <w:tcPr>
            <w:tcW w:type="dxa" w:w="2494"/>
            <w:shd w:fill="08181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Istota naruszenia</w:t>
            </w:r>
          </w:p>
        </w:tc>
      </w:tr>
      <w:tr>
        <w:tc>
          <w:tcPr>
            <w:tcW w:type="dxa" w:w="62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08181F"/>
                <w:sz w:val="16"/>
              </w:rPr>
              <w:t>01</w:t>
            </w:r>
          </w:p>
        </w:tc>
        <w:tc>
          <w:tcPr>
            <w:tcW w:type="dxa" w:w="311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15"/>
              </w:rPr>
              <w:t>Kalkulator: 33 palety = 400 kg CO₂; 10 000 szt. = 121,120 t; 303 t miesięcznie</w:t>
            </w:r>
          </w:p>
        </w:tc>
        <w:tc>
          <w:tcPr>
            <w:tcW w:type="dxa" w:w="243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15"/>
              </w:rPr>
              <w:t>UPNPR art. 5 ust. 2 pkt 2 i art. 6 · rozp. 2026/1030 · EN ISO 14083</w:t>
            </w:r>
          </w:p>
        </w:tc>
        <w:tc>
          <w:tcPr>
            <w:tcW w:type="dxa" w:w="130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BE123C"/>
                <w:sz w:val="15"/>
              </w:rPr>
              <w:t>BARDZO WYSOKIE</w:t>
            </w:r>
          </w:p>
        </w:tc>
        <w:tc>
          <w:tcPr>
            <w:tcW w:type="dxa" w:w="249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15"/>
              </w:rPr>
              <w:t>Liniowe przeniesienie jednego scenariusza trasowego na zakup; metodyka inna niż EN ISO 14083</w:t>
            </w:r>
          </w:p>
        </w:tc>
      </w:tr>
      <w:tr>
        <w:tc>
          <w:tcPr>
            <w:tcW w:type="dxa" w:w="62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80800" cy="2178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" cy="217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64800" cy="3338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800" cy="333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32800" cy="4537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800" cy="453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BE123C"/>
                <w:sz w:val="15"/>
              </w:rPr>
              <w:t>BARDZO WYSOKIE</w:t>
            </w:r>
          </w:p>
        </w:tc>
        <w:tc>
          <w:tcPr>
            <w:tcW w:type="dxa" w:w="249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68800" cy="33381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800" cy="333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2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80800" cy="21786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" cy="217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64800" cy="45308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800" cy="453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32800" cy="4537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800" cy="453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BE123C"/>
                <w:sz w:val="15"/>
              </w:rPr>
              <w:t>BARDZO WYSOKIE</w:t>
            </w:r>
          </w:p>
        </w:tc>
        <w:tc>
          <w:tcPr>
            <w:tcW w:type="dxa" w:w="249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68800" cy="4530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800" cy="453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2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80800" cy="21786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" cy="217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64800" cy="3338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800" cy="333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32800" cy="3343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800" cy="33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BE123C"/>
                <w:sz w:val="15"/>
              </w:rPr>
              <w:t>WYSOKIE</w:t>
            </w:r>
          </w:p>
        </w:tc>
        <w:tc>
          <w:tcPr>
            <w:tcW w:type="dxa" w:w="249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68800" cy="33381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800" cy="333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2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80800" cy="21786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" cy="217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64800" cy="45308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800" cy="453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32800" cy="3343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800" cy="33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BE123C"/>
                <w:sz w:val="15"/>
              </w:rPr>
              <w:t>WYSOKIE</w:t>
            </w:r>
          </w:p>
        </w:tc>
        <w:tc>
          <w:tcPr>
            <w:tcW w:type="dxa" w:w="249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68800" cy="45303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800" cy="453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2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80800" cy="21786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" cy="217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64800" cy="33385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800" cy="333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32800" cy="3343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800" cy="33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BE123C"/>
                <w:sz w:val="15"/>
              </w:rPr>
              <w:t>WYSOKIE</w:t>
            </w:r>
          </w:p>
        </w:tc>
        <w:tc>
          <w:tcPr>
            <w:tcW w:type="dxa" w:w="249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68800" cy="453039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800" cy="453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2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80800" cy="21786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" cy="217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64800" cy="33385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800" cy="333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32800" cy="3343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800" cy="33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BE123C"/>
                <w:sz w:val="15"/>
              </w:rPr>
              <w:t>WYSOKIE</w:t>
            </w:r>
          </w:p>
        </w:tc>
        <w:tc>
          <w:tcPr>
            <w:tcW w:type="dxa" w:w="249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68800" cy="5722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800" cy="57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2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80800" cy="21786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" cy="217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64800" cy="33385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800" cy="333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32800" cy="33432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800" cy="33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BE123C"/>
                <w:sz w:val="15"/>
              </w:rPr>
              <w:t>WYSOKIE</w:t>
            </w:r>
          </w:p>
        </w:tc>
        <w:tc>
          <w:tcPr>
            <w:tcW w:type="dxa" w:w="249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68800" cy="45303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800" cy="453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2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80800" cy="21786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" cy="217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64800" cy="45308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800" cy="453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32800" cy="33432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800" cy="33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BE123C"/>
                <w:sz w:val="15"/>
              </w:rPr>
              <w:t>WYSOKIE</w:t>
            </w:r>
          </w:p>
        </w:tc>
        <w:tc>
          <w:tcPr>
            <w:tcW w:type="dxa" w:w="249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68800" cy="453039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800" cy="453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2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80800" cy="21786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" cy="217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64800" cy="33385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800" cy="333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32800" cy="33432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800" cy="33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B45309"/>
                <w:sz w:val="15"/>
              </w:rPr>
              <w:t>ŚREDNIE</w:t>
            </w:r>
          </w:p>
        </w:tc>
        <w:tc>
          <w:tcPr>
            <w:tcW w:type="dxa" w:w="249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68800" cy="45303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800" cy="453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2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80800" cy="21786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" cy="217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64800" cy="45308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800" cy="4530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32800" cy="33432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800" cy="33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B45309"/>
                <w:sz w:val="15"/>
              </w:rPr>
              <w:t>ŚREDNIE</w:t>
            </w:r>
          </w:p>
        </w:tc>
        <w:tc>
          <w:tcPr>
            <w:tcW w:type="dxa" w:w="249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68800" cy="5722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800" cy="57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2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80800" cy="21786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" cy="217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64800" cy="33385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800" cy="333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8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32800" cy="33432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800" cy="33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B45309"/>
                <w:sz w:val="15"/>
              </w:rPr>
              <w:t>ŚREDNIE</w:t>
            </w:r>
          </w:p>
        </w:tc>
        <w:tc>
          <w:tcPr>
            <w:tcW w:type="dxa" w:w="2494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68800" cy="45303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800" cy="4530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62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80800" cy="21786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" cy="2178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1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864800" cy="33385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800" cy="333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38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32800" cy="21492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2800" cy="214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30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047857"/>
                <w:sz w:val="15"/>
              </w:rPr>
              <w:t>NISKIE</w:t>
            </w:r>
          </w:p>
        </w:tc>
        <w:tc>
          <w:tcPr>
            <w:tcW w:type="dxa" w:w="2494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468800" cy="33381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800" cy="333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80" w:line="269" w:lineRule="auto"/>
      </w:pPr>
      <w:r>
        <w:rPr>
          <w:rFonts w:ascii="Arial" w:hAnsi="Arial" w:eastAsia="Arial"/>
          <w:b w:val="0"/>
          <w:i w:val="0"/>
          <w:color w:val="16242C"/>
          <w:sz w:val="8"/>
        </w:rPr>
      </w:r>
    </w:p>
    <w:p>
      <w:pPr>
        <w:keepNext/>
        <w:spacing w:before="320" w:after="120"/>
      </w:pPr>
      <w:r>
        <w:rPr>
          <w:rFonts w:ascii="Arial" w:hAnsi="Arial" w:eastAsia="Arial"/>
          <w:b/>
          <w:i w:val="0"/>
          <w:color w:val="08181F"/>
          <w:sz w:val="28"/>
        </w:rPr>
        <w:t>3. Szczegółowa analiza przypadków</w:t>
      </w:r>
    </w:p>
    <w:p>
      <w:pPr>
        <w:keepNext/>
        <w:spacing w:before="240" w:after="40"/>
      </w:pPr>
      <w:r>
        <w:rPr>
          <w:rFonts w:ascii="Arial" w:hAnsi="Arial" w:eastAsia="Arial"/>
          <w:b/>
          <w:i w:val="0"/>
          <w:color w:val="08181F"/>
          <w:sz w:val="24"/>
        </w:rPr>
        <w:t>PRZYPADEK 01: Kalkulacja CO₂ oparta na jednym scenariuszu i na EN 16258:2012</w:t>
      </w:r>
    </w:p>
    <w:p>
      <w:pPr>
        <w:keepNext/>
        <w:spacing w:before="0" w:after="80"/>
      </w:pPr>
      <w:r>
        <w:rPr>
          <w:rFonts w:ascii="Arial" w:hAnsi="Arial" w:eastAsia="Arial"/>
          <w:b/>
          <w:i w:val="0"/>
          <w:color w:val="08181F"/>
          <w:sz w:val="18"/>
        </w:rPr>
        <w:t>Podstawa prawna: UPNPR art. 5 ust. 2 pkt 2 i art. 6 · rozporządzenie (UE) 2026/1030 · EN ISO 14083:2023  |  Poziom ryzyka: BARDZO WYSOKIE (liczbowe wprowadzenie w błąd)</w:t>
      </w:r>
    </w:p>
    <w:p>
      <w:pPr>
        <w:spacing w:before="40" w:after="40" w:line="269" w:lineRule="auto"/>
      </w:pPr>
      <w:r>
        <w:rPr>
          <w:rFonts w:ascii="Arial" w:hAnsi="Arial" w:eastAsia="Arial"/>
          <w:b/>
          <w:i w:val="0"/>
          <w:color w:val="16242C"/>
          <w:sz w:val="21"/>
        </w:rPr>
        <w:t xml:space="preserve">Cytat źródłowy: </w:t>
      </w:r>
    </w:p>
    <w:p>
      <w:pPr>
        <w:spacing w:before="0" w:after="60" w:line="269" w:lineRule="auto"/>
      </w:pPr>
      <w:r>
        <w:rPr>
          <w:rFonts w:ascii="Arial" w:hAnsi="Arial" w:eastAsia="Arial"/>
          <w:b w:val="0"/>
          <w:i/>
          <w:color w:val="16242C"/>
          <w:sz w:val="21"/>
        </w:rPr>
        <w:t>„Dzięki przeprowadzonym symulacjom i obliczeniom wg normy EN 16258:2012 (…) Ograniczenie emisji przy wykorzystaniu 33 palet LIBRA PARTNERS w skali miesiąca wynosi 400 kg CO₂.”</w:t>
      </w:r>
    </w:p>
    <w:p>
      <w:pPr>
        <w:spacing w:before="0" w:after="60" w:line="269" w:lineRule="auto"/>
      </w:pPr>
      <w:r>
        <w:rPr>
          <w:rFonts w:ascii="Arial" w:hAnsi="Arial" w:eastAsia="Arial"/>
          <w:b w:val="0"/>
          <w:i/>
          <w:color w:val="16242C"/>
          <w:sz w:val="21"/>
        </w:rPr>
        <w:t>„Miesięczny zakup 500 szt. → 6,060 tony mniej CO₂ (…) Miesięczny zakup 10 000 szt. → 121,120 ton mniej CO₂.”</w:t>
      </w:r>
    </w:p>
    <w:p>
      <w:pPr>
        <w:spacing w:before="0" w:after="60" w:line="269" w:lineRule="auto"/>
      </w:pPr>
      <w:r>
        <w:rPr>
          <w:rFonts w:ascii="Arial" w:hAnsi="Arial" w:eastAsia="Arial"/>
          <w:b w:val="0"/>
          <w:i/>
          <w:color w:val="16242C"/>
          <w:sz w:val="21"/>
        </w:rPr>
        <w:t>„dzięki naszym staraniom podczas produkcji palet (…) nasi klienci ograniczają emisję CO₂ do atmosfery o ponad 300 ton miesięcznie” oraz „303 t CO₂ mniej w skali miesiąca”.</w:t>
      </w:r>
    </w:p>
    <w:p>
      <w:pPr>
        <w:spacing w:before="80" w:after="40" w:line="269" w:lineRule="auto"/>
      </w:pPr>
      <w:r>
        <w:rPr>
          <w:rFonts w:ascii="Arial" w:hAnsi="Arial" w:eastAsia="Arial"/>
          <w:b/>
          <w:i w:val="0"/>
          <w:color w:val="16242C"/>
          <w:sz w:val="21"/>
        </w:rPr>
        <w:t xml:space="preserve">Ocena prawna: 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Rozporządzenie (UE) 2026/1030 stosuje się, gdy emisje GHG z usługi transportowej zaczynającej się lub kończącej w Unii są liczone i ujawniane dobrowolnie w celu komercyjnym. Metodyką odniesienia jest EN ISO 14083:2023, z pierwszeństwem danych pierwotnych. Materiał ujawnia liczbę dla odcinka Sieradz–Paryż i odsyła do normy EN 16258:2012. Ta norma nie jest metodyką CountEmissionsEU. W zapisie polskim „6,060 tony” oznacza 6,060 t. Iloczyn 500 × (400 kg / 33) daje około 6,06 t, a 10 000 sztuk daje rząd 121 t. Skala jest więc linijką z jednego scenariusza 33 palet, a nie pomiarem pracy przewozowej klienta. Sam zakup palety nie jest usługą transportową. Tekst o „303 t” mówi raz o produkcji, raz o niższej masie (9 kg wobec 25 kg). Granic systemu, jednostki funkcjonalnej, udziału pustych przebiegów, well-to-wheel i daty danych nie podano. To prawda cząstkowa podana zwodniczo (art. 5 ust. 2 pkt 2) i pominięcie, które zmienia znaczenie liczby (art. 6). Ten sam schemat — kalkulator bez pełnej drogi i bez skali floty — jest w zarzutach wobec InPost i DPD.</w:t>
      </w:r>
    </w:p>
    <w:p>
      <w:pPr>
        <w:spacing w:before="40" w:after="40" w:line="269" w:lineRule="auto"/>
      </w:pPr>
      <w:r>
        <w:rPr>
          <w:rFonts w:ascii="Arial" w:hAnsi="Arial" w:eastAsia="Arial"/>
          <w:b/>
          <w:i w:val="0"/>
          <w:color w:val="16242C"/>
          <w:sz w:val="21"/>
        </w:rPr>
        <w:t xml:space="preserve">Kierunek naprawy: </w:t>
      </w:r>
    </w:p>
    <w:p>
      <w:pPr>
        <w:spacing w:before="0" w:after="8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Usunąć ze strony głównej, ze „Zrównoważonego rozwoju” i z kart modeli przelicznik „zakup sztuk = tony CO₂” oraz liczbę 303 t. Do czasu nowego obliczenia nie publikować żadnej tony CO₂e. Nowe ujawnienie ograniczyć do wskazanego modelu, wskazanej relacji i wskazanego scenariusza, metodą EN ISO 14083:2023, z granicami, jednostką, źródłem danych i datą w tym samym miejscu co liczba.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8F4FA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2A8AB0"/>
              <w:left w:val="single" w:sz="24" w:space="0" w:color="2A8AB0"/>
              <w:bottom w:val="single" w:sz="6" w:space="0" w:color="2A8AB0"/>
              <w:right w:val="single" w:sz="6" w:space="0" w:color="2A8AB0"/>
            </w:tcBorders>
          </w:tcPr>
          <w:p>
            <w:pPr>
              <w:spacing w:before="0" w:after="80"/>
            </w:pPr>
            <w:r>
              <w:rPr>
                <w:rFonts w:ascii="Arial" w:hAnsi="Arial" w:eastAsia="Arial"/>
                <w:b/>
                <w:i w:val="0"/>
                <w:color w:val="2A8AB0"/>
                <w:sz w:val="20"/>
              </w:rPr>
              <w:t>■ DOZWOLONE SFORMUŁOWANIE (WZÓR PO KOREKCIE)</w:t>
            </w:r>
          </w:p>
          <w:p>
            <w:pPr>
              <w:spacing w:before="40" w:after="40" w:line="269" w:lineRule="auto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20"/>
              </w:rPr>
              <w:t>„Masa modelu MW01 wynosi 9 kg. Różnicę emisji GHG transportu wobec palety odniesienia publikujemy tylko jako wynik według EN ISO 14083:2023 (rozporządzenie 2026/1030), dla nazwanej relacji, z granicami systemu, jednostką funkcjonalną, informacją, czy użyto danych pierwotnych, i datą obliczenia. Wynik nie powstaje przez sam zakup palety i nie przelicza się liniowo na dowolny wolumen.”</w:t>
            </w:r>
          </w:p>
        </w:tc>
      </w:tr>
    </w:tbl>
    <w:p>
      <w:pPr>
        <w:spacing w:before="0" w:after="120"/>
      </w:pPr>
    </w:p>
    <w:p>
      <w:pPr>
        <w:spacing w:before="40" w:after="120" w:line="269" w:lineRule="auto"/>
      </w:pPr>
      <w:r>
        <w:rPr>
          <w:rFonts w:ascii="Arial" w:hAnsi="Arial" w:eastAsia="Arial"/>
          <w:b w:val="0"/>
          <w:i/>
          <w:color w:val="5A6B77"/>
          <w:sz w:val="20"/>
        </w:rPr>
        <w:t>Pozostałe przypadki nie są w tej wersji omawiane. Ich poziom ryzyka jest w tabeli zbiorczej; twierdzenie, podstawa prawna i istota naruszenia są rozmyte.</w:t>
      </w:r>
    </w:p>
    <w:p>
      <w:pPr>
        <w:keepNext/>
        <w:spacing w:before="320" w:after="120"/>
      </w:pPr>
      <w:r>
        <w:rPr>
          <w:rFonts w:ascii="Arial" w:hAnsi="Arial" w:eastAsia="Arial"/>
          <w:b/>
          <w:i w:val="0"/>
          <w:color w:val="08181F"/>
          <w:sz w:val="28"/>
        </w:rPr>
        <w:t>4. Porównanie twierdzeń LIBRA PARTNERS z rzeczywistym stanem prawno-środowiskowym</w:t>
      </w:r>
    </w:p>
    <w:p>
      <w:pPr>
        <w:spacing w:before="0" w:after="12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Sekcja jest w raporcie, ponieważ badany zbiór zawiera tabelę „palety LIBRA PARTNERS wobec palet drewnianych” oraz zdania porównawcze w tekście strony. Poniżej tylko kryteria środowiskowe i te, które niosą wniosek środowiskowy. Cechy czysto techniczne (RFID, gwoździe, BHP) nie są przedmiotem tego zestawienia.</w:t>
      </w:r>
    </w:p>
    <w:tbl>
      <w:tblPr>
        <w:jc w:val="center"/>
        <w:tblLook w:firstColumn="1" w:firstRow="1" w:lastColumn="0" w:lastRow="0" w:noHBand="0" w:noVBand="1" w:val="04A0"/>
        <w:tblLayout w:type="fixed"/>
        <w:tblW w:w="9978" w:type="dxa"/>
      </w:tblPr>
      <w:tblGrid>
        <w:gridCol w:w="1871"/>
        <w:gridCol w:w="4025"/>
        <w:gridCol w:w="4082"/>
      </w:tblGrid>
      <w:tr>
        <w:tc>
          <w:tcPr>
            <w:tcW w:type="dxa" w:w="1871"/>
            <w:shd w:fill="08181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Kryterium porównawcze</w:t>
            </w:r>
          </w:p>
        </w:tc>
        <w:tc>
          <w:tcPr>
            <w:tcW w:type="dxa" w:w="4025"/>
            <w:shd w:fill="08181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Twierdzenie podmiotu</w:t>
            </w:r>
          </w:p>
        </w:tc>
        <w:tc>
          <w:tcPr>
            <w:tcW w:type="dxa" w:w="4082"/>
            <w:shd w:fill="08181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Rzeczywisty stan prawno-środowiskowy</w:t>
            </w:r>
          </w:p>
        </w:tc>
      </w:tr>
      <w:tr>
        <w:tc>
          <w:tcPr>
            <w:tcW w:type="dxa" w:w="1871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/>
                <w:i w:val="0"/>
                <w:color w:val="16242C"/>
                <w:sz w:val="15"/>
              </w:rPr>
              <w:t>Surowiec i masa całej oferty</w:t>
            </w:r>
          </w:p>
        </w:tc>
        <w:tc>
          <w:tcPr>
            <w:tcW w:type="dxa" w:w="4025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15"/>
              </w:rPr>
              <w:t>Paleta LIBRA: „tworzywo HDPE z recyklingu”, 9 kg. Paleta drewniana: drewno, 25 kg. Z masy wyprowadzono niższe CO₂.</w:t>
            </w:r>
          </w:p>
        </w:tc>
        <w:tc>
          <w:tcPr>
            <w:tcW w:type="dxa" w:w="408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20" w:after="20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15"/>
              </w:rPr>
              <w:t>Specyfikacje: MW01 — rHDPE, 9 kg; RS-01-FT — HDPE pierwotny, 12 kg; automotive — rPP, 11 kg; ESD — HDPE ESD, recyklat niepodany. Zbiorcze 9 kg i rHDPE nie obejmują oferty. Różnica masy nie jest liczbą GHG.</w:t>
            </w:r>
          </w:p>
        </w:tc>
      </w:tr>
      <w:tr>
        <w:tc>
          <w:tcPr>
            <w:tcW w:type="dxa" w:w="1871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072800" cy="2145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800" cy="21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25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40800" cy="57206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800" cy="572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76800" cy="571569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00" cy="571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871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072800" cy="333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800" cy="333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25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40800" cy="57206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800" cy="572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76800" cy="571569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00" cy="571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871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072800" cy="2145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800" cy="21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25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40800" cy="57206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800" cy="572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76800" cy="69064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00" cy="6906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871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072800" cy="2145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800" cy="21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25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40800" cy="452883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800" cy="452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2"/>
            <w:shd w:fill="FFFFFF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76800" cy="571569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00" cy="5715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871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072800" cy="2145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800" cy="21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25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40800" cy="452883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800" cy="452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82"/>
            <w:shd w:fill="F8FAFC"/>
            <w:tcMar>
              <w:top w:w="40" w:type="dxa"/>
              <w:bottom w:w="40" w:type="dxa"/>
              <w:left w:w="50" w:type="dxa"/>
              <w:right w:w="5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76800" cy="809723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00" cy="8097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 w:line="269" w:lineRule="auto"/>
      </w:pPr>
      <w:r>
        <w:rPr>
          <w:rFonts w:ascii="Arial" w:hAnsi="Arial" w:eastAsia="Arial"/>
          <w:b w:val="0"/>
          <w:i w:val="0"/>
          <w:color w:val="16242C"/>
          <w:sz w:val="8"/>
        </w:rPr>
      </w:r>
    </w:p>
    <w:p>
      <w:pPr>
        <w:keepNext/>
        <w:spacing w:before="320" w:after="120"/>
      </w:pPr>
      <w:r>
        <w:rPr>
          <w:rFonts w:ascii="Arial" w:hAnsi="Arial" w:eastAsia="Arial"/>
          <w:b/>
          <w:i w:val="0"/>
          <w:color w:val="08181F"/>
          <w:sz w:val="28"/>
        </w:rPr>
        <w:t>5. Ryzyka prawne i finansowe</w:t>
      </w:r>
    </w:p>
    <w:p>
      <w:pPr>
        <w:spacing w:before="160" w:after="40" w:line="269" w:lineRule="auto"/>
      </w:pPr>
      <w:r>
        <w:rPr>
          <w:rFonts w:ascii="Arial" w:hAnsi="Arial" w:eastAsia="Arial"/>
          <w:b/>
          <w:i w:val="0"/>
          <w:color w:val="08181F"/>
          <w:sz w:val="22"/>
        </w:rPr>
        <w:t>• 1. Prezes UOKiK — do 10% obrotu</w:t>
      </w:r>
    </w:p>
    <w:p>
      <w:pPr>
        <w:spacing w:before="0" w:after="8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Artykuł 24 ustawy o ochronie konkurencji i konsumentów zakazuje praktyk naruszających zbiorowe interesy konsumentów, w tym nieuczciwych praktyk rynkowych. Artykuł 106 ust. 1 pkt 4 pozwala nałożyć karę do 10% obrotu z roku poprzedzającego nałożenie kary, także przy naruszeniu nieumyślnym. W komunikatach o zarzutach z 29 lipca 2025 r. (InPost, Allegro, DHL, DPD) i z 19 stycznia 2026 r. (Bolt, Tchibo, Zara) Prezes wskazuje tę karę za każdą praktykę. Wzorce z tych spraw — ogólne „eko”, kalkulator CO₂, ekwiwalent drzew, zero waste i SDG bez skali — są w badanym materiale. Od 27 września 2026 r. kanał online nie korzysta z taryfy starych zapasów (wspólne rozumienie CPC). Korekta strony jest natychmiastowa.</w:t>
      </w:r>
    </w:p>
    <w:p>
      <w:pPr>
        <w:spacing w:before="160" w:after="80" w:line="240" w:lineRule="auto"/>
      </w:pPr>
      <w:r>
        <w:drawing>
          <wp:inline xmlns:a="http://schemas.openxmlformats.org/drawingml/2006/main" xmlns:pic="http://schemas.openxmlformats.org/drawingml/2006/picture">
            <wp:extent cx="6192000" cy="126221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26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 w:line="240" w:lineRule="auto"/>
      </w:pPr>
      <w:r>
        <w:drawing>
          <wp:inline xmlns:a="http://schemas.openxmlformats.org/drawingml/2006/main" xmlns:pic="http://schemas.openxmlformats.org/drawingml/2006/picture">
            <wp:extent cx="6192000" cy="126221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126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 w:line="240" w:lineRule="auto"/>
      </w:pPr>
      <w:r>
        <w:drawing>
          <wp:inline xmlns:a="http://schemas.openxmlformats.org/drawingml/2006/main" xmlns:pic="http://schemas.openxmlformats.org/drawingml/2006/picture">
            <wp:extent cx="6192000" cy="9288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9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120"/>
      </w:pPr>
      <w:r>
        <w:rPr>
          <w:rFonts w:ascii="Arial" w:hAnsi="Arial" w:eastAsia="Arial"/>
          <w:b/>
          <w:i w:val="0"/>
          <w:color w:val="08181F"/>
          <w:sz w:val="28"/>
        </w:rPr>
        <w:t>6. Rekomendacje naprawcze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D4ED8"/>
              <w:left w:val="single" w:sz="24" w:space="0" w:color="1D4ED8"/>
              <w:bottom w:val="single" w:sz="6" w:space="0" w:color="1D4ED8"/>
              <w:right w:val="single" w:sz="6" w:space="0" w:color="1D4ED8"/>
            </w:tcBorders>
          </w:tcPr>
          <w:p>
            <w:pPr>
              <w:spacing w:before="0" w:after="80"/>
            </w:pPr>
            <w:r>
              <w:rPr>
                <w:rFonts w:ascii="Arial" w:hAnsi="Arial" w:eastAsia="Arial"/>
                <w:b/>
                <w:i w:val="0"/>
                <w:color w:val="08181F"/>
                <w:sz w:val="20"/>
              </w:rPr>
              <w:t>■ Etap 1: Natychmiastowe zdjęcie treści — 7 października 2026 r.</w:t>
            </w:r>
          </w:p>
          <w:p>
            <w:pPr>
              <w:spacing w:before="40" w:after="40" w:line="269" w:lineRule="auto"/>
            </w:pPr>
            <w:r>
              <w:rPr>
                <w:rFonts w:ascii="Arial" w:hAnsi="Arial" w:eastAsia="Arial"/>
                <w:b w:val="0"/>
                <w:i w:val="0"/>
                <w:color w:val="16242C"/>
                <w:sz w:val="20"/>
              </w:rPr>
              <w:t>Z strony głównej, „Zrównoważonego rozwoju”, „O nas”, kart modeli, tabeli porównawczej i cytatów zdjąć: „ekologiczne / eko / ESG Friendly”, Zero Waste i „brak jakichkolwiek odpadów”, kalkulator sztuk na tony CO₂, 303 t, 600 000 drzew, 3,3 mln ha, „niekorzystny wpływ palet drewnianych na ESG”, „10 razy trwalsze” oraz opinie z wnioskiem „bardziej EKO”. Kanał online korygować od razu, bez okresu przejściowego.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D4ED8"/>
              <w:left w:val="single" w:sz="24" w:space="0" w:color="1D4ED8"/>
              <w:bottom w:val="single" w:sz="6" w:space="0" w:color="1D4ED8"/>
              <w:right w:val="single" w:sz="6" w:space="0" w:color="1D4ED8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6012000" cy="881315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000" cy="881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D4ED8"/>
              <w:left w:val="single" w:sz="24" w:space="0" w:color="1D4ED8"/>
              <w:bottom w:val="single" w:sz="6" w:space="0" w:color="1D4ED8"/>
              <w:right w:val="single" w:sz="6" w:space="0" w:color="1D4ED8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6012000" cy="881315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000" cy="881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6" w:space="0" w:color="1D4ED8"/>
              <w:left w:val="single" w:sz="24" w:space="0" w:color="1D4ED8"/>
              <w:bottom w:val="single" w:sz="6" w:space="0" w:color="1D4ED8"/>
              <w:right w:val="single" w:sz="6" w:space="0" w:color="1D4ED8"/>
            </w:tcBorders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6012000" cy="881315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000" cy="881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20"/>
      </w:pPr>
    </w:p>
    <w:p>
      <w:pPr>
        <w:keepNext/>
        <w:spacing w:before="320" w:after="120"/>
      </w:pPr>
      <w:r>
        <w:rPr>
          <w:rFonts w:ascii="Arial" w:hAnsi="Arial" w:eastAsia="Arial"/>
          <w:b/>
          <w:i w:val="0"/>
          <w:color w:val="08181F"/>
          <w:sz w:val="28"/>
        </w:rPr>
        <w:t>7. Wnioski</w:t>
      </w:r>
    </w:p>
    <w:p>
      <w:pPr>
        <w:spacing w:before="0" w:after="16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Zbiór materiałów LIBRA PARTNERS ze stanu na 26 września 2026 r. nie nadaje się do dalszej publikacji. Zawiera naruszenia czarnej listy ECGT (pkt 4a, 4b, 10a i 23g), liczbową kalkulację CO₂ poza EN ISO 14083 oraz reklamę porównawczą palety drewnianej sprzeczną z art. 16 ust. 3 UZNK.</w:t>
      </w:r>
    </w:p>
    <w:p>
      <w:pPr>
        <w:spacing w:before="0" w:after="160" w:line="269" w:lineRule="auto"/>
      </w:pPr>
      <w:r>
        <w:rPr>
          <w:rFonts w:ascii="Arial" w:hAnsi="Arial" w:eastAsia="Arial"/>
          <w:b w:val="0"/>
          <w:i w:val="0"/>
          <w:color w:val="16242C"/>
          <w:sz w:val="21"/>
        </w:rPr>
        <w:t>Po zdjęciu tych twierdzeń spółka może komunikować surowiec i masę konkretnego modelu, program odbioru palet zwróconych spółce, wynik ISO 22196:2011 w jego granicach oraz — dopiero po nowym obliczeniu — emisję transportu według rozporządzenia 2026/1030.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964" w:bottom="1134" w:left="964" w:header="255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left"/>
    </w:pPr>
    <w:r>
      <w:rPr>
        <w:rFonts w:ascii="Arial" w:hAnsi="Arial" w:eastAsia="Arial"/>
        <w:b w:val="0"/>
        <w:i w:val="0"/>
        <w:color w:val="5A6B77"/>
        <w:sz w:val="16"/>
      </w:rPr>
      <w:t xml:space="preserve">ESG Institute  ·  Audyt Ryzyk Greenwashingu  ·  Libra Partners  ·  wersja okrojona  ·  str. </w:t>
    </w:r>
    <w:r>
      <w:rPr>
        <w:rFonts w:ascii="Arial" w:hAnsi="Arial" w:eastAsia="Arial"/>
        <w:b w:val="0"/>
        <w:i w:val="0"/>
        <w:color w:val="5A6B77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989"/>
      <w:gridCol w:w="4989"/>
    </w:tblGrid>
    <w:tr>
      <w:tc>
        <w:tcPr>
          <w:tcW w:type="dxa" w:w="4649"/>
          <w:shd w:fill="08181F"/>
          <w:tcMar>
            <w:top w:w="60" w:type="dxa"/>
            <w:bottom w:w="60" w:type="dxa"/>
            <w:left w:w="120" w:type="dxa"/>
            <w:right w:w="120" w:type="dxa"/>
          </w:tcMar>
          <w:tcBorders>
            <w:top w:val="single" w:sz="2" w:space="0" w:color="08181F"/>
            <w:left w:val="single" w:sz="2" w:space="0" w:color="08181F"/>
            <w:bottom w:val="single" w:sz="2" w:space="0" w:color="08181F"/>
            <w:right w:val="single" w:sz="2" w:space="0" w:color="08181F"/>
          </w:tcBorders>
        </w:tcPr>
        <w:p>
          <w:pPr>
            <w:spacing w:before="0" w:after="0"/>
          </w:pPr>
          <w:r>
            <w:drawing>
              <wp:inline xmlns:a="http://schemas.openxmlformats.org/drawingml/2006/main" xmlns:pic="http://schemas.openxmlformats.org/drawingml/2006/picture">
                <wp:extent cx="1584000" cy="45723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sg_logo_whi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000" cy="45723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329"/>
          <w:shd w:fill="08181F"/>
          <w:tcMar>
            <w:top w:w="60" w:type="dxa"/>
            <w:bottom w:w="60" w:type="dxa"/>
            <w:left w:w="120" w:type="dxa"/>
            <w:right w:w="120" w:type="dxa"/>
          </w:tcMar>
          <w:tcBorders>
            <w:top w:val="single" w:sz="2" w:space="0" w:color="08181F"/>
            <w:left w:val="single" w:sz="2" w:space="0" w:color="08181F"/>
            <w:bottom w:val="single" w:sz="2" w:space="0" w:color="08181F"/>
            <w:right w:val="single" w:sz="2" w:space="0" w:color="08181F"/>
          </w:tcBorders>
        </w:tcPr>
        <w:p>
          <w:pPr>
            <w:spacing w:before="160" w:after="0"/>
            <w:jc w:val="right"/>
          </w:pPr>
          <w:r>
            <w:rPr>
              <w:rFonts w:ascii="Arial" w:hAnsi="Arial" w:eastAsia="Arial"/>
              <w:b/>
              <w:i w:val="0"/>
              <w:color w:val="FFFFFF"/>
              <w:sz w:val="16"/>
            </w:rPr>
            <w:t>AUDYT RYZYK GREENWASHINGU</w:t>
          </w:r>
        </w:p>
        <w:p>
          <w:pPr>
            <w:spacing w:before="0" w:after="0"/>
            <w:jc w:val="right"/>
          </w:pPr>
          <w:r>
            <w:rPr>
              <w:rFonts w:ascii="Arial" w:hAnsi="Arial" w:eastAsia="Arial"/>
              <w:b w:val="0"/>
              <w:i w:val="0"/>
              <w:color w:val="81C0DF"/>
              <w:sz w:val="16"/>
            </w:rPr>
            <w:t>esginstitute.eu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Relationship Id="rId28" Type="http://schemas.openxmlformats.org/officeDocument/2006/relationships/image" Target="media/image19.jpg"/><Relationship Id="rId29" Type="http://schemas.openxmlformats.org/officeDocument/2006/relationships/image" Target="media/image20.jpg"/><Relationship Id="rId30" Type="http://schemas.openxmlformats.org/officeDocument/2006/relationships/image" Target="media/image21.jpg"/><Relationship Id="rId31" Type="http://schemas.openxmlformats.org/officeDocument/2006/relationships/image" Target="media/image22.jpg"/><Relationship Id="rId32" Type="http://schemas.openxmlformats.org/officeDocument/2006/relationships/image" Target="media/image23.jpg"/><Relationship Id="rId33" Type="http://schemas.openxmlformats.org/officeDocument/2006/relationships/image" Target="media/image24.jpg"/><Relationship Id="rId34" Type="http://schemas.openxmlformats.org/officeDocument/2006/relationships/image" Target="media/image25.jpg"/><Relationship Id="rId35" Type="http://schemas.openxmlformats.org/officeDocument/2006/relationships/image" Target="media/image26.jpg"/><Relationship Id="rId36" Type="http://schemas.openxmlformats.org/officeDocument/2006/relationships/image" Target="media/image27.jpg"/><Relationship Id="rId37" Type="http://schemas.openxmlformats.org/officeDocument/2006/relationships/image" Target="media/image28.jpg"/><Relationship Id="rId38" Type="http://schemas.openxmlformats.org/officeDocument/2006/relationships/image" Target="media/image29.jpg"/><Relationship Id="rId39" Type="http://schemas.openxmlformats.org/officeDocument/2006/relationships/image" Target="media/image30.jpg"/><Relationship Id="rId40" Type="http://schemas.openxmlformats.org/officeDocument/2006/relationships/image" Target="media/image31.jpg"/><Relationship Id="rId41" Type="http://schemas.openxmlformats.org/officeDocument/2006/relationships/image" Target="media/image32.jpg"/><Relationship Id="rId42" Type="http://schemas.openxmlformats.org/officeDocument/2006/relationships/image" Target="media/image33.jpg"/><Relationship Id="rId43" Type="http://schemas.openxmlformats.org/officeDocument/2006/relationships/image" Target="media/image34.jpg"/><Relationship Id="rId44" Type="http://schemas.openxmlformats.org/officeDocument/2006/relationships/image" Target="media/image35.jpg"/><Relationship Id="rId45" Type="http://schemas.openxmlformats.org/officeDocument/2006/relationships/image" Target="media/image36.jpg"/><Relationship Id="rId46" Type="http://schemas.openxmlformats.org/officeDocument/2006/relationships/image" Target="media/image37.jpg"/><Relationship Id="rId47" Type="http://schemas.openxmlformats.org/officeDocument/2006/relationships/image" Target="media/image38.jpg"/><Relationship Id="rId48" Type="http://schemas.openxmlformats.org/officeDocument/2006/relationships/image" Target="media/image39.jpg"/><Relationship Id="rId49" Type="http://schemas.openxmlformats.org/officeDocument/2006/relationships/image" Target="media/image40.jpg"/><Relationship Id="rId50" Type="http://schemas.openxmlformats.org/officeDocument/2006/relationships/image" Target="media/image41.jpg"/><Relationship Id="rId51" Type="http://schemas.openxmlformats.org/officeDocument/2006/relationships/image" Target="media/image42.jpg"/><Relationship Id="rId52" Type="http://schemas.openxmlformats.org/officeDocument/2006/relationships/image" Target="media/image43.jpg"/><Relationship Id="rId53" Type="http://schemas.openxmlformats.org/officeDocument/2006/relationships/image" Target="media/image44.jpg"/><Relationship Id="rId54" Type="http://schemas.openxmlformats.org/officeDocument/2006/relationships/image" Target="media/image45.jpg"/><Relationship Id="rId55" Type="http://schemas.openxmlformats.org/officeDocument/2006/relationships/image" Target="media/image46.jpg"/><Relationship Id="rId56" Type="http://schemas.openxmlformats.org/officeDocument/2006/relationships/image" Target="media/image47.jpg"/><Relationship Id="rId57" Type="http://schemas.openxmlformats.org/officeDocument/2006/relationships/image" Target="media/image48.jpg"/><Relationship Id="rId58" Type="http://schemas.openxmlformats.org/officeDocument/2006/relationships/image" Target="media/image49.jpg"/><Relationship Id="rId59" Type="http://schemas.openxmlformats.org/officeDocument/2006/relationships/image" Target="media/image50.jpg"/><Relationship Id="rId60" Type="http://schemas.openxmlformats.org/officeDocument/2006/relationships/image" Target="media/image51.jpg"/><Relationship Id="rId61" Type="http://schemas.openxmlformats.org/officeDocument/2006/relationships/image" Target="media/image52.jpg"/><Relationship Id="rId62" Type="http://schemas.openxmlformats.org/officeDocument/2006/relationships/image" Target="media/image53.jpg"/><Relationship Id="rId63" Type="http://schemas.openxmlformats.org/officeDocument/2006/relationships/image" Target="media/image54.jpg"/><Relationship Id="rId64" Type="http://schemas.openxmlformats.org/officeDocument/2006/relationships/image" Target="media/image55.jpg"/><Relationship Id="rId65" Type="http://schemas.openxmlformats.org/officeDocument/2006/relationships/image" Target="media/image56.jpg"/><Relationship Id="rId66" Type="http://schemas.openxmlformats.org/officeDocument/2006/relationships/image" Target="media/image57.jpg"/><Relationship Id="rId67" Type="http://schemas.openxmlformats.org/officeDocument/2006/relationships/image" Target="media/image58.jpg"/><Relationship Id="rId68" Type="http://schemas.openxmlformats.org/officeDocument/2006/relationships/image" Target="media/image59.jpg"/><Relationship Id="rId69" Type="http://schemas.openxmlformats.org/officeDocument/2006/relationships/image" Target="media/image60.jpg"/><Relationship Id="rId70" Type="http://schemas.openxmlformats.org/officeDocument/2006/relationships/image" Target="media/image61.jpg"/><Relationship Id="rId71" Type="http://schemas.openxmlformats.org/officeDocument/2006/relationships/image" Target="media/image62.jpg"/><Relationship Id="rId72" Type="http://schemas.openxmlformats.org/officeDocument/2006/relationships/image" Target="media/image63.jpg"/><Relationship Id="rId73" Type="http://schemas.openxmlformats.org/officeDocument/2006/relationships/image" Target="media/image64.jpg"/><Relationship Id="rId74" Type="http://schemas.openxmlformats.org/officeDocument/2006/relationships/image" Target="media/image65.jpg"/><Relationship Id="rId75" Type="http://schemas.openxmlformats.org/officeDocument/2006/relationships/image" Target="media/image66.jpg"/><Relationship Id="rId76" Type="http://schemas.openxmlformats.org/officeDocument/2006/relationships/image" Target="media/image67.jpg"/><Relationship Id="rId77" Type="http://schemas.openxmlformats.org/officeDocument/2006/relationships/image" Target="media/image68.jpg"/><Relationship Id="rId78" Type="http://schemas.openxmlformats.org/officeDocument/2006/relationships/image" Target="media/image69.jpg"/><Relationship Id="rId79" Type="http://schemas.openxmlformats.org/officeDocument/2006/relationships/image" Target="media/image70.jpg"/><Relationship Id="rId80" Type="http://schemas.openxmlformats.org/officeDocument/2006/relationships/image" Target="media/image7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