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80A4F" w14:textId="77777777" w:rsidR="00D913D0" w:rsidRPr="00AE7338" w:rsidRDefault="00D913D0" w:rsidP="00AE7338">
      <w:pPr>
        <w:tabs>
          <w:tab w:val="num" w:pos="1400"/>
        </w:tabs>
        <w:ind w:left="600"/>
        <w:rPr>
          <w:rFonts w:ascii="Cambria" w:hAnsi="Cambria"/>
          <w:b/>
          <w:lang w:eastAsia="pl-PL"/>
        </w:rPr>
      </w:pPr>
    </w:p>
    <w:tbl>
      <w:tblPr>
        <w:tblW w:w="10108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9"/>
        <w:gridCol w:w="1633"/>
        <w:gridCol w:w="816"/>
        <w:gridCol w:w="817"/>
        <w:gridCol w:w="1793"/>
      </w:tblGrid>
      <w:tr w:rsidR="00D92D40" w:rsidRPr="00AE7338" w14:paraId="00554B0C" w14:textId="77777777">
        <w:trPr>
          <w:cantSplit/>
        </w:trPr>
        <w:tc>
          <w:tcPr>
            <w:tcW w:w="10108" w:type="dxa"/>
            <w:gridSpan w:val="5"/>
            <w:vAlign w:val="center"/>
          </w:tcPr>
          <w:p w14:paraId="108035FE" w14:textId="77777777" w:rsidR="0018230E" w:rsidRDefault="0018230E" w:rsidP="006E6732">
            <w:pPr>
              <w:pStyle w:val="BodyText"/>
              <w:ind w:right="1701"/>
              <w:jc w:val="center"/>
              <w:rPr>
                <w:rFonts w:ascii="Cambria" w:hAnsi="Cambria"/>
                <w:sz w:val="20"/>
              </w:rPr>
            </w:pPr>
            <w:bookmarkStart w:id="0" w:name="_Toc128157773"/>
            <w:bookmarkStart w:id="1" w:name="_Toc128245310"/>
            <w:bookmarkStart w:id="2" w:name="_Toc128247010"/>
            <w:r w:rsidRPr="00AE7338">
              <w:rPr>
                <w:rFonts w:ascii="Cambria" w:hAnsi="Cambria"/>
                <w:i/>
                <w:sz w:val="20"/>
              </w:rPr>
              <w:t xml:space="preserve">Sprawozdanie z realizacji </w:t>
            </w:r>
          </w:p>
          <w:p w14:paraId="2FAFA4E2" w14:textId="4B0B1DE7" w:rsidR="00D92D40" w:rsidRPr="00AE7338" w:rsidRDefault="0018230E" w:rsidP="00F37607">
            <w:pPr>
              <w:pStyle w:val="BodyText"/>
              <w:ind w:right="170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l</w:t>
            </w:r>
            <w:r w:rsidR="00D92D40" w:rsidRPr="00AE7338">
              <w:rPr>
                <w:rFonts w:ascii="Cambria" w:hAnsi="Cambria"/>
                <w:sz w:val="20"/>
              </w:rPr>
              <w:t>aboratoriu</w:t>
            </w:r>
            <w:r w:rsidR="00AE7338">
              <w:rPr>
                <w:rFonts w:ascii="Cambria" w:hAnsi="Cambria"/>
                <w:sz w:val="20"/>
              </w:rPr>
              <w:t xml:space="preserve">m </w:t>
            </w:r>
          </w:p>
        </w:tc>
      </w:tr>
      <w:tr w:rsidR="00D92D40" w:rsidRPr="00AE7338" w14:paraId="36536802" w14:textId="77777777">
        <w:trPr>
          <w:cantSplit/>
          <w:trHeight w:val="711"/>
        </w:trPr>
        <w:tc>
          <w:tcPr>
            <w:tcW w:w="5049" w:type="dxa"/>
            <w:vMerge w:val="restart"/>
            <w:tcBorders>
              <w:bottom w:val="single" w:sz="4" w:space="0" w:color="auto"/>
            </w:tcBorders>
          </w:tcPr>
          <w:p w14:paraId="14ABDD43" w14:textId="546A4359" w:rsidR="003730EE" w:rsidRDefault="00AE7338" w:rsidP="003730EE">
            <w:pPr>
              <w:pStyle w:val="p1"/>
            </w:pPr>
            <w:r>
              <w:rPr>
                <w:rFonts w:ascii="Cambria" w:hAnsi="Cambria"/>
                <w:b/>
                <w:sz w:val="20"/>
              </w:rPr>
              <w:t>Temat</w:t>
            </w:r>
            <w:r w:rsidR="00D92D40" w:rsidRPr="00AE7338">
              <w:rPr>
                <w:rFonts w:ascii="Cambria" w:hAnsi="Cambria"/>
                <w:b/>
                <w:sz w:val="20"/>
              </w:rPr>
              <w:t>:</w:t>
            </w:r>
            <w:r w:rsidR="003730EE">
              <w:rPr>
                <w:rFonts w:ascii="Cambria" w:hAnsi="Cambria"/>
                <w:b/>
                <w:sz w:val="20"/>
              </w:rPr>
              <w:t xml:space="preserve"> </w:t>
            </w:r>
            <w:r w:rsidR="004F0947">
              <w:t>Django Oscar jako architektura e-commerce</w:t>
            </w:r>
          </w:p>
          <w:p w14:paraId="632CAFC6" w14:textId="205417FA" w:rsidR="00D92D40" w:rsidRPr="003730EE" w:rsidRDefault="00D92D40" w:rsidP="00301BD6">
            <w:pPr>
              <w:pStyle w:val="BodyText"/>
              <w:rPr>
                <w:rFonts w:ascii="Cambria" w:hAnsi="Cambria"/>
                <w:b/>
                <w:sz w:val="20"/>
                <w:lang w:val="en-PL"/>
              </w:rPr>
            </w:pPr>
          </w:p>
          <w:p w14:paraId="44602369" w14:textId="77777777" w:rsidR="00D92D40" w:rsidRPr="00AE7338" w:rsidRDefault="00D92D40" w:rsidP="00301BD6">
            <w:pPr>
              <w:pStyle w:val="Heading2"/>
              <w:rPr>
                <w:rFonts w:ascii="Cambria" w:hAnsi="Cambria"/>
                <w:sz w:val="20"/>
              </w:rPr>
            </w:pPr>
          </w:p>
        </w:tc>
        <w:tc>
          <w:tcPr>
            <w:tcW w:w="163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73B4B43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Nr albumu:</w:t>
            </w:r>
          </w:p>
        </w:tc>
        <w:tc>
          <w:tcPr>
            <w:tcW w:w="163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8C31431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Grupa</w:t>
            </w:r>
            <w:r w:rsidR="00E31CCC" w:rsidRPr="00AE7338">
              <w:rPr>
                <w:rFonts w:ascii="Cambria" w:hAnsi="Cambria"/>
                <w:b/>
                <w:sz w:val="20"/>
              </w:rPr>
              <w:t>/zespół</w:t>
            </w:r>
            <w:r w:rsidRPr="00AE7338">
              <w:rPr>
                <w:rFonts w:ascii="Cambria" w:hAnsi="Cambria"/>
                <w:b/>
                <w:sz w:val="20"/>
              </w:rPr>
              <w:t>: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EEA873F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Rok</w:t>
            </w:r>
            <w:r w:rsidR="00E31CCC" w:rsidRPr="00AE7338">
              <w:rPr>
                <w:rFonts w:ascii="Cambria" w:hAnsi="Cambria"/>
                <w:b/>
                <w:sz w:val="20"/>
              </w:rPr>
              <w:t>/semestr</w:t>
            </w:r>
            <w:r w:rsidRPr="00AE7338">
              <w:rPr>
                <w:rFonts w:ascii="Cambria" w:hAnsi="Cambria"/>
                <w:b/>
                <w:sz w:val="20"/>
              </w:rPr>
              <w:t>:</w:t>
            </w:r>
          </w:p>
        </w:tc>
      </w:tr>
      <w:tr w:rsidR="00D92D40" w:rsidRPr="00AE7338" w14:paraId="5AB4B7C9" w14:textId="77777777">
        <w:trPr>
          <w:cantSplit/>
          <w:trHeight w:val="632"/>
        </w:trPr>
        <w:tc>
          <w:tcPr>
            <w:tcW w:w="5049" w:type="dxa"/>
            <w:vMerge/>
          </w:tcPr>
          <w:p w14:paraId="38C9F2C3" w14:textId="77777777" w:rsidR="00D92D40" w:rsidRPr="00AE7338" w:rsidRDefault="00D92D40" w:rsidP="00301BD6">
            <w:pPr>
              <w:pStyle w:val="BodyText"/>
              <w:rPr>
                <w:rFonts w:ascii="Cambria" w:hAnsi="Cambria"/>
                <w:sz w:val="20"/>
              </w:rPr>
            </w:pPr>
          </w:p>
        </w:tc>
        <w:tc>
          <w:tcPr>
            <w:tcW w:w="2449" w:type="dxa"/>
            <w:gridSpan w:val="2"/>
            <w:vMerge w:val="restart"/>
            <w:tcMar>
              <w:left w:w="0" w:type="dxa"/>
              <w:right w:w="0" w:type="dxa"/>
            </w:tcMar>
          </w:tcPr>
          <w:p w14:paraId="3672FB1B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Data wykonania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  <w:tc>
          <w:tcPr>
            <w:tcW w:w="2610" w:type="dxa"/>
            <w:gridSpan w:val="2"/>
            <w:vMerge w:val="restart"/>
            <w:tcMar>
              <w:left w:w="0" w:type="dxa"/>
              <w:right w:w="0" w:type="dxa"/>
            </w:tcMar>
          </w:tcPr>
          <w:p w14:paraId="74181399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Data oddania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</w:tr>
      <w:tr w:rsidR="00D92D40" w:rsidRPr="00AE7338" w14:paraId="400D51FF" w14:textId="77777777">
        <w:trPr>
          <w:cantSplit/>
          <w:trHeight w:val="352"/>
        </w:trPr>
        <w:tc>
          <w:tcPr>
            <w:tcW w:w="5049" w:type="dxa"/>
            <w:vMerge w:val="restart"/>
          </w:tcPr>
          <w:p w14:paraId="61FB86BD" w14:textId="77777777" w:rsidR="00D92D40" w:rsidRPr="00AE7338" w:rsidRDefault="00D92D40" w:rsidP="00301BD6">
            <w:pPr>
              <w:pStyle w:val="BodyTex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 xml:space="preserve">Wykonał </w:t>
            </w:r>
            <w:r w:rsidR="00E31CCC" w:rsidRPr="00AE7338">
              <w:rPr>
                <w:rFonts w:ascii="Cambria" w:hAnsi="Cambria"/>
                <w:b/>
                <w:sz w:val="20"/>
              </w:rPr>
              <w:t>/wykonali:</w:t>
            </w:r>
          </w:p>
        </w:tc>
        <w:tc>
          <w:tcPr>
            <w:tcW w:w="2449" w:type="dxa"/>
            <w:gridSpan w:val="2"/>
            <w:vMerge/>
            <w:tcMar>
              <w:left w:w="0" w:type="dxa"/>
              <w:right w:w="0" w:type="dxa"/>
            </w:tcMar>
          </w:tcPr>
          <w:p w14:paraId="096CF002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10" w:type="dxa"/>
            <w:gridSpan w:val="2"/>
            <w:vMerge/>
            <w:tcMar>
              <w:left w:w="0" w:type="dxa"/>
              <w:right w:w="0" w:type="dxa"/>
            </w:tcMar>
          </w:tcPr>
          <w:p w14:paraId="33402D0E" w14:textId="77777777" w:rsidR="00D92D40" w:rsidRPr="00AE7338" w:rsidRDefault="00D92D40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</w:p>
        </w:tc>
      </w:tr>
      <w:tr w:rsidR="00AE7338" w:rsidRPr="00AE7338" w14:paraId="09BFCB14" w14:textId="77777777" w:rsidTr="00440F0D">
        <w:trPr>
          <w:cantSplit/>
          <w:trHeight w:val="1295"/>
        </w:trPr>
        <w:tc>
          <w:tcPr>
            <w:tcW w:w="5049" w:type="dxa"/>
            <w:vMerge/>
          </w:tcPr>
          <w:p w14:paraId="5A0F6A4B" w14:textId="77777777" w:rsidR="00AE7338" w:rsidRPr="00AE7338" w:rsidRDefault="00AE7338" w:rsidP="00301BD6">
            <w:pPr>
              <w:pStyle w:val="BodyText"/>
              <w:rPr>
                <w:rFonts w:ascii="Cambria" w:hAnsi="Cambria"/>
                <w:sz w:val="20"/>
              </w:rPr>
            </w:pPr>
          </w:p>
        </w:tc>
        <w:tc>
          <w:tcPr>
            <w:tcW w:w="2449" w:type="dxa"/>
            <w:gridSpan w:val="2"/>
            <w:tcMar>
              <w:left w:w="0" w:type="dxa"/>
              <w:right w:w="0" w:type="dxa"/>
            </w:tcMar>
          </w:tcPr>
          <w:p w14:paraId="1C6DA41A" w14:textId="4E8C3EFB" w:rsidR="00AE7338" w:rsidRPr="00AE7338" w:rsidRDefault="00B37E1D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Punkty/</w:t>
            </w:r>
            <w:r w:rsidR="00AE7338" w:rsidRPr="00AE7338">
              <w:rPr>
                <w:rFonts w:ascii="Cambria" w:hAnsi="Cambria"/>
                <w:b/>
                <w:sz w:val="20"/>
              </w:rPr>
              <w:t>Ocena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  <w:tc>
          <w:tcPr>
            <w:tcW w:w="2610" w:type="dxa"/>
            <w:gridSpan w:val="2"/>
            <w:tcMar>
              <w:left w:w="0" w:type="dxa"/>
              <w:right w:w="0" w:type="dxa"/>
            </w:tcMar>
          </w:tcPr>
          <w:p w14:paraId="353D3FA7" w14:textId="77777777" w:rsidR="00AE7338" w:rsidRPr="00AE7338" w:rsidRDefault="00AE7338" w:rsidP="00301BD6">
            <w:pPr>
              <w:pStyle w:val="BodyText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Podpis prowadzącego:</w:t>
            </w:r>
          </w:p>
        </w:tc>
      </w:tr>
      <w:bookmarkEnd w:id="0"/>
      <w:bookmarkEnd w:id="1"/>
      <w:bookmarkEnd w:id="2"/>
    </w:tbl>
    <w:p w14:paraId="1DDE76D7" w14:textId="77777777" w:rsidR="00D92D40" w:rsidRPr="00AE7338" w:rsidRDefault="00D92D40" w:rsidP="003B6029">
      <w:pPr>
        <w:tabs>
          <w:tab w:val="left" w:pos="900"/>
          <w:tab w:val="left" w:pos="3495"/>
        </w:tabs>
        <w:rPr>
          <w:rFonts w:ascii="Cambria" w:hAnsi="Cambria"/>
        </w:rPr>
      </w:pPr>
    </w:p>
    <w:p w14:paraId="7A81CEE6" w14:textId="77777777" w:rsidR="00035AA0" w:rsidRPr="00AE7338" w:rsidRDefault="00035AA0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</w:p>
    <w:p w14:paraId="7F83573E" w14:textId="77777777" w:rsidR="004F0947" w:rsidRPr="004F0947" w:rsidRDefault="00AE7338" w:rsidP="004F0947">
      <w:pPr>
        <w:pStyle w:val="p1"/>
        <w:rPr>
          <w:sz w:val="16"/>
          <w:szCs w:val="16"/>
        </w:rPr>
      </w:pPr>
      <w:r>
        <w:rPr>
          <w:rFonts w:ascii="Cambria" w:hAnsi="Cambria"/>
          <w:b/>
          <w:lang w:eastAsia="pl-PL"/>
        </w:rPr>
        <w:t>Cel ćwiczenia:</w:t>
      </w:r>
      <w:r w:rsidR="00CA39A8">
        <w:rPr>
          <w:rFonts w:ascii="Cambria" w:hAnsi="Cambria"/>
          <w:b/>
          <w:lang w:eastAsia="pl-PL"/>
        </w:rPr>
        <w:t xml:space="preserve"> </w:t>
      </w:r>
      <w:r w:rsidR="004F0947" w:rsidRPr="004F0947">
        <w:rPr>
          <w:sz w:val="16"/>
          <w:szCs w:val="16"/>
        </w:rPr>
        <w:t>przechodzimy od poziomu “działa sklep” do poziomu “jak jest podzielony sys-</w:t>
      </w:r>
    </w:p>
    <w:p w14:paraId="60EB419E" w14:textId="4383FEAD" w:rsidR="00AE7338" w:rsidRPr="004F0947" w:rsidRDefault="004F0947" w:rsidP="004F0947">
      <w:pPr>
        <w:rPr>
          <w:rFonts w:ascii="Helvetica" w:hAnsi="Helvetica"/>
          <w:color w:val="000000"/>
          <w:sz w:val="16"/>
          <w:szCs w:val="16"/>
          <w:lang w:val="en-PL" w:eastAsia="en-GB"/>
        </w:rPr>
      </w:pPr>
      <w:r w:rsidRPr="004F0947">
        <w:rPr>
          <w:rFonts w:ascii="Helvetica" w:hAnsi="Helvetica"/>
          <w:color w:val="000000"/>
          <w:sz w:val="16"/>
          <w:szCs w:val="16"/>
          <w:lang w:val="en-PL" w:eastAsia="en-GB"/>
        </w:rPr>
        <w:t>tem i gdzie przebiegają granice odpowiedzialności?”</w:t>
      </w:r>
    </w:p>
    <w:p w14:paraId="3C41322D" w14:textId="77777777" w:rsidR="00AE7338" w:rsidRDefault="00AE7338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</w:p>
    <w:p w14:paraId="2C2EB1C7" w14:textId="77777777" w:rsidR="00035AA0" w:rsidRDefault="00AE7338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Opis ćwiczenia / </w:t>
      </w:r>
      <w:r w:rsidR="00035AA0" w:rsidRPr="00AE7338">
        <w:rPr>
          <w:rFonts w:ascii="Cambria" w:hAnsi="Cambria"/>
          <w:b/>
          <w:lang w:eastAsia="pl-PL"/>
        </w:rPr>
        <w:t>Opracowanie wyników</w:t>
      </w:r>
      <w:r>
        <w:rPr>
          <w:rFonts w:ascii="Cambria" w:hAnsi="Cambria"/>
          <w:b/>
          <w:lang w:eastAsia="pl-PL"/>
        </w:rPr>
        <w:t>:</w:t>
      </w:r>
    </w:p>
    <w:p>
      <w:pPr>
        <w:tabs>
          <w:tab w:val="num" w:pos="1400"/>
        </w:tabs>
        <w:ind w:left="300"/>
      </w:pPr>
      <w:r>
        <w:t xml:space="preserve">Laboratorium wykonano lokalnie (Windows 11, PowerShell, Python, virtualenv). Punktem wyjścia jest projekt mini-shop z laboratorium 1 (Django Oscar 4.2.1, Django 6.1.2, SQLite, wyszukiwarka Whoosh). Dla LAB2 utworzono nowe repozytorium git django-oscar-lab2 o strukturze z instrukcji (.venv obok katalogu mini-shop), skopiowano do niego projekt z LAB1 razem z bazą danych i dodano katalogi z analizami (analiza), przykładowymi żądaniami API (api_przyklady), symulacją awarii płatności (symulacje) i diagramem (docs). Wszystkie kroki wykonano skryptem lab2_oscar_auto.py, który po każdym etapie zapisał zrzut ekranu z rzeczywistym wynikiem.</w:t>
      </w: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0. Przygotowanie projektu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1493915"/>
            <wp:effectExtent l="0" t="0" r="0" b="0"/>
            <wp:docPr id="1001" name="Obraz 1001" descr="zrzuty/01_re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zrzuty/01_repo.png"/>
                    <pic:cNvPicPr/>
                  </pic:nvPicPr>
                  <pic:blipFill>
                    <a:blip r:embed="rIdLab100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4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1. Utworzenie katalogu i nowego repozytorium git dla LAB2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2221962"/>
            <wp:effectExtent l="0" t="0" r="0" b="0"/>
            <wp:docPr id="1002" name="Obraz 1002" descr="zrzuty/02_ve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zrzuty/02_venv.png"/>
                    <pic:cNvPicPr/>
                  </pic:nvPicPr>
                  <pic:blipFill>
                    <a:blip r:embed="rIdLab100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2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2. Środowisko .venv i kopia projektu mini-shop z laboratorium 1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850964"/>
            <wp:effectExtent l="0" t="0" r="0" b="0"/>
            <wp:docPr id="1003" name="Obraz 1003" descr="zrzuty/03_aktywac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zrzuty/03_aktywacja.png"/>
                    <pic:cNvPicPr/>
                  </pic:nvPicPr>
                  <pic:blipFill>
                    <a:blip r:embed="rIdLab100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5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3. Aktywacja środowiska i przejście do katalogu projektu (instrukcja: Przygotowanie projektu)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3272620"/>
            <wp:effectExtent l="0" t="0" r="0" b="0"/>
            <wp:docPr id="1004" name="Obraz 1004" descr="zrzuty/13_sklep_la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zrzuty/13_sklep_lab2.png"/>
                    <pic:cNvPicPr/>
                  </pic:nvPicPr>
                  <pic:blipFill>
                    <a:blip r:embed="rIdLab100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2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4. Projekt z laboratorium 1 uruchomiony w repozytorium LAB2 (punkt wyjścia analizy)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1219715"/>
            <wp:effectExtent l="0" t="0" r="0" b="0"/>
            <wp:docPr id="1005" name="Obraz 1005" descr="zrzuty/19_git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zrzuty/19_git_status.png"/>
                    <pic:cNvPicPr/>
                  </pic:nvPicPr>
                  <pic:blipFill>
                    <a:blip r:embed="rIdLab100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2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5. Zawartość nowego repozytorium LAB2 (pliki do pierwszego commita)</w:t>
      </w: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1. Zadanie 1 – Oscar jako monolit</w:t>
      </w:r>
    </w:p>
    <w:p>
      <w:pPr>
        <w:tabs>
          <w:tab w:val="num" w:pos="1400"/>
        </w:tabs>
        <w:ind w:left="300"/>
      </w:pPr>
      <w:r>
        <w:t xml:space="preserve">W katalogu .venv\Lib\site-packages\oscar\apps odnaleziono wszystkie wymagane obszary. Dla każdego z nich skrypt analiza_modulow.py policzył modele, rozmiar kodu i odwołania do innych aplikacji Oscara (get_model, get_class, importy), a wspolna_baza.py pokazał, że wszystkie moduły zapisują dane w jednej bazie (db.sqlite3, 94 tabel) i są powiązane kluczami obcymi.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1947763"/>
            <wp:effectExtent l="0" t="0" r="0" b="0"/>
            <wp:docPr id="1006" name="Obraz 1006" descr="zrzuty/04_oscar_ap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zrzuty/04_oscar_apps.png"/>
                    <pic:cNvPicPr/>
                  </pic:nvPicPr>
                  <pic:blipFill>
                    <a:blip r:embed="rIdLab100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9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6. Aplikacje (obszary) pakietu oscar.apps w środowisku projektu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3318761"/>
            <wp:effectExtent l="0" t="0" r="0" b="0"/>
            <wp:docPr id="1007" name="Obraz 1007" descr="zrzuty/05_analiza_modu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zrzuty/05_analiza_modulow.png"/>
                    <pic:cNvPicPr/>
                  </pic:nvPicPr>
                  <pic:blipFill>
                    <a:blip r:embed="rIdLab100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7. Analiza modułów: modele, rozmiar kodu i zależności między aplikacjami Oscara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2496162"/>
            <wp:effectExtent l="0" t="0" r="0" b="0"/>
            <wp:docPr id="1008" name="Obraz 1008" descr="zrzuty/06_wspolna_baz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zrzuty/06_wspolna_baza.png"/>
                    <pic:cNvPicPr/>
                  </pic:nvPicPr>
                  <pic:blipFill>
                    <a:blip r:embed="rIdLab100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8. Wspólna baza danych: tabele modułów, klucze obce między modułami i zapytanie łączące order z partner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4119298"/>
            <wp:effectExtent l="0" t="0" r="0" b="0"/>
            <wp:docPr id="1009" name="Obraz 1009" descr="zrzuty/07_kod_checkout_place_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zrzuty/07_kod_checkout_place_order.png"/>
                    <pic:cNvPicPr/>
                  </pic:nvPicPr>
                  <pic:blipFill>
                    <a:blip r:embed="rIdLab100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1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9. Checkout wywołuje moduły order i basket bezpośrednio w tym samym procesie (oscar/apps/checkout/mixins.py)</w:t>
      </w:r>
    </w:p>
    <w:tbl>
      <w:tblPr>
        <w:tblW w:w="908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989"/>
      </w:tblGrid>
      <w:tr>
        <w:tc>
          <w:tcPr>
            <w:tcW w:w="1500" w:type="dxa"/>
          </w:tcPr>
          <w:p>
            <w:pPr>
              <w:pStyle w:val="TableHeading"/>
            </w:pPr>
            <w:r>
              <w:t xml:space="preserve">Obszar</w:t>
            </w:r>
          </w:p>
        </w:tc>
        <w:tc>
          <w:tcPr>
            <w:tcW w:w="3600" w:type="dxa"/>
          </w:tcPr>
          <w:p>
            <w:pPr>
              <w:pStyle w:val="TableHeading"/>
            </w:pPr>
            <w:r>
              <w:t xml:space="preserve">Za co odpowiada?</w:t>
            </w:r>
          </w:p>
        </w:tc>
        <w:tc>
          <w:tcPr>
            <w:tcW w:w="3989" w:type="dxa"/>
          </w:tcPr>
          <w:p>
            <w:pPr>
              <w:pStyle w:val="TableHeading"/>
            </w:pPr>
            <w:r>
              <w:t xml:space="preserve">Czy jest modułem? Dlaczego?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catalogue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Katalog: produkty, klasy produktów, kategorie, atrybuty, warianty, zdjęcia, opcje i rekomendacje.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11 tabel we wspólnej bazie, ten sam proces i wdrożenie; współpracuje z innymi modułami przez wywołania w kodzie (najczęściej: customer, search, offer).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basket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Koszyk: koszyki klientów (otwarty/zamrożony/złożony), pozycje koszyka, ceny w chwili dodania, vouchery w koszyku.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3 tabel we wspólnej bazie, ten sam proces i wdrożenie; współpracuje z innymi modułami przez wywołania w kodzie (najczęściej: offer, catalogue, dashboard).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checkout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Proces checkout: kolejne kroki (adres, dostawa, płatność, podsumowanie) i złożenie zamówienia z koszyka.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monolitu bez własnych tabel; steruje procesem, wywołując order, basket, payment i shipping w tym samym procesie (najczęściej: order, address, shipping).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order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Zamówienia: Order, pozycje, adresy, statusy i ich historia, zdarzenia płatności i wysyłki, numeracja zamówień.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18 tabel we wspólnej bazie, ten sam proces i wdrożenie; współpracuje z innymi modułami przez wywołania w kodzie (najczęściej: dashboard, communication, partner).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customer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Klienci: rejestracja i logowanie, konto, książka adresowa, historia zamówień, alerty i powiadomienia.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1 tabel we wspólnej bazie, ten sam proces i wdrożenie; współpracuje z innymi modułami przez wywołania w kodzie (najczęściej: communication, catalogue, wishlists).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offer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Promocje: oferty warunkowe, zakresy produktów, warunki i korzyści (rabaty), naliczanie ich w koszyku.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6 tabel we wspólnej bazie, ten sam proces i wdrożenie; współpracuje z innymi modułami przez wywołania w kodzie (najczęściej: catalogue, dashboard, order).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shipping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Dostawa: metody wysyłki, ich koszty (np. według wagi) i wybór metody w checkoucie.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3 tabel we wspólnej bazie, ten sam proces i wdrożenie; sam nie wywołuje innych modułów, to checkout i basket wywołują go w kodzie.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payment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Płatności: źródła i typy płatności, transakcje, karty, wyjątki błędów płatności (bez bramki).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4 tabel we wspólnej bazie, ten sam proces i wdrożenie; współpracuje z innymi modułami przez wywołania w kodzie (najczęściej: address, order).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partner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Partnerzy i magazyn: partnerzy (sprzedawcy), StockRecord (cena, stan, alokacje), strategia cen i dostępności.</w:t>
            </w:r>
          </w:p>
        </w:tc>
        <w:tc>
          <w:tcPr>
            <w:tcW w:w="3989" w:type="dxa"/>
          </w:tcPr>
          <w:p>
            <w:pPr>
              <w:pStyle w:val="TableText"/>
            </w:pPr>
            <w:r>
              <w:t xml:space="preserve">Tak – moduł (aplikacja Django) monolitu: 4 tabel we wspólnej bazie, ten sam proces i wdrożenie; współpracuje z innymi modułami przez wywołania w kodzie (najczęściej: catalogue, address).</w:t>
            </w:r>
          </w:p>
        </w:tc>
      </w:tr>
    </w:tbl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</w:pPr>
      <w:r>
        <w:t xml:space="preserve">Czy wiele aplikacji Django oznacza mikroserwisy? Nie. Wszystkie aplikacje Oscara działają w jednym procesie Pythona, korzystają z jednej bazy danych i są wdrażane razem – moduły komunikują się wywołaniami funkcji (np. checkout wywołuje place_order i basket.submit() bezpośrednio, rys. powyżej), a nie żądaniami sieciowymi. Oscar jest więc monolitem modułowym: ma dobrze wydzielone moduły, ale nie są to osobne, niezależnie wdrażane procesy komunikujące się przez sieć, czyli mikroserwisy.</w:t>
      </w: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2. Zadanie 2 – Kto jest właścicielem danych?</w:t>
      </w:r>
    </w:p>
    <w:tbl>
      <w:tblPr>
        <w:tblW w:w="908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489"/>
      </w:tblGrid>
      <w:tr>
        <w:tc>
          <w:tcPr>
            <w:tcW w:w="2600" w:type="dxa"/>
          </w:tcPr>
          <w:p>
            <w:pPr>
              <w:pStyle w:val="TableHeading"/>
            </w:pPr>
            <w:r>
              <w:t xml:space="preserve">Serwis</w:t>
            </w:r>
          </w:p>
        </w:tc>
        <w:tc>
          <w:tcPr>
            <w:tcW w:w="6489" w:type="dxa"/>
          </w:tcPr>
          <w:p>
            <w:pPr>
              <w:pStyle w:val="TableHeading"/>
            </w:pPr>
            <w:r>
              <w:t xml:space="preserve">Jego dane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Product Service</w:t>
            </w:r>
          </w:p>
        </w:tc>
        <w:tc>
          <w:tcPr>
            <w:tcW w:w="6489" w:type="dxa"/>
          </w:tcPr>
          <w:p>
            <w:pPr>
              <w:pStyle w:val="TableText"/>
            </w:pPr>
            <w:r>
              <w:t xml:space="preserve">produkty, klasy produktów, atrybuty i warianty, kategorie, opisy, zdjęcia, ceny katalogowe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Order Service</w:t>
            </w:r>
          </w:p>
        </w:tc>
        <w:tc>
          <w:tcPr>
            <w:tcW w:w="6489" w:type="dxa"/>
          </w:tcPr>
          <w:p>
            <w:pPr>
              <w:pStyle w:val="TableText"/>
            </w:pPr>
            <w:r>
              <w:t xml:space="preserve">zamówienia i ich pozycje (z kopią nazwy, ceny i ilości z chwili zakupu), statusy i historia statusów, adres dostawy zamówienia, numer zamówienia, powiązanie z klientem (customer_id)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Inventory Service</w:t>
            </w:r>
          </w:p>
        </w:tc>
        <w:tc>
          <w:tcPr>
            <w:tcW w:w="6489" w:type="dxa"/>
          </w:tcPr>
          <w:p>
            <w:pPr>
              <w:pStyle w:val="TableText"/>
            </w:pPr>
            <w:r>
              <w:t xml:space="preserve">stany magazynowe (ilość na stanie), rezerwacje/alokacje dla zamówień, magazyny, SKU partnera, progi niskiego stanu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Customer Service</w:t>
            </w:r>
          </w:p>
        </w:tc>
        <w:tc>
          <w:tcPr>
            <w:tcW w:w="6489" w:type="dxa"/>
          </w:tcPr>
          <w:p>
            <w:pPr>
              <w:pStyle w:val="TableText"/>
            </w:pPr>
            <w:r>
              <w:t xml:space="preserve">konta klientów, dane kontaktowe (e-mail, telefon), książka adresowa, zgody, preferencje</w:t>
            </w:r>
          </w:p>
        </w:tc>
      </w:tr>
    </w:tbl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</w:pPr>
      <w:r>
        <w:t xml:space="preserve">Odpowiedź: c) Nie, jeżeli Inventory jest osobnym mikroserwisem – powinien udostępnić własny interfejs.</w:t>
      </w:r>
    </w:p>
    <w:p>
      <w:pPr>
        <w:tabs>
          <w:tab w:val="num" w:pos="1400"/>
        </w:tabs>
        <w:ind w:left="300"/>
      </w:pPr>
      <w:r>
        <w:t xml:space="preserve">Uzasadnienie: właścicielem danych magazynowych jest Inventory Service, więc tylko on może je odczytywać i zmieniać – Order Service pyta o dostępność przez API, dzięki czemu Inventory może zmienić schemat bazy, technologię i reguły rezerwacji bez psucia innych serwisów.</w:t>
      </w:r>
    </w:p>
    <w:p>
      <w:pPr>
        <w:tabs>
          <w:tab w:val="num" w:pos="1400"/>
        </w:tabs>
        <w:ind w:left="300"/>
      </w:pPr>
      <w:r>
        <w:t xml:space="preserve">W obecnym Oscarze (monolit) jest dokładnie odwrotnie: moduł order sam wywołuje stockrecord.allocate() na tabeli partner_stockrecord, a koszyk i zamówienie mają klucze obce do tabel partnera i katalogu (12 powiązań między modułami, np. basket.Line.product → catalogue.Product; basket.Line.stockrecord → partner.StockRecord; order.Line.partner → partner.Partner; order.Line.stockrecord → partner.StockRecord; order.Line.product → catalogue.Product). Jedno zapytanie SQL łączy tabele order_line i partner_stockrecord (w naszej bazie zwraca pozycje zamówień: 2). We wspólnej bazie jest to wygodne, ale przy podziale na mikroserwisy każde takie miejsce trzeba zastąpić wywołaniem API lub zdarzeniem.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2061225"/>
            <wp:effectExtent l="0" t="0" r="0" b="0"/>
            <wp:docPr id="1010" name="Obraz 1010" descr="zrzuty/08_kod_order_allo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zrzuty/08_kod_order_allocate.png"/>
                    <pic:cNvPicPr/>
                  </pic:nvPicPr>
                  <pic:blipFill>
                    <a:blip r:embed="rIdLab10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10. Moduł order sam zmienia stan magazynu partnera (stockrecord.allocate) – możliwe tylko we wspólnej bazie</w:t>
      </w: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3. Zadanie 3 – API i komunikacja</w:t>
      </w:r>
    </w:p>
    <w:p>
      <w:pPr>
        <w:tabs>
          <w:tab w:val="num" w:pos="1400"/>
        </w:tabs>
        <w:ind w:left="300"/>
      </w:pPr>
      <w:r>
        <w:t xml:space="preserve">Kontrakt rezerwacji produktu w Inventory Service:</w:t>
      </w:r>
    </w:p>
    <w:p>
      <w:pPr>
        <w:tabs>
          <w:tab w:val="num" w:pos="1400"/>
        </w:tabs>
        <w:ind w:left="300"/>
      </w:pPr>
      <w:r>
        <w:t xml:space="preserve">Endpoint: POST /inventory/reservations, Content-Type: application/json</w:t>
      </w:r>
    </w:p>
    <w:p>
      <w:pPr>
        <w:tabs>
          <w:tab w:val="num" w:pos="1400"/>
        </w:tabs>
        <w:ind w:left="300"/>
      </w:pPr>
      <w:r>
        <w:t xml:space="preserve">Żądanie:</w:t>
      </w:r>
    </w:p>
    <w:p>
      <w:pPr>
        <w:tabs>
          <w:tab w:val="num" w:pos="1400"/>
        </w:tabs>
        <w:ind w:left="300"/>
      </w:pPr>
      <w:r>
        <w:t xml:space="preserve">{</w:t>
      </w:r>
    </w:p>
    <w:p>
      <w:pPr>
        <w:tabs>
          <w:tab w:val="num" w:pos="1400"/>
        </w:tabs>
        <w:ind w:left="300"/>
      </w:pPr>
      <w:r>
        <w:t xml:space="preserve">  "product_id": 1,</w:t>
      </w:r>
    </w:p>
    <w:p>
      <w:pPr>
        <w:tabs>
          <w:tab w:val="num" w:pos="1400"/>
        </w:tabs>
        <w:ind w:left="300"/>
      </w:pPr>
      <w:r>
        <w:t xml:space="preserve">  "quantity": 2,</w:t>
      </w:r>
    </w:p>
    <w:p>
      <w:pPr>
        <w:tabs>
          <w:tab w:val="num" w:pos="1400"/>
        </w:tabs>
        <w:ind w:left="300"/>
      </w:pPr>
      <w:r>
        <w:t xml:space="preserve">  "order_id": "2026-00123"</w:t>
      </w:r>
    </w:p>
    <w:p>
      <w:pPr>
        <w:tabs>
          <w:tab w:val="num" w:pos="1400"/>
        </w:tabs>
        <w:ind w:left="300"/>
      </w:pPr>
      <w:r>
        <w:t xml:space="preserve">}</w:t>
      </w:r>
    </w:p>
    <w:p>
      <w:pPr>
        <w:tabs>
          <w:tab w:val="num" w:pos="1400"/>
        </w:tabs>
        <w:ind w:left="300"/>
      </w:pPr>
      <w:r>
        <w:t xml:space="preserve">Odpowiedź – rezerwacja udana (HTTP 201 Created):</w:t>
      </w:r>
    </w:p>
    <w:p>
      <w:pPr>
        <w:tabs>
          <w:tab w:val="num" w:pos="1400"/>
        </w:tabs>
        <w:ind w:left="300"/>
      </w:pPr>
      <w:r>
        <w:t xml:space="preserve">{</w:t>
      </w:r>
    </w:p>
    <w:p>
      <w:pPr>
        <w:tabs>
          <w:tab w:val="num" w:pos="1400"/>
        </w:tabs>
        <w:ind w:left="300"/>
      </w:pPr>
      <w:r>
        <w:t xml:space="preserve">  "reservation_id": "R-00001",</w:t>
      </w:r>
    </w:p>
    <w:p>
      <w:pPr>
        <w:tabs>
          <w:tab w:val="num" w:pos="1400"/>
        </w:tabs>
        <w:ind w:left="300"/>
      </w:pPr>
      <w:r>
        <w:t xml:space="preserve">  "status": "reserved",</w:t>
      </w:r>
    </w:p>
    <w:p>
      <w:pPr>
        <w:tabs>
          <w:tab w:val="num" w:pos="1400"/>
        </w:tabs>
        <w:ind w:left="300"/>
      </w:pPr>
      <w:r>
        <w:t xml:space="preserve">  "product_id": 1,</w:t>
      </w:r>
    </w:p>
    <w:p>
      <w:pPr>
        <w:tabs>
          <w:tab w:val="num" w:pos="1400"/>
        </w:tabs>
        <w:ind w:left="300"/>
      </w:pPr>
      <w:r>
        <w:t xml:space="preserve">  "quantity": 2,</w:t>
      </w:r>
    </w:p>
    <w:p>
      <w:pPr>
        <w:tabs>
          <w:tab w:val="num" w:pos="1400"/>
        </w:tabs>
        <w:ind w:left="300"/>
      </w:pPr>
      <w:r>
        <w:t xml:space="preserve">  "order_id": "2026-00123",</w:t>
      </w:r>
    </w:p>
    <w:p>
      <w:pPr>
        <w:tabs>
          <w:tab w:val="num" w:pos="1400"/>
        </w:tabs>
        <w:ind w:left="300"/>
      </w:pPr>
      <w:r>
        <w:t xml:space="preserve">  "expires_at": "2026-10-21T18:31:50+00:00"</w:t>
      </w:r>
    </w:p>
    <w:p>
      <w:pPr>
        <w:tabs>
          <w:tab w:val="num" w:pos="1400"/>
        </w:tabs>
        <w:ind w:left="300"/>
      </w:pPr>
      <w:r>
        <w:t xml:space="preserve">}</w:t>
      </w:r>
    </w:p>
    <w:p>
      <w:pPr>
        <w:tabs>
          <w:tab w:val="num" w:pos="1400"/>
        </w:tabs>
        <w:ind w:left="300"/>
      </w:pPr>
      <w:r>
        <w:t xml:space="preserve">Odpowiedź – brak wystarczającego stanu (HTTP 409 Conflict):</w:t>
      </w:r>
    </w:p>
    <w:p>
      <w:pPr>
        <w:tabs>
          <w:tab w:val="num" w:pos="1400"/>
        </w:tabs>
        <w:ind w:left="300"/>
      </w:pPr>
      <w:r>
        <w:t xml:space="preserve">{</w:t>
      </w:r>
    </w:p>
    <w:p>
      <w:pPr>
        <w:tabs>
          <w:tab w:val="num" w:pos="1400"/>
        </w:tabs>
        <w:ind w:left="300"/>
      </w:pPr>
      <w:r>
        <w:t xml:space="preserve">  "status": "rejected",</w:t>
      </w:r>
    </w:p>
    <w:p>
      <w:pPr>
        <w:tabs>
          <w:tab w:val="num" w:pos="1400"/>
        </w:tabs>
        <w:ind w:left="300"/>
      </w:pPr>
      <w:r>
        <w:t xml:space="preserve">  "reason": "insufficient_stock",</w:t>
      </w:r>
    </w:p>
    <w:p>
      <w:pPr>
        <w:tabs>
          <w:tab w:val="num" w:pos="1400"/>
        </w:tabs>
        <w:ind w:left="300"/>
      </w:pPr>
      <w:r>
        <w:t xml:space="preserve">  "available": 5</w:t>
      </w:r>
    </w:p>
    <w:p>
      <w:pPr>
        <w:tabs>
          <w:tab w:val="num" w:pos="1400"/>
        </w:tabs>
        <w:ind w:left="300"/>
      </w:pPr>
      <w:r>
        <w:t xml:space="preserve">}</w:t>
      </w:r>
    </w:p>
    <w:p>
      <w:pPr>
        <w:tabs>
          <w:tab w:val="num" w:pos="1400"/>
        </w:tabs>
        <w:ind w:left="300"/>
      </w:pPr>
      <w:r>
        <w:t xml:space="preserve">Pozostałe odpowiedzi kontraktu: 400 invalid_request (błędne dane), 404 unknown_product (nieznany produkt). Ponowienie tego samego żądania (ta sama para order_id + product_id) zwraca istniejącą rezerwację z kodem 200 i nie rezerwuje towaru drugi raz (w teście: HTTP 200, R-00001). Rezerwacja wygasa po 15 minutach (expires_at), jeśli zamówienie nie zostanie potwierdzone.</w:t>
      </w:r>
    </w:p>
    <w:p>
      <w:pPr>
        <w:tabs>
          <w:tab w:val="num" w:pos="1400"/>
        </w:tabs>
        <w:ind w:left="300"/>
      </w:pPr>
      <w:r>
        <w:t xml:space="preserve">Kontrakt zaimplementowano jako przykład w projekcie (aplikacja inventory_api) i przetestowano poleceniem curl.exe. To symulacja interfejsu w monolicie – zgodnie z instrukcją nie budujemy prawdziwych mikroserwisów. Model Reservation przechowuje product_id i order_id jako zwykłe identyfikatory, a nie klucze obce, bo serwis magazynu nie powinien sięgać do tabel katalogu ani zamówień.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6571336"/>
            <wp:effectExtent l="0" t="0" r="0" b="0"/>
            <wp:docPr id="1011" name="Obraz 1011" descr="zrzuty/09_kod_inventory_vi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zrzuty/09_kod_inventory_views.png"/>
                    <pic:cNvPicPr/>
                  </pic:nvPicPr>
                  <pic:blipFill>
                    <a:blip r:embed="rIdLab10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5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11. Przykład kontraktu POST /inventory/reservations – widok inventory_api/views.py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2852306"/>
            <wp:effectExtent l="0" t="0" r="0" b="0"/>
            <wp:docPr id="1012" name="Obraz 1012" descr="zrzuty/10_kod_inventory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zrzuty/10_kod_inventory_model.png"/>
                    <pic:cNvPicPr/>
                  </pic:nvPicPr>
                  <pic:blipFill>
                    <a:blip r:embed="rIdLab10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85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12. Model Reservation – dane należące do Inventory (identyfikatory zamiast kluczy obcych)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1266991"/>
            <wp:effectExtent l="0" t="0" r="0" b="0"/>
            <wp:docPr id="1013" name="Obraz 1013" descr="zrzuty/11_kod_ur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zrzuty/11_kod_urls.png"/>
                    <pic:cNvPicPr/>
                  </pic:nvPicPr>
                  <pic:blipFill>
                    <a:blip r:embed="rIdLab10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13. Rejestracja endpointu POST /inventory/reservations w urls.py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1219715"/>
            <wp:effectExtent l="0" t="0" r="0" b="0"/>
            <wp:docPr id="1014" name="Obraz 1014" descr="zrzuty/12_migracja_inven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zrzuty/12_migracja_inventory.png"/>
                    <pic:cNvPicPr/>
                  </pic:nvPicPr>
                  <pic:blipFill>
                    <a:blip r:embed="rIdLab10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2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14. Migracja tabeli rezerwacji (inventory_api_reservation)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2587562"/>
            <wp:effectExtent l="0" t="0" r="0" b="0"/>
            <wp:docPr id="1015" name="Obraz 1015" descr="zrzuty/14_api_rezerwacja_uda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zrzuty/14_api_rezerwacja_udana.png"/>
                    <pic:cNvPicPr/>
                  </pic:nvPicPr>
                  <pic:blipFill>
                    <a:blip r:embed="rIdLab10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15. Rezerwacja udana (HTTP 201) i ponowienie tego samego żądania (HTTP 200, ta sama rezerwacja)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2133714"/>
            <wp:effectExtent l="0" t="0" r="0" b="0"/>
            <wp:docPr id="1016" name="Obraz 1016" descr="zrzuty/15_api_brak_sta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zrzuty/15_api_brak_stanu.png"/>
                    <pic:cNvPicPr/>
                  </pic:nvPicPr>
                  <pic:blipFill>
                    <a:blip r:embed="rIdLab10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1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16. Brak wystarczającego stanu (HTTP 409 insufficient_stock) i stan magazynu po rezerwacjach</w:t>
      </w:r>
    </w:p>
    <w:p>
      <w:pPr>
        <w:tabs>
          <w:tab w:val="num" w:pos="1400"/>
        </w:tabs>
        <w:ind w:left="300"/>
      </w:pPr>
      <w:r>
        <w:t xml:space="preserve">Decyzja: rezerwacja podczas checkoutu powinna być synchroniczna (a). Checkout musi przed płatnością wiedzieć, czy towar jest dostępny – inaczej klient zapłaciłby za produkt, którego nie ma. Wywołanie jest krótkie i klient i tak czeka na wynik; stosujemy krótki timeout (np. 2 s), a przy błędzie lub braku odpowiedzi pokazujemy komunikat i nie przechodzimy do płatności. Potwierdzenie albo zwolnienie rezerwacji po złożeniu lub anulowaniu zamówienia może już odbywać się asynchronicznie (zdarzenie).</w:t>
      </w:r>
    </w:p>
    <w:tbl>
      <w:tblPr>
        <w:tblW w:w="908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1300"/>
        <w:gridCol w:w="4589"/>
      </w:tblGrid>
      <w:tr>
        <w:tc>
          <w:tcPr>
            <w:tcW w:w="3200" w:type="dxa"/>
          </w:tcPr>
          <w:p>
            <w:pPr>
              <w:pStyle w:val="TableHeading"/>
            </w:pPr>
            <w:r>
              <w:t xml:space="preserve">Sytuacja</w:t>
            </w:r>
          </w:p>
        </w:tc>
        <w:tc>
          <w:tcPr>
            <w:tcW w:w="1300" w:type="dxa"/>
          </w:tcPr>
          <w:p>
            <w:pPr>
              <w:pStyle w:val="TableHeading"/>
            </w:pPr>
            <w:r>
              <w:t xml:space="preserve">Sync / Async</w:t>
            </w:r>
          </w:p>
        </w:tc>
        <w:tc>
          <w:tcPr>
            <w:tcW w:w="4589" w:type="dxa"/>
          </w:tcPr>
          <w:p>
            <w:pPr>
              <w:pStyle w:val="TableHeading"/>
            </w:pPr>
            <w:r>
              <w:t xml:space="preserve">Uzasadnienie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Checkout → Payment: „czy płatność się udała?”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Sync</w:t>
            </w:r>
          </w:p>
        </w:tc>
        <w:tc>
          <w:tcPr>
            <w:tcW w:w="4589" w:type="dxa"/>
          </w:tcPr>
          <w:p>
            <w:pPr>
              <w:pStyle w:val="TableText"/>
            </w:pPr>
            <w:r>
              <w:t xml:space="preserve">klient czeka na wynik, od niego zależy utworzenie zamówienia (wynik końcowy można dodatkowo potwierdzić webhookiem)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OrderCreated → Fulfillment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Async</w:t>
            </w:r>
          </w:p>
        </w:tc>
        <w:tc>
          <w:tcPr>
            <w:tcW w:w="4589" w:type="dxa"/>
          </w:tcPr>
          <w:p>
            <w:pPr>
              <w:pStyle w:val="TableText"/>
            </w:pPr>
            <w:r>
              <w:t xml:space="preserve">realizacja trwa godziny/dni; zdarzenie przez broker nie blokuje checkoutu i przetrwa chwilową awarię magazynu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Order → Inventory: rezerwacja produktu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Sync</w:t>
            </w:r>
          </w:p>
        </w:tc>
        <w:tc>
          <w:tcPr>
            <w:tcW w:w="4589" w:type="dxa"/>
          </w:tcPr>
          <w:p>
            <w:pPr>
              <w:pStyle w:val="TableText"/>
            </w:pPr>
            <w:r>
              <w:t xml:space="preserve">potrzebna natychmiastowa odpowiedź (reserved/rejected) przed płatnością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OrderCreated → wysłanie e-maila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Async</w:t>
            </w:r>
          </w:p>
        </w:tc>
        <w:tc>
          <w:tcPr>
            <w:tcW w:w="4589" w:type="dxa"/>
          </w:tcPr>
          <w:p>
            <w:pPr>
              <w:pStyle w:val="TableText"/>
            </w:pPr>
            <w:r>
              <w:t xml:space="preserve">e-mail nie wpływa na wynik zakupu; można go ponowić później, awaria serwera poczty nie psuje zamówienia</w:t>
            </w:r>
          </w:p>
        </w:tc>
      </w:tr>
    </w:tbl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4. Zadanie 4 – Co, jeśli Payment Service nie działa?</w:t>
      </w:r>
    </w:p>
    <w:p>
      <w:pPr>
        <w:tabs>
          <w:tab w:val="num" w:pos="1400"/>
        </w:tabs>
        <w:ind w:left="300"/>
      </w:pPr>
      <w:r>
        <w:t xml:space="preserve">1. Czy tworzymy Order? Nie tworzymy zamówienia jako złożonego. Tak działa Oscar: w PaymentDetailsView.submit() najpierw zamraża koszyk i wywołuje handle_payment(), a place_order() wykonuje dopiero po udanej płatności; przy wyjątku zamówienie nie powstaje. Zapisujemy jedynie próbę płatności (numer zamówienia, klucz idempotencji, status „nieznany”).</w:t>
      </w:r>
    </w:p>
    <w:p>
      <w:pPr>
        <w:tabs>
          <w:tab w:val="num" w:pos="1400"/>
        </w:tabs>
        <w:ind w:left="300"/>
      </w:pPr>
      <w:r>
        <w:t xml:space="preserve">2. Czy klient powinien zobaczyć komunikat? Tak – zrozumiały komunikat bez szczegółów technicznych, np. „Nie udało się potwierdzić płatności. Jeśli środki zostały pobrane, zamówienie zostanie potwierdzone automatycznie albo pieniądze wrócą na konto.” Oscar w tym miejscu wyświetla błąd i wraca do kroku płatności.</w:t>
      </w:r>
    </w:p>
    <w:p>
      <w:pPr>
        <w:tabs>
          <w:tab w:val="num" w:pos="1400"/>
        </w:tabs>
        <w:ind w:left="300"/>
      </w:pPr>
      <w:r>
        <w:t xml:space="preserve">3. Czy pieniądze mogły zostać pobrane? Tak. Brak odpowiedzi (timeout) nie oznacza odmowy: żądanie mogło dotrzeć do Payment Service i zostać zrealizowane, a zgubiona została tylko odpowiedź. Dlatego status płatności jest „nieznany” i trzeba go wyjaśnić – zapytaniem o status albo webhookiem od bramki. Uwaga: domyślny komunikat Oscara przy PaymentError brzmi „no payment has been taken” (rys. poniżej, linie 604–607) – przy timeoucie może to być nieprawda, dlatego w integracji z bramką warto go zmienić na komunikat o nieznanym statusie płatności.</w:t>
      </w:r>
    </w:p>
    <w:p>
      <w:pPr>
        <w:tabs>
          <w:tab w:val="num" w:pos="1400"/>
        </w:tabs>
        <w:ind w:left="300"/>
      </w:pPr>
      <w:r>
        <w:t xml:space="preserve">4. Co z koszykiem? Koszyk nie może zostać utracony ani podwojony. Oscar podczas płatności zamraża koszyk (freeze_basket), a przy błędzie przywraca go (restore_frozen_basket) – klient wraca do checkoutu z tymi samymi produktami. Rezerwacja w Inventory jest utrzymywana do czasu wygaśnięcia (expires_at) i zwalniana, jeśli płatność ostatecznie się nie powiedzie.</w:t>
      </w:r>
    </w:p>
    <w:p>
      <w:pPr>
        <w:tabs>
          <w:tab w:val="num" w:pos="1400"/>
        </w:tabs>
        <w:ind w:left="300"/>
      </w:pPr>
      <w:r>
        <w:t xml:space="preserve">Zasada ponowienia płatności: każda próba zapłaty za dane zamówienie ma jeden klucz idempotencji (Idempotency-Key, np. payment-&lt;numer zamówienia&gt;-&lt;nr próby zapłaty&gt;) i każde ponowienie wysyłamy z tym samym kluczem. Payment Service zapamiętuje wynik dla klucza i przy powtórzeniu zwraca istniejący wynik zamiast obciążać klienta ponownie. Przed ponowieniem sprawdzamy status płatności, ponawiamy najwyżej kilka razy z rosnącym odstępem (np. 1 s, 2 s, 4 s), a nowy klucz tworzymy dopiero po jednoznacznej odmowie płatności.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464824" cy="7680960"/>
            <wp:effectExtent l="0" t="0" r="0" b="0"/>
            <wp:docPr id="1017" name="Obraz 1017" descr="zrzuty/16_kod_checkout_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zrzuty/16_kod_checkout_payment.png"/>
                    <pic:cNvPicPr/>
                  </pic:nvPicPr>
                  <pic:blipFill>
                    <a:blip r:embed="rIdLab1017"/>
                    <a:stretch>
                      <a:fillRect/>
                    </a:stretch>
                  </pic:blipFill>
                  <pic:spPr>
                    <a:xfrm>
                      <a:off x="0" y="0"/>
                      <a:ext cx="5464824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17. Obsługa błędu płatności w Oscarze: koszyk zamrożony, przy błędzie przywrócony, zamówienie nie powstaje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1859514"/>
            <wp:effectExtent l="0" t="0" r="0" b="0"/>
            <wp:docPr id="1018" name="Obraz 1018" descr="zrzuty/17_symulacja_platnos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zrzuty/17_symulacja_platnosci.png"/>
                    <pic:cNvPicPr/>
                  </pic:nvPicPr>
                  <pic:blipFill>
                    <a:blip r:embed="rIdLab101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5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18. Symulacja: Payment Service nie odpowiada w czasie – ponowienie bez klucza i z kluczem idempotencji</w:t>
      </w:r>
    </w:p>
    <w:p>
      <w:pPr>
        <w:tabs>
          <w:tab w:val="num" w:pos="1400"/>
        </w:tabs>
        <w:ind w:left="300"/>
      </w:pPr>
      <w:r>
        <w:t xml:space="preserve">Symulacja potwierdza zasadę: Payment Service pobrał pieniądze, ale odpowiedział po czasie. Ponowienie bez klucza dało 2 obciążenia klienta (podwójna płatność), a ponowienie z tym samym kluczem idempotencji – 1 obciążenie (druga odpowiedź to powtórzenie wyniku pierwszej próby).</w:t>
      </w: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5. Zadanie 5 – Projekt architektury sklepu</w:t>
      </w:r>
    </w:p>
    <w:p>
      <w:pPr>
        <w:tabs>
          <w:tab w:val="num" w:pos="1400"/>
        </w:tabs>
        <w:ind w:left="300"/>
      </w:pPr>
      <w:r>
        <w:t xml:space="preserve">Scenariusz: 100 tys. produktów, koszyk, płatności online, magazyn, dostawa kurierska, konta klientów i zwroty.</w:t>
      </w:r>
    </w:p>
    <w:p>
      <w:pPr>
        <w:tabs>
          <w:tab w:val="num" w:pos="1400"/>
        </w:tabs>
        <w:ind w:left="300"/>
      </w:pPr>
      <w:r>
        <w:t xml:space="preserve">1. Moduły jednego monolitu (Django Oscar): Product (katalog), Cart (koszyk), Order (zamówienia z checkoutem), Customer (konta), Returns (zwroty) oraz promocje. Są silnie powiązane w jednym procesie zakupowym, więc wspólne wdrożenie i transakcje w jednej bazie upraszczają system; granice modułów zostają zachowane w kodzie.</w:t>
      </w:r>
    </w:p>
    <w:p>
      <w:pPr>
        <w:tabs>
          <w:tab w:val="num" w:pos="1400"/>
        </w:tabs>
        <w:ind w:left="300"/>
      </w:pPr>
      <w:r>
        <w:t xml:space="preserve">2. Wydzielone serwisy: Payment Service (integracja z bramką, bezpieczeństwo, idempotencja, osobne wymagania PCI), Inventory Service (stany i rezerwacje, wiele magazynów, duża liczba aktualizacji), Delivery Service (integracje z kurierami, etykiety, statusy przesyłek) oraz wyszukiwarka Elasticsearch dla 100 tys. produktów i worker powiadomień.</w:t>
      </w:r>
    </w:p>
    <w:p>
      <w:pPr>
        <w:tabs>
          <w:tab w:val="num" w:pos="1400"/>
        </w:tabs>
        <w:ind w:left="300"/>
      </w:pPr>
      <w:r>
        <w:t xml:space="preserve">3. Właściciele danych: monolit – wspólna baza PostgreSQL z osobnym schematem każdego modułu (moduł zapisuje tylko swoje tabele); Payment, Inventory i Delivery mają własne bazy, a inne komponenty znają ich dane wyłącznie przez API lub zdarzenia; indeks wyszukiwarki to kopia danych katalogu odbudowywana ze zdarzeń.</w:t>
      </w:r>
    </w:p>
    <w:p>
      <w:pPr>
        <w:tabs>
          <w:tab w:val="num" w:pos="1400"/>
        </w:tabs>
        <w:ind w:left="300"/>
      </w:pPr>
      <w:r>
        <w:t xml:space="preserve">4. Komunikacja synchroniczna: klient → API Gateway → monolit (HTTPS), checkout → Inventory (rezerwacja), checkout → Payment (autoryzacja płatności), Payment → bramka płatnicza, Delivery → API kuriera.</w:t>
      </w:r>
    </w:p>
    <w:p>
      <w:pPr>
        <w:tabs>
          <w:tab w:val="num" w:pos="1400"/>
        </w:tabs>
        <w:ind w:left="300"/>
      </w:pPr>
      <w:r>
        <w:t xml:space="preserve">5. Komunikacja asynchroniczna (broker zdarzeń): OrderCreated → Delivery i powiadomienia e-mail, ReturnApproved → zwrot pieniędzy w Payment, ProductUpdated → indeksowanie w wyszukiwarce, webhook bramki → potwierdzenie płatności.</w:t>
      </w:r>
    </w:p>
    <w:p>
      <w:pPr>
        <w:tabs>
          <w:tab w:val="num" w:pos="1400"/>
        </w:tabs>
        <w:ind w:left="300"/>
      </w:pPr>
      <w:r>
        <w:t xml:space="preserve">6. Punkt awarii: Payment Service i zewnętrzna bramka płatnicza – brak odpowiedzi blokuje złożenie zamówienia, a status płatności jest nieznany (obsługa jak w zadaniu 4: timeout, idempotencja, webhook, uzgadnianie statusów). Kolejnymi punktami są broker zdarzeń (kolejka z trwałymi wiadomościami i ponowieniami) oraz API kuriera.</w:t>
      </w:r>
    </w:p>
    <w:p>
      <w:pPr>
        <w:tabs>
          <w:tab w:val="num" w:pos="1400"/>
        </w:tabs>
        <w:ind w:left="300"/>
      </w:pPr>
      <w:r>
        <w:drawing>
          <wp:inline distT="0" distB="0" distL="0" distR="0">
            <wp:extent cx="5588000" cy="3432628"/>
            <wp:effectExtent l="0" t="0" r="0" b="0"/>
            <wp:docPr id="1019" name="Obraz 1019" descr="zrzuty/18_diagram_architektu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zrzuty/18_diagram_architektury.png"/>
                    <pic:cNvPicPr/>
                  </pic:nvPicPr>
                  <pic:blipFill>
                    <a:blip r:embed="rIdLab101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4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num" w:pos="1400"/>
        </w:tabs>
        <w:ind w:left="300"/>
      </w:pPr>
      <w:r>
        <w:t xml:space="preserve">Rys. 19. Diagram architektury sklepu: monolit modułowy, wydzielone serwisy, dane, komunikacja sync/async i punkt awarii</w:t>
      </w:r>
    </w:p>
    <w:tbl>
      <w:tblPr>
        <w:tblW w:w="908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2300"/>
        <w:gridCol w:w="2489"/>
      </w:tblGrid>
      <w:tr>
        <w:tc>
          <w:tcPr>
            <w:tcW w:w="2600" w:type="dxa"/>
          </w:tcPr>
          <w:p>
            <w:pPr>
              <w:pStyle w:val="TableHeading"/>
            </w:pPr>
            <w:r>
              <w:t xml:space="preserve">Komponent</w:t>
            </w:r>
          </w:p>
        </w:tc>
        <w:tc>
          <w:tcPr>
            <w:tcW w:w="1700" w:type="dxa"/>
          </w:tcPr>
          <w:p>
            <w:pPr>
              <w:pStyle w:val="TableHeading"/>
            </w:pPr>
            <w:r>
              <w:t xml:space="preserve">Monolit / serwis</w:t>
            </w:r>
          </w:p>
        </w:tc>
        <w:tc>
          <w:tcPr>
            <w:tcW w:w="2300" w:type="dxa"/>
          </w:tcPr>
          <w:p>
            <w:pPr>
              <w:pStyle w:val="TableHeading"/>
            </w:pPr>
            <w:r>
              <w:t xml:space="preserve">Właściciel danych</w:t>
            </w:r>
          </w:p>
        </w:tc>
        <w:tc>
          <w:tcPr>
            <w:tcW w:w="2489" w:type="dxa"/>
          </w:tcPr>
          <w:p>
            <w:pPr>
              <w:pStyle w:val="TableHeading"/>
            </w:pPr>
            <w:r>
              <w:t xml:space="preserve">Komunikacja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Product, Cart, Order, Customer, Returns, Offer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moduły monolitu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własne schematy we wspólnej bazie</w:t>
            </w:r>
          </w:p>
        </w:tc>
        <w:tc>
          <w:tcPr>
            <w:tcW w:w="2489" w:type="dxa"/>
          </w:tcPr>
          <w:p>
            <w:pPr>
              <w:pStyle w:val="TableText"/>
            </w:pPr>
            <w:r>
              <w:t xml:space="preserve">wywołania w procesie; na zewnątrz HTTP przez API Gateway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Payment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osobny serwis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własna baza płatności</w:t>
            </w:r>
          </w:p>
        </w:tc>
        <w:tc>
          <w:tcPr>
            <w:tcW w:w="2489" w:type="dxa"/>
          </w:tcPr>
          <w:p>
            <w:pPr>
              <w:pStyle w:val="TableText"/>
            </w:pPr>
            <w:r>
              <w:t xml:space="preserve">sync z checkoutu; webhook i refund async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Inventory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osobny serwis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własna baza magazynu</w:t>
            </w:r>
          </w:p>
        </w:tc>
        <w:tc>
          <w:tcPr>
            <w:tcW w:w="2489" w:type="dxa"/>
          </w:tcPr>
          <w:p>
            <w:pPr>
              <w:pStyle w:val="TableText"/>
            </w:pPr>
            <w:r>
              <w:t xml:space="preserve">sync rezerwacja; zwolnienie/potwierdzenie async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Delivery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osobny serwis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własna baza przesyłek</w:t>
            </w:r>
          </w:p>
        </w:tc>
        <w:tc>
          <w:tcPr>
            <w:tcW w:w="2489" w:type="dxa"/>
          </w:tcPr>
          <w:p>
            <w:pPr>
              <w:pStyle w:val="TableText"/>
            </w:pPr>
            <w:r>
              <w:t xml:space="preserve">async OrderCreated; sync do API kuriera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Wyszukiwarka, powiadomienia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komponenty pomocnicze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kopia danych (indeks) / brak</w:t>
            </w:r>
          </w:p>
        </w:tc>
        <w:tc>
          <w:tcPr>
            <w:tcW w:w="2489" w:type="dxa"/>
          </w:tcPr>
          <w:p>
            <w:pPr>
              <w:pStyle w:val="TableText"/>
            </w:pPr>
            <w:r>
              <w:t xml:space="preserve">async ze zdarzeń</w:t>
            </w:r>
          </w:p>
        </w:tc>
      </w:tr>
    </w:tbl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</w:pPr>
    </w:p>
    <w:p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6. Pytanie dodatkowe – distributed monolith</w:t>
      </w:r>
    </w:p>
    <w:p>
      <w:pPr>
        <w:tabs>
          <w:tab w:val="num" w:pos="1400"/>
        </w:tabs>
        <w:ind w:left="300"/>
      </w:pPr>
      <w:r>
        <w:t xml:space="preserve">Nie. Taki podział daje wszystkie koszty mikroserwisów (sieć, opóźnienia, nowe rodzaje awarii, trudniejsze wdrożenie i monitorowanie), ale żadnej z ich zalet. Wspólna baza oznacza brak własności danych – zmiana tabeli jednego serwisu psuje inne; synchroniczny łańcuch wywołań sprawia, że awaria lub spowolnienie jednej usługi zatrzymuje cały request; konieczność wspólnego wdrażania znosi niezależność zespołów i wydań.</w:t>
      </w:r>
    </w:p>
    <w:p>
      <w:pPr>
        <w:tabs>
          <w:tab w:val="num" w:pos="1400"/>
        </w:tabs>
        <w:ind w:left="300"/>
      </w:pPr>
      <w:r>
        <w:t xml:space="preserve">Distributed monolith (monolit rozproszony) to system podzielony na wiele osobno uruchamianych usług, które są jednak tak silnie sprzężone (wspólna baza, synchroniczne zależności, wspólne wdrożenia, współdzielone modele danych), że w praktyce zachowują się jak jeden monolit – tyle że rozproszony po sieci, a więc wolniejszy i bardziej awaryjny. Lepszym wyjściem jest wtedy dobrze zaprojektowany monolit modułowy, jak Oscar.</w:t>
      </w:r>
    </w:p>
    <w:p w14:paraId="7949FD2E" w14:textId="77777777" w:rsidR="00035AA0" w:rsidRDefault="00035AA0" w:rsidP="003B6029">
      <w:pPr>
        <w:tabs>
          <w:tab w:val="left" w:pos="900"/>
          <w:tab w:val="left" w:pos="3495"/>
        </w:tabs>
        <w:rPr>
          <w:rFonts w:ascii="Cambria" w:hAnsi="Cambria"/>
        </w:rPr>
      </w:pPr>
    </w:p>
    <w:p w14:paraId="2682CEE4" w14:textId="77777777" w:rsidR="00AE7338" w:rsidRDefault="00AE7338" w:rsidP="00AE7338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 w:rsidRPr="00AE7338">
        <w:rPr>
          <w:rFonts w:ascii="Cambria" w:hAnsi="Cambria"/>
          <w:b/>
          <w:lang w:eastAsia="pl-PL"/>
        </w:rPr>
        <w:t>Wnioski</w:t>
      </w:r>
      <w:r>
        <w:rPr>
          <w:rFonts w:ascii="Cambria" w:hAnsi="Cambria"/>
          <w:b/>
          <w:lang w:eastAsia="pl-PL"/>
        </w:rPr>
        <w:t>:</w:t>
      </w:r>
    </w:p>
    <w:p>
      <w:pPr>
        <w:tabs>
          <w:tab w:val="num" w:pos="1400"/>
        </w:tabs>
        <w:ind w:left="300"/>
      </w:pPr>
      <w:r>
        <w:t xml:space="preserve">1. Django Oscar to monolit modułowy: ma wyraźnie wydzielone aplikacje (catalogue, basket, checkout, order, customer, offer, shipping, payment, partner), ale działają one w jednym procesie, na jednej bazie i są wdrażane razem.</w:t>
      </w:r>
    </w:p>
    <w:p>
      <w:pPr>
        <w:tabs>
          <w:tab w:val="num" w:pos="1400"/>
        </w:tabs>
        <w:ind w:left="300"/>
      </w:pPr>
      <w:r>
        <w:t xml:space="preserve">2. Wiele aplikacji Django nie oznacza wielu mikroserwisów – o mikroserwisie decyduje osobny proces, własne dane i komunikacja przez sieć.</w:t>
      </w:r>
    </w:p>
    <w:p>
      <w:pPr>
        <w:tabs>
          <w:tab w:val="num" w:pos="1400"/>
        </w:tabs>
        <w:ind w:left="300"/>
      </w:pPr>
      <w:r>
        <w:t xml:space="preserve">3. Mikroserwis musi mieć własną odpowiedzialność i granicę danych; jeżeli Inventory jest osobnym serwisem, Order korzysta z jego API (np. POST /inventory/reservations), a nie z tabel magazynu – w Oscarze order robi to bezpośrednio.</w:t>
      </w:r>
    </w:p>
    <w:p>
      <w:pPr>
        <w:tabs>
          <w:tab w:val="num" w:pos="1400"/>
        </w:tabs>
        <w:ind w:left="300"/>
      </w:pPr>
      <w:r>
        <w:t xml:space="preserve">4. Komunikacja sieciowa wprowadza nowe rodzaje awarii: timeout nie oznacza odmowy, dlatego płatności wymagają kluczy idempotencji, a koszyk musi przetrwać nieudaną płatność.</w:t>
      </w:r>
    </w:p>
    <w:p>
      <w:pPr>
        <w:tabs>
          <w:tab w:val="num" w:pos="1400"/>
        </w:tabs>
        <w:ind w:left="300"/>
      </w:pPr>
      <w:r>
        <w:t xml:space="preserve">5. Komunikacja synchroniczna jest prosta, ale uzależnia dostępność komponentów; asynchroniczna zmniejsza sprzężenie, ale utrudnia śledzenie procesu.</w:t>
      </w:r>
    </w:p>
    <w:p>
      <w:pPr>
        <w:tabs>
          <w:tab w:val="num" w:pos="1400"/>
        </w:tabs>
        <w:ind w:left="300"/>
      </w:pPr>
      <w:r>
        <w:t xml:space="preserve">6. Mikroserwisy nie są automatycznie lepsze od monolitu – architektura to kompromis między prostotą, niezależnością, spójnością danych i złożonością operacyjną; źle podzielony system staje się distributed monolith.</w:t>
      </w:r>
    </w:p>
    <w:p w14:paraId="71B75C2D" w14:textId="77777777" w:rsidR="00B860A6" w:rsidRDefault="00B860A6" w:rsidP="00B860A6">
      <w:pPr>
        <w:pStyle w:val="LabSection"/>
        <w:numPr>
          <w:ilvl w:val="0"/>
          <w:numId w:val="18"/>
        </w:numPr>
        <w:shd w:val="clear" w:color="auto" w:fill="auto"/>
        <w:jc w:val="both"/>
        <w:rPr>
          <w:lang w:val="pl-PL"/>
        </w:rPr>
      </w:pPr>
      <w:r>
        <w:rPr>
          <w:lang w:val="pl-PL"/>
        </w:rPr>
        <w:t>Rubryka przykładowej punktacji</w:t>
      </w:r>
    </w:p>
    <w:tbl>
      <w:tblPr>
        <w:tblW w:w="948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40"/>
        <w:gridCol w:w="4253"/>
        <w:gridCol w:w="1837"/>
        <w:gridCol w:w="1559"/>
      </w:tblGrid>
      <w:tr w:rsidR="00B860A6" w14:paraId="13863DDB" w14:textId="77777777" w:rsidTr="003730EE">
        <w:trPr>
          <w:cantSplit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225823D0" w14:textId="77777777" w:rsidR="00B860A6" w:rsidRPr="00D31F75" w:rsidRDefault="00B860A6">
            <w:pPr>
              <w:pStyle w:val="TableHeading"/>
              <w:rPr>
                <w:sz w:val="18"/>
                <w:lang w:val="pl-PL"/>
              </w:rPr>
            </w:pPr>
            <w:r w:rsidRPr="00D31F75">
              <w:rPr>
                <w:sz w:val="18"/>
                <w:lang w:val="pl-PL"/>
              </w:rPr>
              <w:t>Sekcja ćwiczenia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2A62978A" w14:textId="77777777" w:rsidR="00B860A6" w:rsidRPr="00D31F75" w:rsidRDefault="00B860A6">
            <w:pPr>
              <w:pStyle w:val="TableHeading"/>
              <w:rPr>
                <w:sz w:val="18"/>
                <w:lang w:val="pl-PL"/>
              </w:rPr>
            </w:pPr>
            <w:r w:rsidRPr="00D31F75">
              <w:rPr>
                <w:sz w:val="18"/>
                <w:lang w:val="pl-PL"/>
              </w:rPr>
              <w:t xml:space="preserve">Numer </w:t>
            </w:r>
            <w:r>
              <w:rPr>
                <w:sz w:val="18"/>
                <w:lang w:val="pl-PL"/>
              </w:rPr>
              <w:t>zadania</w:t>
            </w: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235C4CB8" w14:textId="77777777" w:rsidR="00B860A6" w:rsidRPr="00D31F75" w:rsidRDefault="00B860A6">
            <w:pPr>
              <w:pStyle w:val="TableHeading"/>
              <w:rPr>
                <w:sz w:val="18"/>
                <w:lang w:val="pl-PL"/>
              </w:rPr>
            </w:pPr>
            <w:r w:rsidRPr="00D31F75">
              <w:rPr>
                <w:sz w:val="18"/>
                <w:lang w:val="pl-PL"/>
              </w:rPr>
              <w:t>Maksymalna możliwa liczba punktów do uzyskania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26F8028A" w14:textId="77777777" w:rsidR="00B860A6" w:rsidRPr="00D31F75" w:rsidRDefault="00B860A6">
            <w:pPr>
              <w:pStyle w:val="TableHeading"/>
              <w:rPr>
                <w:sz w:val="18"/>
                <w:lang w:val="pl-PL"/>
              </w:rPr>
            </w:pPr>
            <w:r w:rsidRPr="00D31F75">
              <w:rPr>
                <w:sz w:val="18"/>
                <w:lang w:val="pl-PL"/>
              </w:rPr>
              <w:t>Uzyskana liczba punktów</w:t>
            </w:r>
          </w:p>
        </w:tc>
      </w:tr>
      <w:tr w:rsidR="00B860A6" w14:paraId="0B5F84AC" w14:textId="77777777" w:rsidTr="003730EE">
        <w:trPr>
          <w:cantSplit/>
          <w:jc w:val="center"/>
        </w:trPr>
        <w:tc>
          <w:tcPr>
            <w:tcW w:w="184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1FFFA63E" w14:textId="77777777" w:rsidR="00B860A6" w:rsidRDefault="00B860A6">
            <w:pPr>
              <w:pStyle w:val="TableText"/>
              <w:spacing w:line="254" w:lineRule="auto"/>
              <w:rPr>
                <w:lang w:val="pl-PL"/>
              </w:rPr>
            </w:pPr>
            <w:r>
              <w:rPr>
                <w:lang w:val="pl-PL"/>
              </w:rPr>
              <w:t>Nazwa ćwiczenia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FC58BE" w14:textId="6FFDD1B6" w:rsidR="004F0947" w:rsidRDefault="00B860A6" w:rsidP="004F0947">
            <w:pPr>
              <w:pStyle w:val="p1"/>
            </w:pPr>
            <w:r w:rsidRPr="00DF21C1">
              <w:rPr>
                <w:sz w:val="18"/>
                <w:szCs w:val="18"/>
                <w:lang w:val="pl-PL"/>
              </w:rPr>
              <w:t>1</w:t>
            </w:r>
            <w:r w:rsidR="00604F77">
              <w:rPr>
                <w:sz w:val="18"/>
                <w:szCs w:val="18"/>
                <w:lang w:val="pl-PL"/>
              </w:rPr>
              <w:t>.</w:t>
            </w:r>
            <w:r w:rsidR="004F0947" w:rsidRPr="004F0947">
              <w:rPr>
                <w:sz w:val="18"/>
                <w:szCs w:val="18"/>
              </w:rPr>
              <w:t xml:space="preserve">Oscar jako monolit: moduły </w:t>
            </w:r>
            <w:r w:rsidR="004F0947">
              <w:rPr>
                <w:sz w:val="18"/>
                <w:szCs w:val="18"/>
              </w:rPr>
              <w:t xml:space="preserve">i </w:t>
            </w:r>
            <w:r w:rsidR="004F0947" w:rsidRPr="004F0947">
              <w:rPr>
                <w:sz w:val="18"/>
                <w:szCs w:val="18"/>
              </w:rPr>
              <w:t>odpowiedzialności</w:t>
            </w:r>
            <w:r w:rsidR="004F0947">
              <w:rPr>
                <w:rStyle w:val="apple-converted-space"/>
              </w:rPr>
              <w:t> </w:t>
            </w:r>
          </w:p>
          <w:p w14:paraId="2D996E65" w14:textId="46E53954" w:rsidR="00B860A6" w:rsidRPr="00DF21C1" w:rsidRDefault="00B860A6" w:rsidP="003730EE">
            <w:pPr>
              <w:pStyle w:val="p1"/>
              <w:rPr>
                <w:sz w:val="18"/>
                <w:szCs w:val="18"/>
              </w:rPr>
            </w:pP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2CD24F" w14:textId="0F0B400C" w:rsidR="00B860A6" w:rsidRDefault="003730EE">
            <w:pPr>
              <w:pStyle w:val="TableText"/>
              <w:spacing w:line="254" w:lineRule="auto"/>
              <w:jc w:val="center"/>
              <w:rPr>
                <w:lang w:val="pl-PL"/>
              </w:rPr>
            </w:pPr>
            <w:r>
              <w:rPr>
                <w:lang w:val="pl-PL"/>
              </w:rPr>
              <w:t>0.2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C8D14B0" w14:textId="77777777" w:rsidR="00B860A6" w:rsidRPr="00AC7BF8" w:rsidRDefault="00B860A6">
            <w:pPr>
              <w:pStyle w:val="TableText"/>
              <w:spacing w:line="254" w:lineRule="auto"/>
              <w:jc w:val="center"/>
              <w:rPr>
                <w:lang w:val="pl-PL"/>
              </w:rPr>
            </w:pPr>
          </w:p>
        </w:tc>
      </w:tr>
      <w:tr w:rsidR="00B860A6" w14:paraId="0E2395A2" w14:textId="77777777" w:rsidTr="003730EE">
        <w:trPr>
          <w:cantSplit/>
          <w:jc w:val="center"/>
        </w:trPr>
        <w:tc>
          <w:tcPr>
            <w:tcW w:w="184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A718111" w14:textId="77777777" w:rsidR="00B860A6" w:rsidRDefault="00B860A6">
            <w:pPr>
              <w:rPr>
                <w:rFonts w:ascii="Arial" w:eastAsia="Calibri" w:hAnsi="Arial"/>
              </w:rPr>
            </w:pP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714710" w14:textId="1C481013" w:rsidR="00B860A6" w:rsidRPr="004F0947" w:rsidRDefault="00B860A6" w:rsidP="003730EE">
            <w:pPr>
              <w:pStyle w:val="p1"/>
            </w:pPr>
            <w:r w:rsidRPr="00DF21C1">
              <w:rPr>
                <w:sz w:val="18"/>
                <w:szCs w:val="18"/>
                <w:lang w:val="pl-PL"/>
              </w:rPr>
              <w:t>2</w:t>
            </w:r>
            <w:r w:rsidR="00604F77">
              <w:rPr>
                <w:sz w:val="18"/>
                <w:szCs w:val="18"/>
                <w:lang w:val="pl-PL"/>
              </w:rPr>
              <w:t>.</w:t>
            </w:r>
            <w:r w:rsidR="004F0947">
              <w:t xml:space="preserve"> </w:t>
            </w:r>
            <w:r w:rsidR="004F0947" w:rsidRPr="004F0947">
              <w:rPr>
                <w:sz w:val="18"/>
                <w:szCs w:val="18"/>
              </w:rPr>
              <w:t>Własność danych</w:t>
            </w:r>
            <w:r w:rsidR="003730EE" w:rsidRPr="00DF21C1">
              <w:rPr>
                <w:sz w:val="18"/>
                <w:szCs w:val="18"/>
              </w:rPr>
              <w:t>.</w:t>
            </w: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BFFB24" w14:textId="3EECC4D6" w:rsidR="00B860A6" w:rsidRDefault="003730EE">
            <w:pPr>
              <w:pStyle w:val="TableText"/>
              <w:spacing w:line="254" w:lineRule="auto"/>
              <w:jc w:val="center"/>
              <w:rPr>
                <w:lang w:val="pl-PL"/>
              </w:rPr>
            </w:pPr>
            <w:r>
              <w:rPr>
                <w:lang w:val="pl-PL"/>
              </w:rPr>
              <w:t>0.</w:t>
            </w:r>
            <w:r w:rsidR="004F0947">
              <w:rPr>
                <w:lang w:val="pl-PL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B12751B" w14:textId="77777777" w:rsidR="00B860A6" w:rsidRPr="00AC7BF8" w:rsidRDefault="00B860A6">
            <w:pPr>
              <w:pStyle w:val="TableText"/>
              <w:spacing w:line="254" w:lineRule="auto"/>
              <w:jc w:val="center"/>
              <w:rPr>
                <w:lang w:val="pl-PL"/>
              </w:rPr>
            </w:pPr>
          </w:p>
        </w:tc>
      </w:tr>
      <w:tr w:rsidR="00B860A6" w14:paraId="3E1251A2" w14:textId="77777777" w:rsidTr="003730EE">
        <w:trPr>
          <w:cantSplit/>
          <w:jc w:val="center"/>
        </w:trPr>
        <w:tc>
          <w:tcPr>
            <w:tcW w:w="184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6300F0B" w14:textId="77777777" w:rsidR="00B860A6" w:rsidRDefault="00B860A6">
            <w:pPr>
              <w:rPr>
                <w:rFonts w:ascii="Arial" w:eastAsia="Calibri" w:hAnsi="Arial"/>
              </w:rPr>
            </w:pP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BDCC65" w14:textId="162E9854" w:rsidR="00B860A6" w:rsidRPr="004F0947" w:rsidRDefault="00B860A6" w:rsidP="003730EE">
            <w:pPr>
              <w:pStyle w:val="p1"/>
            </w:pPr>
            <w:r w:rsidRPr="00DF21C1">
              <w:rPr>
                <w:sz w:val="18"/>
                <w:szCs w:val="18"/>
                <w:lang w:val="pl-PL"/>
              </w:rPr>
              <w:t>3</w:t>
            </w:r>
            <w:r w:rsidR="00604F77">
              <w:rPr>
                <w:sz w:val="18"/>
                <w:szCs w:val="18"/>
                <w:lang w:val="pl-PL"/>
              </w:rPr>
              <w:t>.</w:t>
            </w:r>
            <w:r w:rsidR="004F0947">
              <w:t xml:space="preserve"> </w:t>
            </w:r>
            <w:r w:rsidR="004F0947" w:rsidRPr="004F0947">
              <w:rPr>
                <w:sz w:val="18"/>
                <w:szCs w:val="18"/>
              </w:rPr>
              <w:t>Komunikacja: API oraz sync/async</w:t>
            </w:r>
            <w:r w:rsidR="003730EE" w:rsidRPr="00DF21C1">
              <w:rPr>
                <w:sz w:val="18"/>
                <w:szCs w:val="18"/>
              </w:rPr>
              <w:t>.</w:t>
            </w: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572FC3" w14:textId="43AA62C3" w:rsidR="00B860A6" w:rsidRDefault="003730EE">
            <w:pPr>
              <w:pStyle w:val="TableText"/>
              <w:spacing w:line="254" w:lineRule="auto"/>
              <w:jc w:val="center"/>
              <w:rPr>
                <w:lang w:val="pl-PL"/>
              </w:rPr>
            </w:pPr>
            <w:r>
              <w:rPr>
                <w:lang w:val="pl-PL"/>
              </w:rPr>
              <w:t>0.</w:t>
            </w:r>
            <w:r w:rsidR="004F0947">
              <w:rPr>
                <w:lang w:val="pl-PL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3D0030F" w14:textId="77777777" w:rsidR="00B860A6" w:rsidRPr="00AC7BF8" w:rsidRDefault="00B860A6">
            <w:pPr>
              <w:pStyle w:val="TableText"/>
              <w:spacing w:line="254" w:lineRule="auto"/>
              <w:jc w:val="center"/>
              <w:rPr>
                <w:lang w:val="pl-PL"/>
              </w:rPr>
            </w:pPr>
          </w:p>
        </w:tc>
      </w:tr>
      <w:tr w:rsidR="00B860A6" w14:paraId="25B74EE1" w14:textId="77777777" w:rsidTr="003730EE">
        <w:trPr>
          <w:cantSplit/>
          <w:jc w:val="center"/>
        </w:trPr>
        <w:tc>
          <w:tcPr>
            <w:tcW w:w="184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FD27F01" w14:textId="77777777" w:rsidR="00B860A6" w:rsidRDefault="00B860A6">
            <w:pPr>
              <w:rPr>
                <w:rFonts w:ascii="Arial" w:eastAsia="Calibri" w:hAnsi="Arial"/>
              </w:rPr>
            </w:pP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5F2A52" w14:textId="51A7EA67" w:rsidR="00B860A6" w:rsidRPr="004F0947" w:rsidRDefault="00B860A6" w:rsidP="003730EE">
            <w:pPr>
              <w:pStyle w:val="p1"/>
            </w:pPr>
            <w:r w:rsidRPr="003730EE">
              <w:rPr>
                <w:sz w:val="18"/>
                <w:szCs w:val="18"/>
                <w:lang w:val="pl-PL"/>
              </w:rPr>
              <w:t>4</w:t>
            </w:r>
            <w:r w:rsidR="00604F77">
              <w:rPr>
                <w:sz w:val="18"/>
                <w:szCs w:val="18"/>
                <w:lang w:val="pl-PL"/>
              </w:rPr>
              <w:t>.</w:t>
            </w:r>
            <w:r w:rsidR="004F0947">
              <w:t xml:space="preserve"> </w:t>
            </w:r>
            <w:r w:rsidR="004F0947" w:rsidRPr="004F0947">
              <w:rPr>
                <w:sz w:val="18"/>
                <w:szCs w:val="18"/>
              </w:rPr>
              <w:t>Awaria Payment Service</w:t>
            </w:r>
            <w:r w:rsidR="003730EE" w:rsidRPr="003730EE">
              <w:rPr>
                <w:sz w:val="18"/>
                <w:szCs w:val="18"/>
              </w:rPr>
              <w:t>.</w:t>
            </w: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E76747" w14:textId="5CF85DA3" w:rsidR="00B860A6" w:rsidRDefault="003730EE">
            <w:pPr>
              <w:pStyle w:val="TableText"/>
              <w:spacing w:line="254" w:lineRule="auto"/>
              <w:jc w:val="center"/>
              <w:rPr>
                <w:lang w:val="pl-PL"/>
              </w:rPr>
            </w:pPr>
            <w:r>
              <w:rPr>
                <w:lang w:val="pl-PL"/>
              </w:rPr>
              <w:t>0.</w:t>
            </w:r>
            <w:r w:rsidR="004F0947">
              <w:rPr>
                <w:lang w:val="pl-PL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271E051" w14:textId="77777777" w:rsidR="00B860A6" w:rsidRPr="00AC7BF8" w:rsidRDefault="00B860A6">
            <w:pPr>
              <w:pStyle w:val="TableText"/>
              <w:spacing w:line="254" w:lineRule="auto"/>
              <w:jc w:val="center"/>
              <w:rPr>
                <w:lang w:val="pl-PL"/>
              </w:rPr>
            </w:pPr>
          </w:p>
        </w:tc>
      </w:tr>
      <w:tr w:rsidR="00B860A6" w14:paraId="4C210EEC" w14:textId="77777777" w:rsidTr="003730EE">
        <w:trPr>
          <w:cantSplit/>
          <w:jc w:val="center"/>
        </w:trPr>
        <w:tc>
          <w:tcPr>
            <w:tcW w:w="184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459E436" w14:textId="77777777" w:rsidR="00B860A6" w:rsidRDefault="00B860A6">
            <w:pPr>
              <w:rPr>
                <w:rFonts w:ascii="Arial" w:eastAsia="Calibri" w:hAnsi="Arial"/>
              </w:rPr>
            </w:pP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949043" w14:textId="62422550" w:rsidR="00B860A6" w:rsidRPr="00DF21C1" w:rsidRDefault="00B860A6" w:rsidP="00DF21C1">
            <w:pPr>
              <w:pStyle w:val="p1"/>
              <w:rPr>
                <w:sz w:val="18"/>
                <w:szCs w:val="18"/>
              </w:rPr>
            </w:pPr>
            <w:r w:rsidRPr="00DF21C1">
              <w:rPr>
                <w:sz w:val="18"/>
                <w:szCs w:val="18"/>
                <w:lang w:val="pl-PL"/>
              </w:rPr>
              <w:t>5</w:t>
            </w:r>
            <w:r w:rsidR="00604F77">
              <w:rPr>
                <w:sz w:val="18"/>
                <w:szCs w:val="18"/>
                <w:lang w:val="pl-PL"/>
              </w:rPr>
              <w:t>.</w:t>
            </w:r>
            <w:r w:rsidR="007121CF" w:rsidRPr="00E16AEF">
              <w:rPr>
                <w:sz w:val="18"/>
                <w:szCs w:val="18"/>
              </w:rPr>
              <w:t xml:space="preserve"> </w:t>
            </w:r>
            <w:r w:rsidR="007121CF" w:rsidRPr="00E16AEF">
              <w:rPr>
                <w:sz w:val="18"/>
                <w:szCs w:val="18"/>
              </w:rPr>
              <w:t>Projekt architektury sklepu</w:t>
            </w:r>
            <w:r w:rsidR="00DF21C1" w:rsidRPr="00DF21C1">
              <w:rPr>
                <w:sz w:val="18"/>
                <w:szCs w:val="18"/>
              </w:rPr>
              <w:t>.</w:t>
            </w: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6F06FF" w14:textId="2F6BD493" w:rsidR="00B860A6" w:rsidRDefault="00DF21C1">
            <w:pPr>
              <w:pStyle w:val="TableText"/>
              <w:spacing w:line="254" w:lineRule="auto"/>
              <w:jc w:val="center"/>
              <w:rPr>
                <w:lang w:val="pl-PL"/>
              </w:rPr>
            </w:pPr>
            <w:r>
              <w:rPr>
                <w:lang w:val="pl-PL"/>
              </w:rPr>
              <w:t>0.</w:t>
            </w:r>
            <w:r w:rsidR="00E16AEF">
              <w:rPr>
                <w:lang w:val="pl-PL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36C485D" w14:textId="77777777" w:rsidR="00B860A6" w:rsidRPr="00AC7BF8" w:rsidRDefault="00B860A6">
            <w:pPr>
              <w:pStyle w:val="TableText"/>
              <w:spacing w:line="254" w:lineRule="auto"/>
              <w:jc w:val="center"/>
              <w:rPr>
                <w:lang w:val="pl-PL"/>
              </w:rPr>
            </w:pPr>
          </w:p>
        </w:tc>
      </w:tr>
      <w:tr w:rsidR="00B860A6" w14:paraId="008F3BDA" w14:textId="77777777" w:rsidTr="003730EE">
        <w:trPr>
          <w:cantSplit/>
          <w:jc w:val="center"/>
        </w:trPr>
        <w:tc>
          <w:tcPr>
            <w:tcW w:w="60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303923" w14:textId="77777777" w:rsidR="00B860A6" w:rsidRDefault="00B860A6">
            <w:pPr>
              <w:pStyle w:val="TableText"/>
              <w:spacing w:line="254" w:lineRule="auto"/>
              <w:jc w:val="both"/>
              <w:rPr>
                <w:b/>
                <w:lang w:val="pl-PL"/>
              </w:rPr>
            </w:pPr>
            <w:r>
              <w:rPr>
                <w:b/>
                <w:lang w:val="pl-PL"/>
              </w:rPr>
              <w:t>Wynik łączny</w:t>
            </w:r>
          </w:p>
        </w:tc>
        <w:tc>
          <w:tcPr>
            <w:tcW w:w="18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0CA996" w14:textId="4E76DDA4" w:rsidR="00B860A6" w:rsidRDefault="00B860A6">
            <w:pPr>
              <w:pStyle w:val="TableText"/>
              <w:spacing w:line="254" w:lineRule="auto"/>
              <w:jc w:val="center"/>
              <w:rPr>
                <w:b/>
                <w:lang w:val="pl-PL"/>
              </w:rPr>
            </w:pPr>
            <w:r>
              <w:rPr>
                <w:b/>
                <w:lang w:val="pl-PL"/>
              </w:rPr>
              <w:t>1</w:t>
            </w:r>
            <w:r w:rsidR="00DF21C1">
              <w:rPr>
                <w:b/>
                <w:lang w:val="pl-PL"/>
              </w:rPr>
              <w:t>.0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6D2D056" w14:textId="77777777" w:rsidR="00B860A6" w:rsidRPr="00AC7BF8" w:rsidRDefault="00B860A6">
            <w:pPr>
              <w:pStyle w:val="TableText"/>
              <w:spacing w:line="254" w:lineRule="auto"/>
              <w:jc w:val="center"/>
              <w:rPr>
                <w:lang w:val="pl-PL"/>
              </w:rPr>
            </w:pPr>
          </w:p>
        </w:tc>
      </w:tr>
    </w:tbl>
    <w:p w14:paraId="11F7CE0D" w14:textId="77777777" w:rsidR="00B860A6" w:rsidRPr="002E2D6B" w:rsidRDefault="00B860A6" w:rsidP="00B860A6">
      <w:pPr>
        <w:widowControl w:val="0"/>
        <w:numPr>
          <w:ilvl w:val="0"/>
          <w:numId w:val="16"/>
        </w:numPr>
        <w:shd w:val="clear" w:color="auto" w:fill="FFFFFF"/>
        <w:suppressAutoHyphens/>
        <w:jc w:val="both"/>
        <w:textAlignment w:val="baseline"/>
      </w:pPr>
    </w:p>
    <w:p w14:paraId="6AA87082" w14:textId="77777777" w:rsidR="00B860A6" w:rsidRPr="00AE7338" w:rsidRDefault="00B860A6" w:rsidP="00AE7338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</w:p>
    <w:sectPr w:rsidR="00B860A6" w:rsidRPr="00AE7338" w:rsidSect="008857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38" w:right="1106" w:bottom="1079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0227D2" w14:textId="77777777" w:rsidR="00E24328" w:rsidRDefault="00E24328">
      <w:r>
        <w:separator/>
      </w:r>
    </w:p>
  </w:endnote>
  <w:endnote w:type="continuationSeparator" w:id="0">
    <w:p w14:paraId="6DB0AE36" w14:textId="77777777" w:rsidR="00E24328" w:rsidRDefault="00E24328">
      <w:r>
        <w:continuationSeparator/>
      </w:r>
    </w:p>
  </w:endnote>
  <w:endnote w:type="continuationNotice" w:id="1">
    <w:p w14:paraId="7146B2E2" w14:textId="77777777" w:rsidR="00E24328" w:rsidRDefault="00E243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6E41E2" w14:textId="77777777" w:rsidR="00183508" w:rsidRDefault="00183508" w:rsidP="009B7A6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E2632E" w14:textId="77777777" w:rsidR="00183508" w:rsidRDefault="00183508" w:rsidP="001835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0C252" w14:textId="77777777" w:rsidR="00183508" w:rsidRDefault="00183508" w:rsidP="009B7A6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26F1D">
      <w:rPr>
        <w:rStyle w:val="PageNumber"/>
        <w:noProof/>
      </w:rPr>
      <w:t>1</w:t>
    </w:r>
    <w:r>
      <w:rPr>
        <w:rStyle w:val="PageNumber"/>
      </w:rPr>
      <w:fldChar w:fldCharType="end"/>
    </w:r>
  </w:p>
  <w:p w14:paraId="223BB2D6" w14:textId="77777777" w:rsidR="00183508" w:rsidRPr="0080129A" w:rsidRDefault="00183508" w:rsidP="001A00D6">
    <w:pPr>
      <w:pStyle w:val="Footer"/>
      <w:ind w:right="360"/>
      <w:jc w:val="center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B7EF8" w14:textId="77777777" w:rsidR="000B0C00" w:rsidRDefault="000B0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9D3521" w14:textId="77777777" w:rsidR="00E24328" w:rsidRDefault="00E24328">
      <w:r>
        <w:separator/>
      </w:r>
    </w:p>
  </w:footnote>
  <w:footnote w:type="continuationSeparator" w:id="0">
    <w:p w14:paraId="6BE88EBF" w14:textId="77777777" w:rsidR="00E24328" w:rsidRDefault="00E24328">
      <w:r>
        <w:continuationSeparator/>
      </w:r>
    </w:p>
  </w:footnote>
  <w:footnote w:type="continuationNotice" w:id="1">
    <w:p w14:paraId="0332B4A4" w14:textId="77777777" w:rsidR="00E24328" w:rsidRDefault="00E243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6804A6" w14:textId="6E513767" w:rsidR="000B0C00" w:rsidRDefault="00E24328">
    <w:pPr>
      <w:pStyle w:val="Header"/>
    </w:pPr>
    <w:r>
      <w:rPr>
        <w:noProof/>
      </w:rPr>
      <w:pict w14:anchorId="2D205B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4" o:spid="_x0000_s1027" type="#_x0000_t75" alt="" style="position:absolute;margin-left:0;margin-top:0;width:454.65pt;height:442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rzut ekranu 2023-05-23 o 1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D79511" w14:textId="56210A5A" w:rsidR="00332516" w:rsidRPr="00AE7338" w:rsidRDefault="00E24328" w:rsidP="00183508">
    <w:pPr>
      <w:pStyle w:val="BodyText"/>
      <w:pBdr>
        <w:bottom w:val="single" w:sz="4" w:space="1" w:color="auto"/>
      </w:pBdr>
      <w:spacing w:line="240" w:lineRule="auto"/>
      <w:jc w:val="center"/>
      <w:rPr>
        <w:rFonts w:ascii="Cambria" w:hAnsi="Cambria"/>
        <w:sz w:val="20"/>
      </w:rPr>
    </w:pPr>
    <w:r>
      <w:rPr>
        <w:rFonts w:ascii="Cambria" w:hAnsi="Cambria"/>
        <w:noProof/>
        <w:sz w:val="20"/>
      </w:rPr>
      <w:pict w14:anchorId="10558E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5" o:spid="_x0000_s1026" type="#_x0000_t75" alt="" style="position:absolute;left:0;text-align:left;margin-left:0;margin-top:0;width:454.65pt;height:442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rzut ekranu 2023-05-23 o 18" gain="19661f" blacklevel="22938f"/>
          <w10:wrap anchorx="margin" anchory="margin"/>
        </v:shape>
      </w:pict>
    </w:r>
    <w:r w:rsidR="00C4381E" w:rsidRPr="00AE7338">
      <w:rPr>
        <w:rFonts w:ascii="Cambria" w:hAnsi="Cambria"/>
        <w:sz w:val="20"/>
      </w:rPr>
      <w:t>Akademia im. Jakuba z Paradyża w Gorzowie Wlkp.</w:t>
    </w:r>
  </w:p>
  <w:p w14:paraId="3F7E7CD3" w14:textId="77777777" w:rsidR="00C4381E" w:rsidRPr="00AE7338" w:rsidRDefault="00C4381E" w:rsidP="00183508">
    <w:pPr>
      <w:pStyle w:val="BodyText"/>
      <w:pBdr>
        <w:bottom w:val="single" w:sz="4" w:space="1" w:color="auto"/>
      </w:pBdr>
      <w:spacing w:line="240" w:lineRule="auto"/>
      <w:jc w:val="center"/>
      <w:rPr>
        <w:rFonts w:ascii="Cambria" w:hAnsi="Cambria"/>
        <w:sz w:val="20"/>
      </w:rPr>
    </w:pPr>
    <w:r w:rsidRPr="00AE7338">
      <w:rPr>
        <w:rFonts w:ascii="Cambria" w:hAnsi="Cambria"/>
        <w:sz w:val="20"/>
      </w:rPr>
      <w:t>Wydział Techniczny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11A5C" w14:textId="2F529950" w:rsidR="000B0C00" w:rsidRDefault="00E24328">
    <w:pPr>
      <w:pStyle w:val="Header"/>
    </w:pPr>
    <w:r>
      <w:rPr>
        <w:noProof/>
      </w:rPr>
      <w:pict w14:anchorId="078582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3" o:spid="_x0000_s1025" type="#_x0000_t75" alt="" style="position:absolute;margin-left:0;margin-top:0;width:454.65pt;height:442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rzut ekranu 2023-05-23 o 1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A1526"/>
    <w:multiLevelType w:val="hybridMultilevel"/>
    <w:tmpl w:val="C6BCD806"/>
    <w:lvl w:ilvl="0" w:tplc="1D3CF9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946EFC"/>
    <w:multiLevelType w:val="hybridMultilevel"/>
    <w:tmpl w:val="0804E2E4"/>
    <w:lvl w:ilvl="0" w:tplc="04150005">
      <w:start w:val="1"/>
      <w:numFmt w:val="bullet"/>
      <w:lvlText w:val=""/>
      <w:lvlJc w:val="left"/>
      <w:pPr>
        <w:tabs>
          <w:tab w:val="num" w:pos="1321"/>
        </w:tabs>
        <w:ind w:left="1321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041"/>
        </w:tabs>
        <w:ind w:left="204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61"/>
        </w:tabs>
        <w:ind w:left="276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81"/>
        </w:tabs>
        <w:ind w:left="348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01"/>
        </w:tabs>
        <w:ind w:left="420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21"/>
        </w:tabs>
        <w:ind w:left="492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641"/>
        </w:tabs>
        <w:ind w:left="564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61"/>
        </w:tabs>
        <w:ind w:left="636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81"/>
        </w:tabs>
        <w:ind w:left="7081" w:hanging="360"/>
      </w:pPr>
      <w:rPr>
        <w:rFonts w:ascii="Wingdings" w:hAnsi="Wingdings" w:hint="default"/>
      </w:rPr>
    </w:lvl>
  </w:abstractNum>
  <w:abstractNum w:abstractNumId="2" w15:restartNumberingAfterBreak="0">
    <w:nsid w:val="04CA78D3"/>
    <w:multiLevelType w:val="multilevel"/>
    <w:tmpl w:val="0415001D"/>
    <w:numStyleLink w:val="Wielkielitery"/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3B2543E"/>
    <w:multiLevelType w:val="hybridMultilevel"/>
    <w:tmpl w:val="2916B712"/>
    <w:lvl w:ilvl="0" w:tplc="0415000F">
      <w:start w:val="1"/>
      <w:numFmt w:val="decimal"/>
      <w:lvlText w:val="%1."/>
      <w:lvlJc w:val="left"/>
      <w:pPr>
        <w:tabs>
          <w:tab w:val="num" w:pos="1321"/>
        </w:tabs>
        <w:ind w:left="1321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041"/>
        </w:tabs>
        <w:ind w:left="2041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761"/>
        </w:tabs>
        <w:ind w:left="2761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81"/>
        </w:tabs>
        <w:ind w:left="3481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01"/>
        </w:tabs>
        <w:ind w:left="4201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21"/>
        </w:tabs>
        <w:ind w:left="4921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41"/>
        </w:tabs>
        <w:ind w:left="5641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61"/>
        </w:tabs>
        <w:ind w:left="6361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81"/>
        </w:tabs>
        <w:ind w:left="7081" w:hanging="180"/>
      </w:pPr>
    </w:lvl>
  </w:abstractNum>
  <w:abstractNum w:abstractNumId="5" w15:restartNumberingAfterBreak="0">
    <w:nsid w:val="14E70391"/>
    <w:multiLevelType w:val="singleLevel"/>
    <w:tmpl w:val="0415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4174FD9"/>
    <w:multiLevelType w:val="multilevel"/>
    <w:tmpl w:val="0415001D"/>
    <w:styleLink w:val="Styl1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94563AB"/>
    <w:multiLevelType w:val="hybridMultilevel"/>
    <w:tmpl w:val="055AB89E"/>
    <w:lvl w:ilvl="0" w:tplc="0415000F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</w:lvl>
    <w:lvl w:ilvl="1" w:tplc="0415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8" w15:restartNumberingAfterBreak="0">
    <w:nsid w:val="35343964"/>
    <w:multiLevelType w:val="multilevel"/>
    <w:tmpl w:val="DF3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13719"/>
    <w:multiLevelType w:val="singleLevel"/>
    <w:tmpl w:val="0415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BCC1A1F"/>
    <w:multiLevelType w:val="multilevel"/>
    <w:tmpl w:val="7EA40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2611513"/>
    <w:multiLevelType w:val="hybridMultilevel"/>
    <w:tmpl w:val="EA36BC78"/>
    <w:lvl w:ilvl="0" w:tplc="7CA41C0E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1" w:tplc="F646881E">
      <w:start w:val="1"/>
      <w:numFmt w:val="upperLetter"/>
      <w:lvlText w:val="%2."/>
      <w:lvlJc w:val="left"/>
      <w:pPr>
        <w:tabs>
          <w:tab w:val="num" w:pos="1880"/>
        </w:tabs>
        <w:ind w:left="1880" w:hanging="360"/>
      </w:pPr>
      <w:rPr>
        <w:rFonts w:ascii="Times New Roman" w:eastAsia="Times New Roman" w:hAnsi="Times New Roman" w:cs="Times New Roman"/>
      </w:rPr>
    </w:lvl>
    <w:lvl w:ilvl="2" w:tplc="DD8CECC0">
      <w:start w:val="1"/>
      <w:numFmt w:val="bullet"/>
      <w:lvlText w:val=""/>
      <w:lvlJc w:val="left"/>
      <w:pPr>
        <w:tabs>
          <w:tab w:val="num" w:pos="2780"/>
        </w:tabs>
        <w:ind w:left="2780" w:hanging="360"/>
      </w:pPr>
      <w:rPr>
        <w:rFonts w:ascii="Symbol" w:hAnsi="Symbol" w:hint="default"/>
        <w:color w:val="auto"/>
      </w:rPr>
    </w:lvl>
    <w:lvl w:ilvl="3" w:tplc="1C60EAA4">
      <w:start w:val="1"/>
      <w:numFmt w:val="upperLetter"/>
      <w:lvlText w:val="%4."/>
      <w:lvlJc w:val="left"/>
      <w:pPr>
        <w:tabs>
          <w:tab w:val="num" w:pos="3320"/>
        </w:tabs>
        <w:ind w:left="332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4040"/>
        </w:tabs>
        <w:ind w:left="40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760"/>
        </w:tabs>
        <w:ind w:left="47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200"/>
        </w:tabs>
        <w:ind w:left="62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920"/>
        </w:tabs>
        <w:ind w:left="6920" w:hanging="180"/>
      </w:pPr>
    </w:lvl>
  </w:abstractNum>
  <w:abstractNum w:abstractNumId="12" w15:restartNumberingAfterBreak="0">
    <w:nsid w:val="56721E73"/>
    <w:multiLevelType w:val="multilevel"/>
    <w:tmpl w:val="0415001D"/>
    <w:styleLink w:val="Wielkielitery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8C76C2B"/>
    <w:multiLevelType w:val="hybridMultilevel"/>
    <w:tmpl w:val="168670E4"/>
    <w:lvl w:ilvl="0" w:tplc="0415000F">
      <w:start w:val="1"/>
      <w:numFmt w:val="decimal"/>
      <w:pStyle w:val="LabSection"/>
      <w:lvlText w:val="%1."/>
      <w:lvlJc w:val="left"/>
      <w:pPr>
        <w:ind w:left="643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69204D9B"/>
    <w:multiLevelType w:val="hybridMultilevel"/>
    <w:tmpl w:val="070E20F6"/>
    <w:lvl w:ilvl="0" w:tplc="9E326D6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B3199F7"/>
    <w:multiLevelType w:val="hybridMultilevel"/>
    <w:tmpl w:val="1950BCA1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2E914A0"/>
    <w:multiLevelType w:val="hybridMultilevel"/>
    <w:tmpl w:val="C728F940"/>
    <w:lvl w:ilvl="0" w:tplc="0415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num w:numId="1" w16cid:durableId="894703012">
    <w:abstractNumId w:val="9"/>
  </w:num>
  <w:num w:numId="2" w16cid:durableId="1878815390">
    <w:abstractNumId w:val="5"/>
  </w:num>
  <w:num w:numId="3" w16cid:durableId="1582105234">
    <w:abstractNumId w:val="11"/>
  </w:num>
  <w:num w:numId="4" w16cid:durableId="1287541795">
    <w:abstractNumId w:val="16"/>
  </w:num>
  <w:num w:numId="5" w16cid:durableId="435054645">
    <w:abstractNumId w:val="7"/>
  </w:num>
  <w:num w:numId="6" w16cid:durableId="49965694">
    <w:abstractNumId w:val="15"/>
  </w:num>
  <w:num w:numId="7" w16cid:durableId="1134175565">
    <w:abstractNumId w:val="12"/>
  </w:num>
  <w:num w:numId="8" w16cid:durableId="1138303985">
    <w:abstractNumId w:val="6"/>
  </w:num>
  <w:num w:numId="9" w16cid:durableId="2071534313">
    <w:abstractNumId w:val="2"/>
  </w:num>
  <w:num w:numId="10" w16cid:durableId="71702245">
    <w:abstractNumId w:val="0"/>
  </w:num>
  <w:num w:numId="11" w16cid:durableId="1904290129">
    <w:abstractNumId w:val="14"/>
  </w:num>
  <w:num w:numId="12" w16cid:durableId="910458136">
    <w:abstractNumId w:val="4"/>
  </w:num>
  <w:num w:numId="13" w16cid:durableId="1580016032">
    <w:abstractNumId w:val="8"/>
  </w:num>
  <w:num w:numId="14" w16cid:durableId="792551667">
    <w:abstractNumId w:val="1"/>
  </w:num>
  <w:num w:numId="15" w16cid:durableId="466051594">
    <w:abstractNumId w:val="13"/>
  </w:num>
  <w:num w:numId="16" w16cid:durableId="1458641839">
    <w:abstractNumId w:val="10"/>
  </w:num>
  <w:num w:numId="17" w16cid:durableId="816841723">
    <w:abstractNumId w:val="3"/>
  </w:num>
  <w:num w:numId="18" w16cid:durableId="18988572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60"/>
    <w:rsid w:val="00001C31"/>
    <w:rsid w:val="00035AA0"/>
    <w:rsid w:val="0007690B"/>
    <w:rsid w:val="000B0C00"/>
    <w:rsid w:val="000E6D07"/>
    <w:rsid w:val="00141AE9"/>
    <w:rsid w:val="0018230E"/>
    <w:rsid w:val="00183508"/>
    <w:rsid w:val="001A00D6"/>
    <w:rsid w:val="001A0D5A"/>
    <w:rsid w:val="001D2605"/>
    <w:rsid w:val="00226D41"/>
    <w:rsid w:val="002D3A80"/>
    <w:rsid w:val="002D66C4"/>
    <w:rsid w:val="00301BD6"/>
    <w:rsid w:val="00311421"/>
    <w:rsid w:val="0032284D"/>
    <w:rsid w:val="00332516"/>
    <w:rsid w:val="00372D65"/>
    <w:rsid w:val="003730EE"/>
    <w:rsid w:val="003761F3"/>
    <w:rsid w:val="003A49FB"/>
    <w:rsid w:val="003B6029"/>
    <w:rsid w:val="003F7ACB"/>
    <w:rsid w:val="00410219"/>
    <w:rsid w:val="0043576A"/>
    <w:rsid w:val="00440364"/>
    <w:rsid w:val="00440F0D"/>
    <w:rsid w:val="00460686"/>
    <w:rsid w:val="0046231C"/>
    <w:rsid w:val="00470758"/>
    <w:rsid w:val="00476CE3"/>
    <w:rsid w:val="00493B35"/>
    <w:rsid w:val="004A173E"/>
    <w:rsid w:val="004B1C15"/>
    <w:rsid w:val="004B27B0"/>
    <w:rsid w:val="004D0738"/>
    <w:rsid w:val="004F0947"/>
    <w:rsid w:val="004F53BB"/>
    <w:rsid w:val="00591C81"/>
    <w:rsid w:val="006014F5"/>
    <w:rsid w:val="00604F77"/>
    <w:rsid w:val="00685C7D"/>
    <w:rsid w:val="006C1A34"/>
    <w:rsid w:val="006E6732"/>
    <w:rsid w:val="006F34A6"/>
    <w:rsid w:val="007019ED"/>
    <w:rsid w:val="007121CF"/>
    <w:rsid w:val="00726F1D"/>
    <w:rsid w:val="007436FC"/>
    <w:rsid w:val="00746623"/>
    <w:rsid w:val="00752C4C"/>
    <w:rsid w:val="00767CDA"/>
    <w:rsid w:val="00787BB5"/>
    <w:rsid w:val="007D66A1"/>
    <w:rsid w:val="0080129A"/>
    <w:rsid w:val="0081515F"/>
    <w:rsid w:val="00824B60"/>
    <w:rsid w:val="008325C7"/>
    <w:rsid w:val="0083661D"/>
    <w:rsid w:val="0088578B"/>
    <w:rsid w:val="00902FAF"/>
    <w:rsid w:val="00912A22"/>
    <w:rsid w:val="00917884"/>
    <w:rsid w:val="00992B11"/>
    <w:rsid w:val="00995CE0"/>
    <w:rsid w:val="009A63B6"/>
    <w:rsid w:val="009B5838"/>
    <w:rsid w:val="009B7A66"/>
    <w:rsid w:val="009E72A5"/>
    <w:rsid w:val="00A000BE"/>
    <w:rsid w:val="00A058B5"/>
    <w:rsid w:val="00A571E6"/>
    <w:rsid w:val="00A75CD0"/>
    <w:rsid w:val="00A81AEF"/>
    <w:rsid w:val="00A92074"/>
    <w:rsid w:val="00AA669D"/>
    <w:rsid w:val="00AE7338"/>
    <w:rsid w:val="00B15916"/>
    <w:rsid w:val="00B36ABC"/>
    <w:rsid w:val="00B37E1D"/>
    <w:rsid w:val="00B4399E"/>
    <w:rsid w:val="00B71597"/>
    <w:rsid w:val="00B806D6"/>
    <w:rsid w:val="00B860A6"/>
    <w:rsid w:val="00BC7F5D"/>
    <w:rsid w:val="00BF0F5A"/>
    <w:rsid w:val="00BF4B24"/>
    <w:rsid w:val="00C22CED"/>
    <w:rsid w:val="00C32608"/>
    <w:rsid w:val="00C4381E"/>
    <w:rsid w:val="00C51342"/>
    <w:rsid w:val="00CA39A8"/>
    <w:rsid w:val="00D16342"/>
    <w:rsid w:val="00D3720A"/>
    <w:rsid w:val="00D523E2"/>
    <w:rsid w:val="00D612FC"/>
    <w:rsid w:val="00D657F3"/>
    <w:rsid w:val="00D70655"/>
    <w:rsid w:val="00D913D0"/>
    <w:rsid w:val="00D92D40"/>
    <w:rsid w:val="00D97702"/>
    <w:rsid w:val="00DB2B32"/>
    <w:rsid w:val="00DD01A3"/>
    <w:rsid w:val="00DD3F40"/>
    <w:rsid w:val="00DF21C1"/>
    <w:rsid w:val="00E00048"/>
    <w:rsid w:val="00E16AEF"/>
    <w:rsid w:val="00E24328"/>
    <w:rsid w:val="00E31CCC"/>
    <w:rsid w:val="00E87279"/>
    <w:rsid w:val="00F138D3"/>
    <w:rsid w:val="00F37607"/>
    <w:rsid w:val="00F378CE"/>
    <w:rsid w:val="00F4195D"/>
    <w:rsid w:val="00FB3145"/>
    <w:rsid w:val="00FC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FD9DB90"/>
  <w15:chartTrackingRefBased/>
  <w15:docId w15:val="{20CF0E25-289D-4F40-87BA-0C8A3159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4B60"/>
    <w:rPr>
      <w:lang w:eastAsia="en-US"/>
    </w:rPr>
  </w:style>
  <w:style w:type="paragraph" w:styleId="Heading2">
    <w:name w:val="heading 2"/>
    <w:basedOn w:val="Normal"/>
    <w:next w:val="Normal"/>
    <w:qFormat/>
    <w:rsid w:val="00824B60"/>
    <w:pPr>
      <w:keepNext/>
      <w:spacing w:before="240" w:after="60"/>
      <w:outlineLvl w:val="1"/>
    </w:pPr>
    <w:rPr>
      <w:b/>
      <w:sz w:val="28"/>
      <w:lang w:eastAsia="pl-PL"/>
    </w:rPr>
  </w:style>
  <w:style w:type="paragraph" w:styleId="Heading3">
    <w:name w:val="heading 3"/>
    <w:basedOn w:val="Normal"/>
    <w:next w:val="Normal"/>
    <w:qFormat/>
    <w:rsid w:val="00824B60"/>
    <w:pPr>
      <w:keepNext/>
      <w:spacing w:before="240" w:after="60"/>
      <w:outlineLvl w:val="2"/>
    </w:pPr>
    <w:rPr>
      <w:b/>
      <w:sz w:val="24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24B60"/>
    <w:pPr>
      <w:spacing w:line="360" w:lineRule="auto"/>
      <w:jc w:val="both"/>
    </w:pPr>
    <w:rPr>
      <w:sz w:val="24"/>
    </w:rPr>
  </w:style>
  <w:style w:type="table" w:styleId="TableGrid">
    <w:name w:val="Table Grid"/>
    <w:basedOn w:val="TableNormal"/>
    <w:rsid w:val="00001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8350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83508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183508"/>
  </w:style>
  <w:style w:type="paragraph" w:customStyle="1" w:styleId="Default">
    <w:name w:val="Default"/>
    <w:rsid w:val="00E8727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numbering" w:customStyle="1" w:styleId="Wielkielitery">
    <w:name w:val="Wielkielitery"/>
    <w:rsid w:val="00F138D3"/>
    <w:pPr>
      <w:numPr>
        <w:numId w:val="7"/>
      </w:numPr>
    </w:pPr>
  </w:style>
  <w:style w:type="numbering" w:customStyle="1" w:styleId="Styl1">
    <w:name w:val="Styl1"/>
    <w:basedOn w:val="NoList"/>
    <w:rsid w:val="00F138D3"/>
    <w:pPr>
      <w:numPr>
        <w:numId w:val="8"/>
      </w:numPr>
    </w:pPr>
  </w:style>
  <w:style w:type="paragraph" w:styleId="PlainText">
    <w:name w:val="Plain Text"/>
    <w:basedOn w:val="Normal"/>
    <w:rsid w:val="004B27B0"/>
    <w:rPr>
      <w:rFonts w:ascii="Courier New" w:hAnsi="Courier New"/>
      <w:lang w:eastAsia="pl-PL"/>
    </w:rPr>
  </w:style>
  <w:style w:type="character" w:styleId="Hyperlink">
    <w:name w:val="Hyperlink"/>
    <w:rsid w:val="008325C7"/>
    <w:rPr>
      <w:color w:val="0000FF"/>
      <w:u w:val="single"/>
    </w:rPr>
  </w:style>
  <w:style w:type="paragraph" w:styleId="NormalWeb">
    <w:name w:val="Normal (Web)"/>
    <w:basedOn w:val="Normal"/>
    <w:rsid w:val="00BF0F5A"/>
    <w:pPr>
      <w:spacing w:before="100" w:beforeAutospacing="1" w:after="100" w:afterAutospacing="1"/>
    </w:pPr>
    <w:rPr>
      <w:rFonts w:ascii="Arial" w:hAnsi="Arial" w:cs="Arial"/>
      <w:color w:val="000000"/>
      <w:sz w:val="16"/>
      <w:szCs w:val="16"/>
      <w:lang w:eastAsia="pl-PL"/>
    </w:rPr>
  </w:style>
  <w:style w:type="paragraph" w:customStyle="1" w:styleId="LabSection">
    <w:name w:val="Lab Section"/>
    <w:basedOn w:val="Normal"/>
    <w:next w:val="Normal"/>
    <w:qFormat/>
    <w:rsid w:val="00B860A6"/>
    <w:pPr>
      <w:keepNext/>
      <w:numPr>
        <w:numId w:val="15"/>
      </w:numPr>
      <w:shd w:val="clear" w:color="auto" w:fill="FFFFFF"/>
      <w:spacing w:before="240" w:after="120"/>
    </w:pPr>
    <w:rPr>
      <w:rFonts w:ascii="Arial" w:hAnsi="Arial"/>
      <w:b/>
      <w:bCs/>
      <w:iCs/>
      <w:sz w:val="24"/>
      <w:szCs w:val="22"/>
      <w:lang w:val="en-US"/>
    </w:rPr>
  </w:style>
  <w:style w:type="paragraph" w:customStyle="1" w:styleId="TableText">
    <w:name w:val="Table Text"/>
    <w:basedOn w:val="Normal"/>
    <w:qFormat/>
    <w:rsid w:val="00B860A6"/>
    <w:pPr>
      <w:keepNext/>
      <w:shd w:val="clear" w:color="auto" w:fill="FFFFFF"/>
      <w:spacing w:before="60" w:after="60"/>
    </w:pPr>
    <w:rPr>
      <w:rFonts w:ascii="Arial" w:eastAsia="Calibri" w:hAnsi="Arial"/>
      <w:kern w:val="2"/>
      <w:lang w:val="en-US" w:eastAsia="ja-JP" w:bidi="fa-IR"/>
    </w:rPr>
  </w:style>
  <w:style w:type="paragraph" w:customStyle="1" w:styleId="TableHeading">
    <w:name w:val="Table Heading"/>
    <w:basedOn w:val="Normal"/>
    <w:qFormat/>
    <w:rsid w:val="00B860A6"/>
    <w:pPr>
      <w:keepNext/>
      <w:shd w:val="clear" w:color="auto" w:fill="FFFFFF"/>
      <w:spacing w:before="120" w:after="120" w:line="276" w:lineRule="auto"/>
      <w:jc w:val="center"/>
    </w:pPr>
    <w:rPr>
      <w:rFonts w:ascii="Arial" w:eastAsia="Calibri" w:hAnsi="Arial"/>
      <w:b/>
      <w:szCs w:val="22"/>
      <w:lang w:val="en-US"/>
    </w:rPr>
  </w:style>
  <w:style w:type="numbering" w:customStyle="1" w:styleId="SectionList">
    <w:name w:val="Section_List"/>
    <w:uiPriority w:val="99"/>
    <w:qFormat/>
    <w:rsid w:val="00B860A6"/>
    <w:pPr>
      <w:numPr>
        <w:numId w:val="17"/>
      </w:numPr>
    </w:pPr>
  </w:style>
  <w:style w:type="paragraph" w:customStyle="1" w:styleId="p1">
    <w:name w:val="p1"/>
    <w:basedOn w:val="Normal"/>
    <w:rsid w:val="003730EE"/>
    <w:rPr>
      <w:rFonts w:ascii="Helvetica" w:hAnsi="Helvetica"/>
      <w:color w:val="000000"/>
      <w:sz w:val="26"/>
      <w:szCs w:val="26"/>
      <w:lang w:val="en-PL" w:eastAsia="en-GB"/>
    </w:rPr>
  </w:style>
  <w:style w:type="character" w:customStyle="1" w:styleId="apple-converted-space">
    <w:name w:val="apple-converted-space"/>
    <w:basedOn w:val="DefaultParagraphFont"/>
    <w:rsid w:val="004F0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Lab1001" Type="http://schemas.openxmlformats.org/officeDocument/2006/relationships/image" Target="media/lab1_01_repo.png"/><Relationship Id="rIdLab1002" Type="http://schemas.openxmlformats.org/officeDocument/2006/relationships/image" Target="media/lab1_02_venv.png"/><Relationship Id="rIdLab1003" Type="http://schemas.openxmlformats.org/officeDocument/2006/relationships/image" Target="media/lab1_03_aktywacja.png"/><Relationship Id="rIdLab1004" Type="http://schemas.openxmlformats.org/officeDocument/2006/relationships/image" Target="media/lab1_13_sklep_lab2.png"/><Relationship Id="rIdLab1005" Type="http://schemas.openxmlformats.org/officeDocument/2006/relationships/image" Target="media/lab1_19_git_status.png"/><Relationship Id="rIdLab1006" Type="http://schemas.openxmlformats.org/officeDocument/2006/relationships/image" Target="media/lab1_04_oscar_apps.png"/><Relationship Id="rIdLab1007" Type="http://schemas.openxmlformats.org/officeDocument/2006/relationships/image" Target="media/lab1_05_analiza_modulow.png"/><Relationship Id="rIdLab1008" Type="http://schemas.openxmlformats.org/officeDocument/2006/relationships/image" Target="media/lab1_06_wspolna_baza.png"/><Relationship Id="rIdLab1009" Type="http://schemas.openxmlformats.org/officeDocument/2006/relationships/image" Target="media/lab1_07_kod_checkout_place_order.png"/><Relationship Id="rIdLab1010" Type="http://schemas.openxmlformats.org/officeDocument/2006/relationships/image" Target="media/lab1_08_kod_order_allocate.png"/><Relationship Id="rIdLab1011" Type="http://schemas.openxmlformats.org/officeDocument/2006/relationships/image" Target="media/lab1_09_kod_inventory_views.png"/><Relationship Id="rIdLab1012" Type="http://schemas.openxmlformats.org/officeDocument/2006/relationships/image" Target="media/lab1_10_kod_inventory_model.png"/><Relationship Id="rIdLab1013" Type="http://schemas.openxmlformats.org/officeDocument/2006/relationships/image" Target="media/lab1_11_kod_urls.png"/><Relationship Id="rIdLab1014" Type="http://schemas.openxmlformats.org/officeDocument/2006/relationships/image" Target="media/lab1_12_migracja_inventory.png"/><Relationship Id="rIdLab1015" Type="http://schemas.openxmlformats.org/officeDocument/2006/relationships/image" Target="media/lab1_14_api_rezerwacja_udana.png"/><Relationship Id="rIdLab1016" Type="http://schemas.openxmlformats.org/officeDocument/2006/relationships/image" Target="media/lab1_15_api_brak_stanu.png"/><Relationship Id="rIdLab1017" Type="http://schemas.openxmlformats.org/officeDocument/2006/relationships/image" Target="media/lab1_16_kod_checkout_payment.png"/><Relationship Id="rIdLab1018" Type="http://schemas.openxmlformats.org/officeDocument/2006/relationships/image" Target="media/lab1_17_symulacja_platnosci.png"/><Relationship Id="rIdLab1019" Type="http://schemas.openxmlformats.org/officeDocument/2006/relationships/image" Target="media/lab1_18_diagram_architektury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5F01B0A6E3547B1A0A510AF0C7D83" ma:contentTypeVersion="4" ma:contentTypeDescription="Create a new document." ma:contentTypeScope="" ma:versionID="c2aaf4dda351c9c231f8672ad1c399d8">
  <xsd:schema xmlns:xsd="http://www.w3.org/2001/XMLSchema" xmlns:xs="http://www.w3.org/2001/XMLSchema" xmlns:p="http://schemas.microsoft.com/office/2006/metadata/properties" xmlns:ns2="ec01bd19-d40e-4fca-8845-77fe086569b6" targetNamespace="http://schemas.microsoft.com/office/2006/metadata/properties" ma:root="true" ma:fieldsID="9cb241df8ad8cf6df959a2cd47ed0f54" ns2:_="">
    <xsd:import namespace="ec01bd19-d40e-4fca-8845-77fe086569b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1bd19-d40e-4fca-8845-77fe086569b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01bd19-d40e-4fca-8845-77fe086569b6" xsi:nil="true"/>
  </documentManagement>
</p:properties>
</file>

<file path=customXml/itemProps1.xml><?xml version="1.0" encoding="utf-8"?>
<ds:datastoreItem xmlns:ds="http://schemas.openxmlformats.org/officeDocument/2006/customXml" ds:itemID="{1DC20316-4A22-C24B-B3B1-54B7A6C9AD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86D58B-3958-4EBA-89CC-E3F5058B529B}"/>
</file>

<file path=customXml/itemProps3.xml><?xml version="1.0" encoding="utf-8"?>
<ds:datastoreItem xmlns:ds="http://schemas.openxmlformats.org/officeDocument/2006/customXml" ds:itemID="{CC0E8A05-8298-4951-83FD-F8311C971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F8EA41-2394-43D6-BD33-1B71850BA3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Wyższa Informatyczna Szkoła Zawodowa w Gorzowie Wlkp</vt:lpstr>
    </vt:vector>
  </TitlesOfParts>
  <Company>WISZ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Wyższa Informatyczna Szkoła Zawodowa w Gorzowie Wlkp</dc:title>
  <dc:subject/>
  <dc:creator>WISZ</dc:creator>
  <cp:keywords/>
  <dc:description/>
  <cp:lastModifiedBy>Ewa Adamus</cp:lastModifiedBy>
  <cp:revision>5</cp:revision>
  <cp:lastPrinted>2007-07-02T13:54:00Z</cp:lastPrinted>
  <dcterms:created xsi:type="dcterms:W3CDTF">2026-10-17T09:02:00Z</dcterms:created>
  <dcterms:modified xsi:type="dcterms:W3CDTF">2026-10-17T09:10:00Z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0x010100F325F01B0A6E3547B1A0A510AF0C7D83</vt:lpwstr>
  </property>
</Properties>
</file>