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sz w:val="48"/>
        </w:rPr>
        <w:t>Test lateralizacji</w:t>
      </w:r>
    </w:p>
    <w:p>
      <w:pPr>
        <w:jc w:val="center"/>
      </w:pPr>
      <w:r>
        <w:rPr>
          <w:rFonts w:ascii="Segoe UI" w:hAnsi="Segoe UI"/>
          <w:sz w:val="28"/>
        </w:rPr>
        <w:t>Instrukcja użytkownika i wdrożenia (v1.2026)</w:t>
      </w:r>
    </w:p>
    <w:p>
      <w:pPr>
        <w:jc w:val="center"/>
      </w:pPr>
      <w:r>
        <w:rPr>
          <w:rFonts w:ascii="Segoe UI" w:hAnsi="Segoe UI"/>
          <w:sz w:val="22"/>
        </w:rPr>
        <w:t>Dokument zawiera opis uruchomienia programu, obsługi interfejsu, przebiegu badania i zapisu wyników.</w:t>
      </w:r>
    </w:p>
    <w:p/>
    <w:p>
      <w:pPr>
        <w:jc w:val="center"/>
      </w:pPr>
      <w:r>
        <w:rPr>
          <w:rFonts w:ascii="Segoe UI" w:hAnsi="Segoe UI"/>
          <w:i/>
          <w:sz w:val="21"/>
        </w:rPr>
        <w:t>Miejsca oznaczone jako „Wstaw zrzut ekranu” są przygotowane pod Twoje screeny.</w:t>
      </w:r>
    </w:p>
    <w:p>
      <w:pPr>
        <w:sectPr>
          <w:pgSz w:w="12240" w:h="15840"/>
          <w:pgMar w:top="1134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1. Do czego służy program</w:t>
      </w:r>
    </w:p>
    <w:p>
      <w:r>
        <w:t>Program służy do przeprowadzania testu lateralizacji w PsychoPy. Bodźce tekstowe pojawiają się jednocześnie po lewej i prawej stronie punktu fiksacji, uczestnik odpowiada klawiszami, a wyniki zapisują się automatycznie do pliku CSV po każdej próbie.</w:t>
      </w:r>
    </w:p>
    <w:p>
      <w:pPr>
        <w:pStyle w:val="ListBullet"/>
      </w:pPr>
      <w:r>
        <w:t>część treningową z informacją zwrotną,</w:t>
      </w:r>
    </w:p>
    <w:p>
      <w:pPr>
        <w:pStyle w:val="ListBullet"/>
      </w:pPr>
      <w:r>
        <w:t>część główną z 256 próbami,</w:t>
      </w:r>
    </w:p>
    <w:p>
      <w:pPr>
        <w:pStyle w:val="ListBullet"/>
      </w:pPr>
      <w:r>
        <w:t>przerwę po 128 próbach,</w:t>
      </w:r>
    </w:p>
    <w:p>
      <w:pPr>
        <w:pStyle w:val="ListBullet"/>
      </w:pPr>
      <w:r>
        <w:t>menu pauzy pod klawiszem Esc,</w:t>
      </w:r>
    </w:p>
    <w:p>
      <w:pPr>
        <w:pStyle w:val="ListBullet"/>
      </w:pPr>
      <w:r>
        <w:t>automatyczny zapis danych do CSV bez nadpisywania istniejących plików.</w:t>
      </w:r>
    </w:p>
    <w:p>
      <w:pPr>
        <w:pStyle w:val="Heading1"/>
      </w:pPr>
      <w:r>
        <w:t>2. Jak uruchomić program</w:t>
      </w:r>
    </w:p>
    <w:p>
      <w:r>
        <w:t>Wersja deweloperska uruchamia się z pliku BAT:</w:t>
      </w:r>
    </w:p>
    <w:p>
      <w:r>
        <w:t>.\start_test.bat</w:t>
      </w:r>
    </w:p>
    <w:p>
      <w:r>
        <w:t>W wersji instalacyjnej uruchamiasz program z ikony „Test lateralizacji” dodanej do menu Start lub pulpitu.</w:t>
      </w:r>
    </w:p>
    <w:p>
      <w:r>
        <w:t>Program nie wymaga ręcznej instalacji Pythona na komputerze docelowym, jeżeli korzystasz z przygotowanego instalatora Setup.</w:t>
      </w:r>
    </w:p>
    <w:p>
      <w:pPr>
        <w:pStyle w:val="Heading1"/>
      </w:pPr>
      <w:r>
        <w:t>3. Ekrany programu</w:t>
      </w:r>
    </w:p>
    <w:p>
      <w:r>
        <w:t>Program składa się z kilku ekranów użytkowych. Poniżej opisano ich przeznaczenie oraz miejsce na dokumentację wizualną.</w:t>
      </w:r>
    </w:p>
    <w:p>
      <w:pPr>
        <w:pStyle w:val="Heading2"/>
      </w:pPr>
      <w:r>
        <w:t>3.1. Menu główne</w:t>
      </w:r>
    </w:p>
    <w:p>
      <w:r>
        <w:t>Z menu głównego możesz rozpocząć nowy test, otworzyć konfigurację ekranu, sprawdzić klawiaturę oraz przejść do ekranu informacyjnego.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fill="DDEBFF"/>
          </w:tcPr>
          <w:p>
            <w:pPr>
              <w:jc w:val="center"/>
            </w:pPr>
            <w:r>
              <w:rPr>
                <w:rFonts w:ascii="Segoe UI" w:hAnsi="Segoe UI"/>
                <w:b/>
                <w:sz w:val="22"/>
              </w:rPr>
              <w:t>Wstaw zrzut ekranu: Menu główne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rPr>
                <w:rFonts w:ascii="Segoe UI" w:hAnsi="Segoe UI"/>
                <w:i/>
                <w:sz w:val="20"/>
              </w:rPr>
              <w:t>Wklej tutaj screen menu głównego z widocznymi głównymi przyciskami.</w:t>
            </w:r>
          </w:p>
        </w:tc>
      </w:tr>
    </w:tbl>
    <w:p/>
    <w:p>
      <w:pPr>
        <w:pStyle w:val="Heading2"/>
      </w:pPr>
      <w:r>
        <w:t>3.2. Konfiguracja nowego testu</w:t>
      </w:r>
    </w:p>
    <w:p>
      <w:r>
        <w:t>Na ekranie konfiguracji ustawiasz parametry badania:</w:t>
      </w:r>
    </w:p>
    <w:p>
      <w:pPr>
        <w:pStyle w:val="ListBullet"/>
      </w:pPr>
      <w:r>
        <w:t>ID uczestnika,</w:t>
      </w:r>
    </w:p>
    <w:p>
      <w:pPr>
        <w:pStyle w:val="ListBullet"/>
      </w:pPr>
      <w:r>
        <w:t>liczbę prób treningowych i głównych,</w:t>
      </w:r>
    </w:p>
    <w:p>
      <w:pPr>
        <w:pStyle w:val="ListBullet"/>
      </w:pPr>
      <w:r>
        <w:t>klawisz lewej i prawej odpowiedzi,</w:t>
      </w:r>
    </w:p>
    <w:p>
      <w:pPr>
        <w:pStyle w:val="ListBullet"/>
      </w:pPr>
      <w:r>
        <w:t>czasy: fiksacji, prezentacji bodźców i okna odpowiedzi,</w:t>
      </w:r>
    </w:p>
    <w:p>
      <w:pPr>
        <w:pStyle w:val="ListBullet"/>
      </w:pPr>
      <w:r>
        <w:t>folder zapisu wyników,</w:t>
      </w:r>
    </w:p>
    <w:p>
      <w:pPr>
        <w:pStyle w:val="ListBullet"/>
      </w:pPr>
      <w:r>
        <w:t>automatycznie generowaną nazwę pliku CSV.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fill="DDEBFF"/>
          </w:tcPr>
          <w:p>
            <w:pPr>
              <w:jc w:val="center"/>
            </w:pPr>
            <w:r>
              <w:rPr>
                <w:rFonts w:ascii="Segoe UI" w:hAnsi="Segoe UI"/>
                <w:b/>
                <w:sz w:val="22"/>
              </w:rPr>
              <w:t>Wstaw zrzut ekranu: Konfiguracja testu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rPr>
                <w:rFonts w:ascii="Segoe UI" w:hAnsi="Segoe UI"/>
                <w:i/>
                <w:sz w:val="20"/>
              </w:rPr>
              <w:t>Wklej screen formularza konfiguracji z parametrami badania.</w:t>
            </w:r>
          </w:p>
        </w:tc>
      </w:tr>
    </w:tbl>
    <w:p/>
    <w:p>
      <w:pPr>
        <w:pStyle w:val="Heading2"/>
      </w:pPr>
      <w:r>
        <w:t>3.3. Ustawienie szerokości monitora</w:t>
      </w:r>
    </w:p>
    <w:p>
      <w:r>
        <w:t>Program wykorzystuje szerokość monitora w centymetrach do obliczenia geometrii bodźców w stopniach kąta widzenia. To ważne, ponieważ pozycja bodźców względem punktu fiksacji zależy od fizycznego rozmiaru ekranu.</w:t>
      </w:r>
    </w:p>
    <w:p>
      <w:pPr>
        <w:pStyle w:val="ListBullet"/>
      </w:pPr>
      <w:r>
        <w:t>domyślnie program wpisuje wartość odczytaną z Windows,</w:t>
      </w:r>
    </w:p>
    <w:p>
      <w:pPr>
        <w:pStyle w:val="ListBullet"/>
      </w:pPr>
      <w:r>
        <w:t>tę wartość należy sprawdzić w specyfikacji producenta monitora,</w:t>
      </w:r>
    </w:p>
    <w:p>
      <w:pPr>
        <w:pStyle w:val="ListBullet"/>
      </w:pPr>
      <w:r>
        <w:t>na innym monitorze szerokość może być inna, nawet przy tej samej rozdzielczości.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fill="DDEBFF"/>
          </w:tcPr>
          <w:p>
            <w:pPr>
              <w:jc w:val="center"/>
            </w:pPr>
            <w:r>
              <w:rPr>
                <w:rFonts w:ascii="Segoe UI" w:hAnsi="Segoe UI"/>
                <w:b/>
                <w:sz w:val="22"/>
              </w:rPr>
              <w:t>Wstaw zrzut ekranu: Ustawienie szerokości monitora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rPr>
                <w:rFonts w:ascii="Segoe UI" w:hAnsi="Segoe UI"/>
                <w:i/>
                <w:sz w:val="20"/>
              </w:rPr>
              <w:t>Wklej screen ekranu z polem szerokości monitora i opisem, skąd wziąć poprawną wartość.</w:t>
            </w:r>
          </w:p>
        </w:tc>
      </w:tr>
    </w:tbl>
    <w:p/>
    <w:p>
      <w:pPr>
        <w:pStyle w:val="Heading2"/>
      </w:pPr>
      <w:r>
        <w:t>3.4. Test klawiatury</w:t>
      </w:r>
    </w:p>
    <w:p>
      <w:r>
        <w:t>Przed rozpoczęciem badania warto sprawdzić, czy program poprawnie wykrywa klawisze odpowiedzi. Na tym ekranie testujesz reakcję klawiszy bez uruchamiania właściwej procedury.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fill="DDEBFF"/>
          </w:tcPr>
          <w:p>
            <w:pPr>
              <w:jc w:val="center"/>
            </w:pPr>
            <w:r>
              <w:rPr>
                <w:rFonts w:ascii="Segoe UI" w:hAnsi="Segoe UI"/>
                <w:b/>
                <w:sz w:val="22"/>
              </w:rPr>
              <w:t>Wstaw zrzut ekranu: Test klawiatury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rPr>
                <w:rFonts w:ascii="Segoe UI" w:hAnsi="Segoe UI"/>
                <w:i/>
                <w:sz w:val="20"/>
              </w:rPr>
              <w:t>Wklej screen szybkiego testu klawiatury z widoczną reakcją na klawisze.</w:t>
            </w:r>
          </w:p>
        </w:tc>
      </w:tr>
    </w:tbl>
    <w:p/>
    <w:p>
      <w:pPr>
        <w:pStyle w:val="Heading1"/>
      </w:pPr>
      <w:r>
        <w:t>4. Przebieg badania</w:t>
      </w:r>
    </w:p>
    <w:p>
      <w:r>
        <w:t>Standardowy przebieg wygląda następująco: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BFF"/>
          </w:tcPr>
          <w:p>
            <w:r>
              <w:t>Etap</w:t>
            </w:r>
          </w:p>
        </w:tc>
        <w:tc>
          <w:tcPr>
            <w:tcW w:type="dxa" w:w="4986"/>
            <w:shd w:fill="DDEBFF"/>
          </w:tcPr>
          <w:p>
            <w:r>
              <w:t>Opis</w:t>
            </w:r>
          </w:p>
        </w:tc>
      </w:tr>
      <w:tr>
        <w:tc>
          <w:tcPr>
            <w:tcW w:type="dxa" w:w="4986"/>
          </w:tcPr>
          <w:p>
            <w:r>
              <w:t>Instrukcje</w:t>
            </w:r>
          </w:p>
        </w:tc>
        <w:tc>
          <w:tcPr>
            <w:tcW w:type="dxa" w:w="4986"/>
          </w:tcPr>
          <w:p>
            <w:r>
              <w:t>Uczestnik czyta instrukcje i przechodzi dalej spacją.</w:t>
            </w:r>
          </w:p>
        </w:tc>
      </w:tr>
      <w:tr>
        <w:tc>
          <w:tcPr>
            <w:tcW w:type="dxa" w:w="4986"/>
          </w:tcPr>
          <w:p>
            <w:r>
              <w:t>Trening</w:t>
            </w:r>
          </w:p>
        </w:tc>
        <w:tc>
          <w:tcPr>
            <w:tcW w:type="dxa" w:w="4986"/>
          </w:tcPr>
          <w:p>
            <w:r>
              <w:t>10 prób treningowych w losowej kolejności z informacją zwrotną.</w:t>
            </w:r>
          </w:p>
        </w:tc>
      </w:tr>
      <w:tr>
        <w:tc>
          <w:tcPr>
            <w:tcW w:type="dxa" w:w="4986"/>
          </w:tcPr>
          <w:p>
            <w:r>
              <w:t>Podsumowanie treningu</w:t>
            </w:r>
          </w:p>
        </w:tc>
        <w:tc>
          <w:tcPr>
            <w:tcW w:type="dxa" w:w="4986"/>
          </w:tcPr>
          <w:p>
            <w:r>
              <w:t>Program pokazuje skuteczność i przejście do części głównej.</w:t>
            </w:r>
          </w:p>
        </w:tc>
      </w:tr>
      <w:tr>
        <w:tc>
          <w:tcPr>
            <w:tcW w:type="dxa" w:w="4986"/>
          </w:tcPr>
          <w:p>
            <w:r>
              <w:t>Część główna</w:t>
            </w:r>
          </w:p>
        </w:tc>
        <w:tc>
          <w:tcPr>
            <w:tcW w:type="dxa" w:w="4986"/>
          </w:tcPr>
          <w:p>
            <w:r>
              <w:t>256 prób w dwóch blokach po 128 prób.</w:t>
            </w:r>
          </w:p>
        </w:tc>
      </w:tr>
      <w:tr>
        <w:tc>
          <w:tcPr>
            <w:tcW w:type="dxa" w:w="4986"/>
          </w:tcPr>
          <w:p>
            <w:r>
              <w:t>Przerwa</w:t>
            </w:r>
          </w:p>
        </w:tc>
        <w:tc>
          <w:tcPr>
            <w:tcW w:type="dxa" w:w="4986"/>
          </w:tcPr>
          <w:p>
            <w:r>
              <w:t>Po 128 próbach pojawia się ekran przerwy.</w:t>
            </w:r>
          </w:p>
        </w:tc>
      </w:tr>
      <w:tr>
        <w:tc>
          <w:tcPr>
            <w:tcW w:type="dxa" w:w="4986"/>
          </w:tcPr>
          <w:p>
            <w:r>
              <w:t>Zakończenie</w:t>
            </w:r>
          </w:p>
        </w:tc>
        <w:tc>
          <w:tcPr>
            <w:tcW w:type="dxa" w:w="4986"/>
          </w:tcPr>
          <w:p>
            <w:r>
              <w:t>Program pokazuje podsumowanie i ścieżkę do pliku wynikowego.</w:t>
            </w:r>
          </w:p>
        </w:tc>
      </w:tr>
    </w:tbl>
    <w:p/>
    <w:p>
      <w:pPr>
        <w:pStyle w:val="Heading2"/>
      </w:pPr>
      <w:r>
        <w:t>4.1. Mapowanie odpowiedzi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BFF"/>
          </w:tcPr>
          <w:p>
            <w:r>
              <w:t>Klawisz</w:t>
            </w:r>
          </w:p>
        </w:tc>
        <w:tc>
          <w:tcPr>
            <w:tcW w:type="dxa" w:w="4986"/>
            <w:shd w:fill="DDEBFF"/>
          </w:tcPr>
          <w:p>
            <w:r>
              <w:t>Znaczenie</w:t>
            </w:r>
          </w:p>
        </w:tc>
      </w:tr>
      <w:tr>
        <w:tc>
          <w:tcPr>
            <w:tcW w:type="dxa" w:w="4986"/>
          </w:tcPr>
          <w:p>
            <w:r>
              <w:t>F</w:t>
            </w:r>
          </w:p>
        </w:tc>
        <w:tc>
          <w:tcPr>
            <w:tcW w:type="dxa" w:w="4986"/>
          </w:tcPr>
          <w:p>
            <w:r>
              <w:t>Prawdziwe słowo było po lewej stronie.</w:t>
            </w:r>
          </w:p>
        </w:tc>
      </w:tr>
      <w:tr>
        <w:tc>
          <w:tcPr>
            <w:tcW w:type="dxa" w:w="4986"/>
          </w:tcPr>
          <w:p>
            <w:r>
              <w:t>J</w:t>
            </w:r>
          </w:p>
        </w:tc>
        <w:tc>
          <w:tcPr>
            <w:tcW w:type="dxa" w:w="4986"/>
          </w:tcPr>
          <w:p>
            <w:r>
              <w:t>Prawdziwe słowo było po prawej stronie.</w:t>
            </w:r>
          </w:p>
        </w:tc>
      </w:tr>
      <w:tr>
        <w:tc>
          <w:tcPr>
            <w:tcW w:type="dxa" w:w="4986"/>
          </w:tcPr>
          <w:p>
            <w:r>
              <w:t>Spacja</w:t>
            </w:r>
          </w:p>
        </w:tc>
        <w:tc>
          <w:tcPr>
            <w:tcW w:type="dxa" w:w="4986"/>
          </w:tcPr>
          <w:p>
            <w:r>
              <w:t>Po obu stronach nie było prawdziwego słowa.</w:t>
            </w:r>
          </w:p>
        </w:tc>
      </w:tr>
      <w:tr>
        <w:tc>
          <w:tcPr>
            <w:tcW w:type="dxa" w:w="4986"/>
          </w:tcPr>
          <w:p>
            <w:r>
              <w:t>Esc</w:t>
            </w:r>
          </w:p>
        </w:tc>
        <w:tc>
          <w:tcPr>
            <w:tcW w:type="dxa" w:w="4986"/>
          </w:tcPr>
          <w:p>
            <w:r>
              <w:t>Menu pauzy w trakcie badania.</w:t>
            </w:r>
          </w:p>
        </w:tc>
      </w:tr>
    </w:tbl>
    <w:p/>
    <w:p>
      <w:pPr>
        <w:pStyle w:val="Heading2"/>
      </w:pPr>
      <w:r>
        <w:t>4.2. Timing pojedynczej próby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BFF"/>
          </w:tcPr>
          <w:p>
            <w:r>
              <w:t>Element próby</w:t>
            </w:r>
          </w:p>
        </w:tc>
        <w:tc>
          <w:tcPr>
            <w:tcW w:type="dxa" w:w="4986"/>
            <w:shd w:fill="DDEBFF"/>
          </w:tcPr>
          <w:p>
            <w:r>
              <w:t>Domyślna wartość</w:t>
            </w:r>
          </w:p>
        </w:tc>
      </w:tr>
      <w:tr>
        <w:tc>
          <w:tcPr>
            <w:tcW w:type="dxa" w:w="4986"/>
          </w:tcPr>
          <w:p>
            <w:r>
              <w:t>Krzyż fiksacji</w:t>
            </w:r>
          </w:p>
        </w:tc>
        <w:tc>
          <w:tcPr>
            <w:tcW w:type="dxa" w:w="4986"/>
          </w:tcPr>
          <w:p>
            <w:r>
              <w:t>1000 ms</w:t>
            </w:r>
          </w:p>
        </w:tc>
      </w:tr>
      <w:tr>
        <w:tc>
          <w:tcPr>
            <w:tcW w:type="dxa" w:w="4986"/>
          </w:tcPr>
          <w:p>
            <w:r>
              <w:t>Prezentacja bodźców</w:t>
            </w:r>
          </w:p>
        </w:tc>
        <w:tc>
          <w:tcPr>
            <w:tcW w:type="dxa" w:w="4986"/>
          </w:tcPr>
          <w:p>
            <w:r>
              <w:t>100 ms</w:t>
            </w:r>
          </w:p>
        </w:tc>
      </w:tr>
      <w:tr>
        <w:tc>
          <w:tcPr>
            <w:tcW w:type="dxa" w:w="4986"/>
          </w:tcPr>
          <w:p>
            <w:r>
              <w:t>Okno odpowiedzi</w:t>
            </w:r>
          </w:p>
        </w:tc>
        <w:tc>
          <w:tcPr>
            <w:tcW w:type="dxa" w:w="4986"/>
          </w:tcPr>
          <w:p>
            <w:r>
              <w:t>2000 ms</w:t>
            </w:r>
          </w:p>
        </w:tc>
      </w:tr>
      <w:tr>
        <w:tc>
          <w:tcPr>
            <w:tcW w:type="dxa" w:w="4986"/>
          </w:tcPr>
          <w:p>
            <w:r>
              <w:t>Przerwa między blokami</w:t>
            </w:r>
          </w:p>
        </w:tc>
        <w:tc>
          <w:tcPr>
            <w:tcW w:type="dxa" w:w="4986"/>
          </w:tcPr>
          <w:p>
            <w:r>
              <w:t>po 128 próbach</w:t>
            </w:r>
          </w:p>
        </w:tc>
      </w:tr>
    </w:tbl>
    <w:p/>
    <w:p>
      <w:r>
        <w:t>Czasy domyślne są zgodne z procedurą, ale w konfiguracji możesz je zmienić do testów technicznych lub pilotażu.</w:t>
      </w:r>
    </w:p>
    <w:p>
      <w:pPr>
        <w:pStyle w:val="Heading2"/>
      </w:pPr>
      <w:r>
        <w:t>4.3. Instrukcje, trening i pauza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fill="DDEBFF"/>
          </w:tcPr>
          <w:p>
            <w:pPr>
              <w:jc w:val="center"/>
            </w:pPr>
            <w:r>
              <w:rPr>
                <w:rFonts w:ascii="Segoe UI" w:hAnsi="Segoe UI"/>
                <w:b/>
                <w:sz w:val="22"/>
              </w:rPr>
              <w:t>Wstaw zrzut ekranu: Instrukcje eksperymentu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rPr>
                <w:rFonts w:ascii="Segoe UI" w:hAnsi="Segoe UI"/>
                <w:i/>
                <w:sz w:val="20"/>
              </w:rPr>
              <w:t>Wklej screen jednego z ekranów instrukcyjnych przed treningiem.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fill="DDEBFF"/>
          </w:tcPr>
          <w:p>
            <w:pPr>
              <w:jc w:val="center"/>
            </w:pPr>
            <w:r>
              <w:rPr>
                <w:rFonts w:ascii="Segoe UI" w:hAnsi="Segoe UI"/>
                <w:b/>
                <w:sz w:val="22"/>
              </w:rPr>
              <w:t>Wstaw zrzut ekranu: Trening z feedbackiem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rPr>
                <w:rFonts w:ascii="Segoe UI" w:hAnsi="Segoe UI"/>
                <w:i/>
                <w:sz w:val="20"/>
              </w:rPr>
              <w:t>Wklej screen próby treningowej z informacją zwrotną pod bodźcami.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fill="DDEBFF"/>
          </w:tcPr>
          <w:p>
            <w:pPr>
              <w:jc w:val="center"/>
            </w:pPr>
            <w:r>
              <w:rPr>
                <w:rFonts w:ascii="Segoe UI" w:hAnsi="Segoe UI"/>
                <w:b/>
                <w:sz w:val="22"/>
              </w:rPr>
              <w:t>Wstaw zrzut ekranu: Menu pauzy po Esc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rPr>
                <w:rFonts w:ascii="Segoe UI" w:hAnsi="Segoe UI"/>
                <w:i/>
                <w:sz w:val="20"/>
              </w:rPr>
              <w:t>Wklej screen menu pauzy z opcjami powrotu do testu, zakończenia testu, przełączenia pełnego ekranu i wyjścia.</w:t>
            </w:r>
          </w:p>
        </w:tc>
      </w:tr>
    </w:tbl>
    <w:p/>
    <w:p>
      <w:pPr>
        <w:pStyle w:val="Heading1"/>
      </w:pPr>
      <w:r>
        <w:t>5. Wyniki i pliki CSV</w:t>
      </w:r>
    </w:p>
    <w:p>
      <w:r>
        <w:t>Wyniki zapisują się automatycznie po każdej próbie. Program nie nadpisuje istniejących plików. Domyślna nazwa pliku ma format: IDuczestnika_data.csv.</w:t>
      </w:r>
    </w:p>
    <w:p>
      <w:r>
        <w:t>Jeżeli w wybranym folderze istnieje już plik o tej samej nazwie, program dopisze kolejny numer, zamiast zastępować istniejące dane.</w:t>
      </w:r>
    </w:p>
    <w:p>
      <w:pPr>
        <w:pStyle w:val="ListBullet"/>
      </w:pPr>
      <w:r>
        <w:t>1 wiersz CSV = 1 próba,</w:t>
      </w:r>
    </w:p>
    <w:p>
      <w:pPr>
        <w:pStyle w:val="ListBullet"/>
      </w:pPr>
      <w:r>
        <w:t>separator: przecinek,</w:t>
      </w:r>
    </w:p>
    <w:p>
      <w:pPr>
        <w:pStyle w:val="ListBullet"/>
      </w:pPr>
      <w:r>
        <w:t>kodowanie: UTF-8,</w:t>
      </w:r>
    </w:p>
    <w:p>
      <w:pPr>
        <w:pStyle w:val="ListBullet"/>
      </w:pPr>
      <w:r>
        <w:t>zapis po każdej próbie, także przy braku odpowiedzi.</w:t>
      </w:r>
    </w:p>
    <w:p>
      <w:pPr>
        <w:pStyle w:val="Heading2"/>
      </w:pPr>
      <w:r>
        <w:t>5.1. Najważniejsze kolumny 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BFF"/>
          </w:tcPr>
          <w:p>
            <w:r>
              <w:t>Kolumna</w:t>
            </w:r>
          </w:p>
        </w:tc>
        <w:tc>
          <w:tcPr>
            <w:tcW w:type="dxa" w:w="4986"/>
            <w:shd w:fill="DDEBFF"/>
          </w:tcPr>
          <w:p>
            <w:r>
              <w:t>Opis</w:t>
            </w:r>
          </w:p>
        </w:tc>
      </w:tr>
      <w:tr>
        <w:tc>
          <w:tcPr>
            <w:tcW w:type="dxa" w:w="4986"/>
          </w:tcPr>
          <w:p>
            <w:r>
              <w:t>participant_ID</w:t>
            </w:r>
          </w:p>
        </w:tc>
        <w:tc>
          <w:tcPr>
            <w:tcW w:type="dxa" w:w="4986"/>
          </w:tcPr>
          <w:p>
            <w:r>
              <w:t>Unikalny identyfikator uczestnika.</w:t>
            </w:r>
          </w:p>
        </w:tc>
      </w:tr>
      <w:tr>
        <w:tc>
          <w:tcPr>
            <w:tcW w:type="dxa" w:w="4986"/>
          </w:tcPr>
          <w:p>
            <w:r>
              <w:t>trial_number</w:t>
            </w:r>
          </w:p>
        </w:tc>
        <w:tc>
          <w:tcPr>
            <w:tcW w:type="dxa" w:w="4986"/>
          </w:tcPr>
          <w:p>
            <w:r>
              <w:t>Numer próby w całym badaniu.</w:t>
            </w:r>
          </w:p>
        </w:tc>
      </w:tr>
      <w:tr>
        <w:tc>
          <w:tcPr>
            <w:tcW w:type="dxa" w:w="4986"/>
          </w:tcPr>
          <w:p>
            <w:r>
              <w:t>block_number</w:t>
            </w:r>
          </w:p>
        </w:tc>
        <w:tc>
          <w:tcPr>
            <w:tcW w:type="dxa" w:w="4986"/>
          </w:tcPr>
          <w:p>
            <w:r>
              <w:t>Numer bloku (1 lub 2).</w:t>
            </w:r>
          </w:p>
        </w:tc>
      </w:tr>
      <w:tr>
        <w:tc>
          <w:tcPr>
            <w:tcW w:type="dxa" w:w="4986"/>
          </w:tcPr>
          <w:p>
            <w:r>
              <w:t>trial_type</w:t>
            </w:r>
          </w:p>
        </w:tc>
        <w:tc>
          <w:tcPr>
            <w:tcW w:type="dxa" w:w="4986"/>
          </w:tcPr>
          <w:p>
            <w:r>
              <w:t>Typ próby zgodny z procedurą TLDT.</w:t>
            </w:r>
          </w:p>
        </w:tc>
      </w:tr>
      <w:tr>
        <w:tc>
          <w:tcPr>
            <w:tcW w:type="dxa" w:w="4986"/>
          </w:tcPr>
          <w:p>
            <w:r>
              <w:t>LVF_stimulus / RVF_stimulus</w:t>
            </w:r>
          </w:p>
        </w:tc>
        <w:tc>
          <w:tcPr>
            <w:tcW w:type="dxa" w:w="4986"/>
          </w:tcPr>
          <w:p>
            <w:r>
              <w:t>Bodziec po lewej i prawej stronie.</w:t>
            </w:r>
          </w:p>
        </w:tc>
      </w:tr>
      <w:tr>
        <w:tc>
          <w:tcPr>
            <w:tcW w:type="dxa" w:w="4986"/>
          </w:tcPr>
          <w:p>
            <w:r>
              <w:t>correct_response</w:t>
            </w:r>
          </w:p>
        </w:tc>
        <w:tc>
          <w:tcPr>
            <w:tcW w:type="dxa" w:w="4986"/>
          </w:tcPr>
          <w:p>
            <w:r>
              <w:t>Poprawna odpowiedź: F / J / space.</w:t>
            </w:r>
          </w:p>
        </w:tc>
      </w:tr>
      <w:tr>
        <w:tc>
          <w:tcPr>
            <w:tcW w:type="dxa" w:w="4986"/>
          </w:tcPr>
          <w:p>
            <w:r>
              <w:t>participant_response</w:t>
            </w:r>
          </w:p>
        </w:tc>
        <w:tc>
          <w:tcPr>
            <w:tcW w:type="dxa" w:w="4986"/>
          </w:tcPr>
          <w:p>
            <w:r>
              <w:t>Odpowiedź uczestnika.</w:t>
            </w:r>
          </w:p>
        </w:tc>
      </w:tr>
      <w:tr>
        <w:tc>
          <w:tcPr>
            <w:tcW w:type="dxa" w:w="4986"/>
          </w:tcPr>
          <w:p>
            <w:r>
              <w:t>accuracy</w:t>
            </w:r>
          </w:p>
        </w:tc>
        <w:tc>
          <w:tcPr>
            <w:tcW w:type="dxa" w:w="4986"/>
          </w:tcPr>
          <w:p>
            <w:r>
              <w:t>1 = poprawnie, 0 = błędnie.</w:t>
            </w:r>
          </w:p>
        </w:tc>
      </w:tr>
      <w:tr>
        <w:tc>
          <w:tcPr>
            <w:tcW w:type="dxa" w:w="4986"/>
          </w:tcPr>
          <w:p>
            <w:r>
              <w:t>reaction_time_ms</w:t>
            </w:r>
          </w:p>
        </w:tc>
        <w:tc>
          <w:tcPr>
            <w:tcW w:type="dxa" w:w="4986"/>
          </w:tcPr>
          <w:p>
            <w:r>
              <w:t>Czas reakcji od końca ekspozycji bodźców.</w:t>
            </w:r>
          </w:p>
        </w:tc>
      </w:tr>
      <w:tr>
        <w:tc>
          <w:tcPr>
            <w:tcW w:type="dxa" w:w="4986"/>
          </w:tcPr>
          <w:p>
            <w:r>
              <w:t>response_time_from_stimulus</w:t>
            </w:r>
          </w:p>
        </w:tc>
        <w:tc>
          <w:tcPr>
            <w:tcW w:type="dxa" w:w="4986"/>
          </w:tcPr>
          <w:p>
            <w:r>
              <w:t>Czas reakcji od pojawienia się bodźców.</w:t>
            </w:r>
          </w:p>
        </w:tc>
      </w:tr>
      <w:tr>
        <w:tc>
          <w:tcPr>
            <w:tcW w:type="dxa" w:w="4986"/>
          </w:tcPr>
          <w:p>
            <w:r>
              <w:t>no_response</w:t>
            </w:r>
          </w:p>
        </w:tc>
        <w:tc>
          <w:tcPr>
            <w:tcW w:type="dxa" w:w="4986"/>
          </w:tcPr>
          <w:p>
            <w:r>
              <w:t>1 = brak odpowiedzi, 0 = odpowiedź była.</w:t>
            </w:r>
          </w:p>
        </w:tc>
      </w:tr>
      <w:tr>
        <w:tc>
          <w:tcPr>
            <w:tcW w:type="dxa" w:w="4986"/>
          </w:tcPr>
          <w:p>
            <w:r>
              <w:t>date / time</w:t>
            </w:r>
          </w:p>
        </w:tc>
        <w:tc>
          <w:tcPr>
            <w:tcW w:type="dxa" w:w="4986"/>
          </w:tcPr>
          <w:p>
            <w:r>
              <w:t>Data i godzina zapisane osobno dla każdej próby.</w:t>
            </w:r>
          </w:p>
        </w:tc>
      </w:tr>
    </w:tbl>
    <w:p/>
    <w:p>
      <w:pPr>
        <w:pStyle w:val="Heading2"/>
      </w:pPr>
      <w:r>
        <w:t>5.2. Gdzie trafiają pliki</w:t>
      </w:r>
    </w:p>
    <w:p>
      <w:r>
        <w:t>Folder zapisu wybierasz w konfiguracji. Program zapisuje również log błędu, jeżeli sesja zostanie przerwana przez nieoczekiwany problem.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fill="DDEBFF"/>
          </w:tcPr>
          <w:p>
            <w:pPr>
              <w:jc w:val="center"/>
            </w:pPr>
            <w:r>
              <w:rPr>
                <w:rFonts w:ascii="Segoe UI" w:hAnsi="Segoe UI"/>
                <w:b/>
                <w:sz w:val="22"/>
              </w:rPr>
              <w:t>Wstaw zrzut ekranu: Podsumowanie testu i plik wynikowy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rPr>
                <w:rFonts w:ascii="Segoe UI" w:hAnsi="Segoe UI"/>
                <w:i/>
                <w:sz w:val="20"/>
              </w:rPr>
              <w:t>Wklej screen końcowego podsumowania z informacją o zapisanym pliku CSV.</w:t>
            </w:r>
          </w:p>
        </w:tc>
      </w:tr>
    </w:tbl>
    <w:p/>
    <w:p>
      <w:pPr>
        <w:pStyle w:val="Heading1"/>
      </w:pPr>
      <w:r>
        <w:t>6. Pauza i bezpieczne przerwanie sesji</w:t>
      </w:r>
    </w:p>
    <w:p>
      <w:r>
        <w:t>W trakcie badania możesz nacisnąć Esc. Otworzy się menu pauzy, z którego można:</w:t>
      </w:r>
    </w:p>
    <w:p>
      <w:pPr>
        <w:pStyle w:val="ListBullet"/>
      </w:pPr>
      <w:r>
        <w:t>wrócić do bieżącego testu,</w:t>
      </w:r>
    </w:p>
    <w:p>
      <w:pPr>
        <w:pStyle w:val="ListBullet"/>
      </w:pPr>
      <w:r>
        <w:t>zakończyć test i wrócić do menu,</w:t>
      </w:r>
    </w:p>
    <w:p>
      <w:pPr>
        <w:pStyle w:val="ListBullet"/>
      </w:pPr>
      <w:r>
        <w:t>wyłączyć program,</w:t>
      </w:r>
    </w:p>
    <w:p>
      <w:pPr>
        <w:pStyle w:val="ListBullet"/>
      </w:pPr>
      <w:r>
        <w:t>przełączyć tryb pełnoekranowy.</w:t>
      </w:r>
    </w:p>
    <w:p>
      <w:r>
        <w:t>Przy zakończeniu testu lub wyjściu z programu pojawia się osobne ostrzeżenie, że sesja zostanie przerwana i nie powinna być analizowana jako pełne badanie.</w:t>
      </w:r>
    </w:p>
    <w:p>
      <w:pPr>
        <w:pStyle w:val="Heading1"/>
      </w:pPr>
      <w:r>
        <w:t>7. Co sprawdzić przed badaniem</w:t>
      </w:r>
    </w:p>
    <w:p>
      <w:pPr>
        <w:pStyle w:val="ListBullet"/>
      </w:pPr>
      <w:r>
        <w:t>czy szerokość monitora w cm jest zgodna ze specyfikacją producenta,</w:t>
      </w:r>
    </w:p>
    <w:p>
      <w:pPr>
        <w:pStyle w:val="ListBullet"/>
      </w:pPr>
      <w:r>
        <w:t>czy klawisze F, J i Spacja są wykrywane poprawnie,</w:t>
      </w:r>
    </w:p>
    <w:p>
      <w:pPr>
        <w:pStyle w:val="ListBullet"/>
      </w:pPr>
      <w:r>
        <w:t>czy folder zapisu wyników jest poprawny i dostępny,</w:t>
      </w:r>
    </w:p>
    <w:p>
      <w:pPr>
        <w:pStyle w:val="ListBullet"/>
      </w:pPr>
      <w:r>
        <w:t>czy test działa na właściwym ekranie w trybie pełnoekranowym,</w:t>
      </w:r>
    </w:p>
    <w:p>
      <w:pPr>
        <w:pStyle w:val="ListBullet"/>
      </w:pPr>
      <w:r>
        <w:t>czy czasy w konfiguracji są ustawione zgodnie z procedurą lub aktualnym planem pilotażu.</w:t>
      </w:r>
    </w:p>
    <w:p>
      <w:pPr>
        <w:pStyle w:val="Heading1"/>
      </w:pPr>
      <w:r>
        <w:t>8. Instalacja na innym komputerze</w:t>
      </w:r>
    </w:p>
    <w:p>
      <w:r>
        <w:t>Do wdrożenia na innym komputerze użyj przygotowanego pliku Setup. Instalator kopiuje gotowy plik EXE i nie wymaga wcześniejszej instalacji Pythona.</w:t>
      </w:r>
    </w:p>
    <w:p>
      <w:pPr>
        <w:pStyle w:val="ListBullet"/>
      </w:pPr>
      <w:r>
        <w:t>uruchom plik Setup jako zwykły użytkownik,</w:t>
      </w:r>
    </w:p>
    <w:p>
      <w:pPr>
        <w:pStyle w:val="ListBullet"/>
      </w:pPr>
      <w:r>
        <w:t>zainstaluj program w proponowanym katalogu lub własnym folderze,</w:t>
      </w:r>
    </w:p>
    <w:p>
      <w:pPr>
        <w:pStyle w:val="ListBullet"/>
      </w:pPr>
      <w:r>
        <w:t>po instalacji uruchamiaj program z menu Start lub ikony pulpitu,</w:t>
      </w:r>
    </w:p>
    <w:p>
      <w:pPr>
        <w:pStyle w:val="ListBullet"/>
      </w:pPr>
      <w:r>
        <w:t>jeżeli Windows pokaże ostrzeżenie SmartScreen, wybierz uruchomienie zaufanego programu lokalnego.</w:t>
      </w:r>
    </w:p>
    <w:p>
      <w:pPr>
        <w:pStyle w:val="Heading1"/>
      </w:pPr>
      <w:r>
        <w:t>9. Notatki i miejsce na własne dopiski</w:t>
      </w:r>
    </w:p>
    <w:p>
      <w:r>
        <w:t>Poniżej zostawiono miejsce na informacje wdrożeniowe, numery stanowisk, uwagi badacza lub wersje materiału.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7101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7101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7101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