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2830"/>
          <w:sz w:val="48"/>
        </w:rPr>
        <w:t>NovaMart Multi-Agent E-commerce RAG</w:t>
      </w:r>
    </w:p>
    <w:p>
      <w:pPr>
        <w:spacing w:before="0" w:after="400"/>
      </w:pPr>
      <w:r>
        <w:rPr>
          <w:rFonts w:ascii="Calibri Light" w:hAnsi="Calibri Light"/>
          <w:color w:val="014751"/>
          <w:sz w:val="26"/>
        </w:rPr>
        <w:t>Complete Architectural Specification &amp; Implementation Playbook</w:t>
      </w:r>
    </w:p>
    <w:p>
      <w:pPr>
        <w:keepNext/>
        <w:spacing w:before="360" w:after="120"/>
      </w:pPr>
      <w:r>
        <w:rPr>
          <w:rFonts w:ascii="Calibri" w:hAnsi="Calibri"/>
          <w:b/>
          <w:color w:val="0F2830"/>
          <w:sz w:val="32"/>
        </w:rPr>
        <w:t>1. Executive Summary &amp; Architectural Overview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2"/>
        </w:rPr>
        <w:t>NovaMart's enterprise customer support system automates high-volume workflows (order lookups, return validations, and multi-domain policy RAG) through a robust Orchestrator → Workers multi-agent hierarchy deployed on Amazon Bedrock AgentCore and the Strands Agents SDK.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2"/>
        </w:rPr>
        <w:t>The orchestration pipeline decouples non-deterministic user interaction from state mutations, using a centralized DynamoDB state machine backed by optimistic locking to guarantee reliability across multi-turn sessions.</w:t>
      </w:r>
    </w:p>
    <w:p>
      <w:pPr>
        <w:keepNext/>
        <w:spacing w:before="240" w:after="80"/>
      </w:pPr>
      <w:r>
        <w:rPr>
          <w:rFonts w:ascii="Calibri" w:hAnsi="Calibri"/>
          <w:b/>
          <w:color w:val="014751"/>
          <w:sz w:val="26"/>
        </w:rPr>
        <w:t>Agent Roles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283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72"/>
            <w:shd w:fill="0F283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864"/>
            <w:shd w:fill="0F283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Temp</w:t>
            </w:r>
          </w:p>
        </w:tc>
        <w:tc>
          <w:tcPr>
            <w:tcW w:type="dxa" w:w="4464"/>
            <w:shd w:fill="0F283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OrchestratorAgent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Claude Haiku 4.5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0.0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Determines customer intent, routes requests, coordinates session lifecycle, and manages WorkflowState updates.</w:t>
            </w:r>
          </w:p>
        </w:tc>
      </w:tr>
      <w:tr>
        <w:tc>
          <w:tcPr>
            <w:tcW w:type="dxa" w:w="2160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InventoryAgent</w:t>
            </w:r>
          </w:p>
        </w:tc>
        <w:tc>
          <w:tcPr>
            <w:tcW w:type="dxa" w:w="1872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Claude Sonnet 4.5</w:t>
            </w:r>
          </w:p>
        </w:tc>
        <w:tc>
          <w:tcPr>
            <w:tcW w:type="dxa" w:w="864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0.1</w:t>
            </w:r>
          </w:p>
        </w:tc>
        <w:tc>
          <w:tcPr>
            <w:tcW w:type="dxa" w:w="4464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Queries DynamoDB orders/customer records. Operates strictly as an empirical data gatherer (no decision logic).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RefundAgent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Claude Sonnet 4.5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0.1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Evaluates refund eligibility using order facts and policy windows (Standard: 30 days, Premium: 60 days). Updates order records.</w:t>
            </w:r>
          </w:p>
        </w:tc>
      </w:tr>
      <w:tr>
        <w:tc>
          <w:tcPr>
            <w:tcW w:type="dxa" w:w="2160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PolicyAgent</w:t>
            </w:r>
          </w:p>
        </w:tc>
        <w:tc>
          <w:tcPr>
            <w:tcW w:type="dxa" w:w="1872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Claude Sonnet 4.5</w:t>
            </w:r>
          </w:p>
        </w:tc>
        <w:tc>
          <w:tcPr>
            <w:tcW w:type="dxa" w:w="864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0.2</w:t>
            </w:r>
          </w:p>
        </w:tc>
        <w:tc>
          <w:tcPr>
            <w:tcW w:type="dxa" w:w="4464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Coordinates 3 sub-retriever agents across Returns, Shipping, and Warranty Knowledge Bases using parallel execution.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Sub-Retrievers (x3)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Claude Sonnet 4.5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0.0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Deterministic semantic retrieval agents querying specific Bedrock Knowledge Bases backed by S3 Vectors.</w:t>
            </w:r>
          </w:p>
        </w:tc>
      </w:tr>
      <w:tr>
        <w:tc>
          <w:tcPr>
            <w:tcW w:type="dxa" w:w="2160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CommunicationAgent</w:t>
            </w:r>
          </w:p>
        </w:tc>
        <w:tc>
          <w:tcPr>
            <w:tcW w:type="dxa" w:w="1872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Claude Sonnet 4.5</w:t>
            </w:r>
          </w:p>
        </w:tc>
        <w:tc>
          <w:tcPr>
            <w:tcW w:type="dxa" w:w="864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0.3</w:t>
            </w:r>
          </w:p>
        </w:tc>
        <w:tc>
          <w:tcPr>
            <w:tcW w:type="dxa" w:w="4464"/>
            <w:shd w:fill="F4F7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Synthesizes final empathetic, professional customer response using accumulated workflow context.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2830"/>
          <w:sz w:val="32"/>
        </w:rPr>
        <w:t>2. End-to-End Implementation Playbook</w:t>
      </w:r>
    </w:p>
    <w:p>
      <w:pPr>
        <w:keepNext/>
        <w:spacing w:before="240" w:after="80"/>
      </w:pPr>
      <w:r>
        <w:rPr>
          <w:rFonts w:ascii="Calibri" w:hAnsi="Calibri"/>
          <w:b/>
          <w:color w:val="014751"/>
          <w:sz w:val="26"/>
        </w:rPr>
        <w:t>Phase 0: Foundation Infrastructure &amp; Data Seeding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>Step 1:</w:t>
      </w:r>
      <w:r>
        <w:rPr>
          <w:rFonts w:ascii="Calibri" w:hAnsi="Calibri"/>
          <w:color w:val="282828"/>
          <w:sz w:val="22"/>
        </w:rPr>
        <w:t xml:space="preserve"> Deploy CloudFormation stack via AWS Console or CloudShell: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F283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aws cloudformation deploy \</w:t>
              <w:br/>
              <w:t xml:space="preserve">  --template-file infrastructure/starter_stack.yaml \</w:t>
              <w:br/>
              <w:t xml:space="preserve">  --stack-name udacity-agentcore \</w:t>
              <w:br/>
              <w:t xml:space="preserve">  --capabilities CAPABILITY_NAMED_IAM \</w:t>
              <w:br/>
              <w:t xml:space="preserve">  --region us-east-1</w:t>
            </w:r>
          </w:p>
        </w:tc>
      </w:tr>
    </w:tbl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>Step 2:</w:t>
      </w:r>
      <w:r>
        <w:rPr>
          <w:rFonts w:ascii="Calibri" w:hAnsi="Calibri"/>
          <w:color w:val="282828"/>
          <w:sz w:val="22"/>
        </w:rPr>
        <w:t xml:space="preserve"> Seed DynamoDB tables and S3 policy documentation: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F283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python infrastructure/seed_data.py</w:t>
            </w:r>
          </w:p>
        </w:tc>
      </w:tr>
    </w:tbl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>Step 3:</w:t>
      </w:r>
      <w:r>
        <w:rPr>
          <w:rFonts w:ascii="Calibri" w:hAnsi="Calibri"/>
          <w:color w:val="282828"/>
          <w:sz w:val="22"/>
        </w:rPr>
        <w:t xml:space="preserve"> Copy environment variables and verify resource provision: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F283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cp .env.example .env</w:t>
              <w:br/>
              <w:t>python config.py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14751"/>
          <w:sz w:val="26"/>
        </w:rPr>
        <w:t>Phase 1: Multi-Agent Graph Implementation (src/agent_orchestrator.py)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2"/>
        </w:rPr>
        <w:t>Implement the core agent logic following strict isolation and temperature guidelines: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InventoryAgent Tools: </w:t>
      </w:r>
      <w:r>
        <w:rPr>
          <w:rFonts w:ascii="Calibri" w:hAnsi="Calibri"/>
          <w:color w:val="282828"/>
          <w:sz w:val="22"/>
        </w:rPr>
        <w:t>check_order_status, get_customer_tier, and list_customer_orders. Must only report findings without making eligibility evaluations.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RefundAgent Tools: </w:t>
      </w:r>
      <w:r>
        <w:rPr>
          <w:rFonts w:ascii="Calibri" w:hAnsi="Calibri"/>
          <w:color w:val="282828"/>
          <w:sz w:val="22"/>
        </w:rPr>
        <w:t>get_inventory_context (reads DynamoDB WorkflowState) and initiate_refund (updates order state). Evaluates 30-day window for Standard and 60-day window for Premium customers.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PolicyAgent Multi-RAG: </w:t>
      </w:r>
      <w:r>
        <w:rPr>
          <w:rFonts w:ascii="Calibri" w:hAnsi="Calibri"/>
          <w:color w:val="282828"/>
          <w:sz w:val="22"/>
        </w:rPr>
        <w:t>Implements 3 domain sub-agents (Returns, Shipping, Warranty) with Temperature=0.0. Uses ThreadPoolExecutor to run search_all_policies concurrently.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CommunicationAgent: </w:t>
      </w:r>
      <w:r>
        <w:rPr>
          <w:rFonts w:ascii="Calibri" w:hAnsi="Calibri"/>
          <w:color w:val="282828"/>
          <w:sz w:val="22"/>
        </w:rPr>
        <w:t>Reads full workflow context via get_full_workflow_context and formats final customer response.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Orchestrator Routing Rules: </w:t>
      </w:r>
      <w:r>
        <w:rPr>
          <w:rFonts w:ascii="Calibri" w:hAnsi="Calibri"/>
          <w:color w:val="282828"/>
          <w:sz w:val="22"/>
        </w:rPr>
        <w:t>Must strictly enforce all 6 routing rules. Terminal action must always be route_to_communication_agent.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2"/>
        </w:rPr>
        <w:t>Parallel Retrieval Code Implementation Pattern: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F283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from concurrent.futures import ThreadPoolExecutor, as_completed</w:t>
              <w:br/>
              <w:br/>
              <w:t>def search_all_policies(query: str) -&gt; dict:</w:t>
              <w:br/>
              <w:t xml:space="preserve">    """Searches returns, shipping, and warranty policies concurrently."""</w:t>
              <w:br/>
              <w:t xml:space="preserve">    results = {}</w:t>
              <w:br/>
              <w:t xml:space="preserve">    retrievers = {</w:t>
              <w:br/>
              <w:t xml:space="preserve">        "returns": returns_retriever_agent,</w:t>
              <w:br/>
              <w:t xml:space="preserve">        "shipping": shipping_retriever_agent,</w:t>
              <w:br/>
              <w:t xml:space="preserve">        "warranty": warranty_retriever_agent,</w:t>
              <w:br/>
              <w:t xml:space="preserve">    }</w:t>
              <w:br/>
              <w:t xml:space="preserve">    with ThreadPoolExecutor(max_workers=3) as executor:</w:t>
              <w:br/>
              <w:t xml:space="preserve">        future_to_domain = {</w:t>
              <w:br/>
              <w:t xml:space="preserve">            executor.submit(agent, query): domain </w:t>
              <w:br/>
              <w:t xml:space="preserve">            for domain, agent in retrievers.items()</w:t>
              <w:br/>
              <w:t xml:space="preserve">        }</w:t>
              <w:br/>
              <w:t xml:space="preserve">        for future in as_completed(future_to_domain):</w:t>
              <w:br/>
              <w:t xml:space="preserve">            domain = future_to_domain[future]</w:t>
              <w:br/>
              <w:t xml:space="preserve">            results[domain] = future.result()</w:t>
              <w:br/>
              <w:t xml:space="preserve">    return results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14751"/>
          <w:sz w:val="26"/>
        </w:rPr>
        <w:t>Phase 2: Bedrock Guardrails, Runtime Deployment &amp; Memory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>Task 3 (Guardrails):</w:t>
      </w:r>
      <w:r>
        <w:rPr>
          <w:rFonts w:ascii="Calibri" w:hAnsi="Calibri"/>
          <w:color w:val="282828"/>
          <w:sz w:val="22"/>
        </w:rPr>
        <w:t xml:space="preserve"> Configure Bedrock Guardrail: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Content Policy: HIGH strength for SEXUAL, VIOLENCE, HATE; MEDIUM strength for INSULTS, MISCONDUCT.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PII Policy: BLOCK credit card numbers and SSNs; ANONYMIZE emails and phone numbers.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Topic Policy: DENY competitor products, pricing negotiations (haggling), and legal threats using tierConfig={'tierName': 'STANDARD'} and crossRegionConfig={'guardrailProfileIdentifier': 'us.guardrail.v1:0'}.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Word Policy: Enable managed profanity list.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Publish a numbered version (e.g. '1') using create_guardrail_version() and return (guardrail_id, version).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>Task 3 (Runtime):</w:t>
      </w:r>
      <w:r>
        <w:rPr>
          <w:rFonts w:ascii="Calibri" w:hAnsi="Calibri"/>
          <w:color w:val="282828"/>
          <w:sz w:val="22"/>
        </w:rPr>
        <w:t xml:space="preserve"> Deploy AgentCore Runtime: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Pass runtime environment variables (AWS_REGION, PROJECT_NAME, RETURNS_KB_ID, SHIPPING_KB_ID, WARRANTY_KB_ID, AGENT_LOG_GROUP, GUARDRAIL_ID, GUARDRAIL_VERSION) to agentcore_cli.configure_runtime().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Deploy with network_mode='PUBLIC', protocol='HTTP', and AGENTCORE_ROLE_ARN.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>Task 4 (Memory):</w:t>
      </w:r>
      <w:r>
        <w:rPr>
          <w:rFonts w:ascii="Calibri" w:hAnsi="Calibri"/>
          <w:color w:val="282828"/>
          <w:sz w:val="22"/>
        </w:rPr>
        <w:t xml:space="preserve"> Configure Session Memory: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color w:val="282828"/>
          <w:sz w:val="22"/>
        </w:rPr>
        <w:t>Invoke agentcore_control.create_memory() using summaryMemoryStrategy and eventExpiryDuration=7 (7-day retention). Wait until status is ACTIVE and return memoryArn.</w:t>
      </w:r>
    </w:p>
    <w:p>
      <w:pPr>
        <w:keepNext/>
        <w:spacing w:before="240" w:after="80"/>
      </w:pPr>
      <w:r>
        <w:rPr>
          <w:rFonts w:ascii="Calibri" w:hAnsi="Calibri"/>
          <w:b/>
          <w:color w:val="014751"/>
          <w:sz w:val="26"/>
        </w:rPr>
        <w:t>Phase 3: Bedrock Knowledge Bases Setup (AWS Console)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2"/>
        </w:rPr>
        <w:t>Navigate to Amazon Bedrock Console → Knowledge Bases → Create Knowledge Base. Create 3 self-managed Knowledge Bases pointing to the CloudFormation S3 Vectors store: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0F2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Knowledge Base Name</w:t>
            </w:r>
          </w:p>
        </w:tc>
        <w:tc>
          <w:tcPr>
            <w:tcW w:type="dxa" w:w="2016"/>
            <w:shd w:fill="0F2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S3 Prefix</w:t>
            </w:r>
          </w:p>
        </w:tc>
        <w:tc>
          <w:tcPr>
            <w:tcW w:type="dxa" w:w="2304"/>
            <w:shd w:fill="0F2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Embedding Model</w:t>
            </w:r>
          </w:p>
        </w:tc>
        <w:tc>
          <w:tcPr>
            <w:tcW w:type="dxa" w:w="1872"/>
            <w:shd w:fill="0F2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Vector Index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novamart-returns-policy-kb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policies/returns/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Amazon Titan Embed Text v2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returns-policy-index</w:t>
            </w:r>
          </w:p>
        </w:tc>
      </w:tr>
      <w:tr>
        <w:tc>
          <w:tcPr>
            <w:tcW w:type="dxa" w:w="3168"/>
            <w:shd w:fill="F4F7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novamart-shipping-policy-kb</w:t>
            </w:r>
          </w:p>
        </w:tc>
        <w:tc>
          <w:tcPr>
            <w:tcW w:type="dxa" w:w="2016"/>
            <w:shd w:fill="F4F7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policies/shipping/</w:t>
            </w:r>
          </w:p>
        </w:tc>
        <w:tc>
          <w:tcPr>
            <w:tcW w:type="dxa" w:w="2304"/>
            <w:shd w:fill="F4F7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Amazon Titan Embed Text v2</w:t>
            </w:r>
          </w:p>
        </w:tc>
        <w:tc>
          <w:tcPr>
            <w:tcW w:type="dxa" w:w="1872"/>
            <w:shd w:fill="F4F7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shipping-policy-index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novamart-warranty-policy-kb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policies/warranty/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Amazon Titan Embed Text v2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warranty-policy-index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82828"/>
          <w:sz w:val="22"/>
        </w:rPr>
        <w:t>Note: Ensure you click Sync on each Knowledge Base data source and copy their IDs into your .env file.</w:t>
      </w:r>
    </w:p>
    <w:p>
      <w:pPr>
        <w:keepNext/>
        <w:spacing w:before="240" w:after="80"/>
      </w:pPr>
      <w:r>
        <w:rPr>
          <w:rFonts w:ascii="Calibri" w:hAnsi="Calibri"/>
          <w:b/>
          <w:color w:val="014751"/>
          <w:sz w:val="26"/>
        </w:rPr>
        <w:t>Phase 4: Observability, Verification &amp; Testing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Task 6 (Observability): </w:t>
      </w:r>
      <w:r>
        <w:rPr>
          <w:rFonts w:ascii="Calibri" w:hAnsi="Calibri"/>
          <w:color w:val="282828"/>
          <w:sz w:val="22"/>
        </w:rPr>
        <w:t>Configure CloudWatch Logs (AGENT_LOG_GROUP at INFO level) and X-Ray (100% sampling rate). Pass config to apply_observability_config().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Validation Sequence: </w:t>
      </w:r>
      <w:r>
        <w:rPr>
          <w:rFonts w:ascii="Calibri" w:hAnsi="Calibri"/>
          <w:color w:val="282828"/>
          <w:sz w:val="22"/>
        </w:rPr>
        <w:t>Execute tests incrementally: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F283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python tests/test_agent.py task2    # Multi-agent graph &amp; routing</w:t>
              <w:br/>
              <w:t>python tests/test_agent.py task5    # Parallel KB retrieval</w:t>
              <w:br/>
              <w:t>python tests/test_agent.py task3    # Guardrails &amp; deployment</w:t>
              <w:br/>
              <w:t>python tests/test_agent.py task4    # AgentCore Memory</w:t>
              <w:br/>
              <w:t>python tests/test_agent.py task6    # Observability &amp; tracing</w:t>
              <w:br/>
              <w:t>python tests/test_agent.py all      # Full test suite (target: 120/120)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2830"/>
          <w:sz w:val="32"/>
        </w:rPr>
        <w:t>3. Submission Deliverables Checklist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[ ] Deliverable 1: </w:t>
      </w:r>
      <w:r>
        <w:rPr>
          <w:rFonts w:ascii="Calibri" w:hAnsi="Calibri"/>
          <w:color w:val="282828"/>
          <w:sz w:val="22"/>
        </w:rPr>
        <w:t>src/agent_orchestrator.py with all agent builders, routing tools, guardrails, deployment, memory, and observability completed.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[ ] Deliverable 2: </w:t>
      </w:r>
      <w:r>
        <w:rPr>
          <w:rFonts w:ascii="Calibri" w:hAnsi="Calibri"/>
          <w:color w:val="282828"/>
          <w:sz w:val="22"/>
        </w:rPr>
        <w:t>.env file populated with RETURNS_KB_ID, SHIPPING_KB_ID, WARRANTY_KB_ID, AGENTCORE_RUNTIME_ARN, GUARDRAIL_ID, and GUARDRAIL_VERSION.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[ ] Deliverable 3: </w:t>
      </w:r>
      <w:r>
        <w:rPr>
          <w:rFonts w:ascii="Calibri" w:hAnsi="Calibri"/>
          <w:color w:val="282828"/>
          <w:sz w:val="22"/>
        </w:rPr>
        <w:t>Screenshot showing python tests/test_agent.py all passing with a score of 120/120.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82828"/>
          <w:sz w:val="22"/>
        </w:rPr>
        <w:t xml:space="preserve">[ ] Deliverable 4: </w:t>
      </w:r>
      <w:r>
        <w:rPr>
          <w:rFonts w:ascii="Calibri" w:hAnsi="Calibri"/>
          <w:color w:val="282828"/>
          <w:sz w:val="22"/>
        </w:rPr>
        <w:t>AWS X-Ray Service Map screenshot capturing the full trace graph (NovaMart-Orchestrator → Worker agents → Knowledge Bases).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