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log098p29ho" w:id="0"/>
      <w:bookmarkEnd w:id="0"/>
      <w:r w:rsidDel="00000000" w:rsidR="00000000" w:rsidRPr="00000000">
        <w:rPr>
          <w:rtl w:val="0"/>
        </w:rPr>
        <w:t xml:space="preserve">Synthèse : Hybrid CNN-LSTM Model for Short-Term Individual Household Load Forecasting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Article de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Prédiction de la consommation électrique avec CNN-LSTM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Prédiction de 1h à 3h d’avance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Comparaison avec un modèle LSTM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Clustering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wq85ngxq5w5" w:id="1"/>
      <w:bookmarkEnd w:id="1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Données du gouvernement australien qui regroupe la consommation électrique de 10000 clients australiens à une fréquence de 30 minutes.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Utilisation des données 69 clients seulement, ceux qui possèdent un système d’eau chaude.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Utilisation de seulement 92 jours de données (juin à août 2013, période où tous les clients ont des données), ce qui équivaut à une seule saison, il est donc impossible de mesurer l’impact de la saison.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7175" cy="3505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a4iomrnd0e50" w:id="2"/>
      <w:bookmarkEnd w:id="2"/>
      <w:r w:rsidDel="00000000" w:rsidR="00000000" w:rsidRPr="00000000">
        <w:rPr>
          <w:rtl w:val="0"/>
        </w:rPr>
        <w:t xml:space="preserve">Architecture du modèle 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0975" cy="5505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8600" cy="48196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8600" cy="23907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44672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f6fgvsbfit8" w:id="3"/>
      <w:bookmarkEnd w:id="3"/>
      <w:r w:rsidDel="00000000" w:rsidR="00000000" w:rsidRPr="00000000">
        <w:rPr>
          <w:rtl w:val="0"/>
        </w:rPr>
        <w:t xml:space="preserve">Résultats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7650" cy="50577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5750" cy="3486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b7wz82ida146" w:id="4"/>
      <w:bookmarkEnd w:id="4"/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Recherche du nombre de clusters avec le silhouette score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k = 15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Refaire des prédictions dans chaque cluster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Certains clusters contiennent peu de données.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Certains clusters ne contiennent que des données isolées, ce qui accentue l’erreur MAPE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Approche avec le clustering est meilleur pour 17/69 ménages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Approche sans le clustering est meilleur pour 10/69 ménages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