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 Component Systems — Market Comparison</w:t>
      </w:r>
    </w:p>
    <w:p>
      <w:r>
        <w:t>Prepared by: Strategic Analysis Team | Date: 2026-05-10 | Confidential</w:t>
      </w:r>
    </w:p>
    <w:p>
      <w:pPr>
        <w:pStyle w:val="Heading1"/>
      </w:pPr>
      <w:r>
        <w:t>Scope</w:t>
      </w:r>
    </w:p>
    <w:p>
      <w:r>
        <w:t>Comparison of high-voltage component systems for battery electric vehicles (BEV) across 5 key market players.</w:t>
      </w:r>
    </w:p>
    <w:p>
      <w:pPr>
        <w:pStyle w:val="Heading1"/>
      </w:pPr>
      <w:r>
        <w:t>Market Overview</w:t>
      </w:r>
    </w:p>
    <w:p>
      <w:r>
        <w:t>Global EV component market growing at 28% CAGR (2024–2028). Key drivers: OEM electrification targets, 800V architecture adoption, tightening ISO 26262 enforcement. Top 5 players hold ~68% market share.</w:t>
      </w:r>
    </w:p>
    <w:p>
      <w:pPr>
        <w:pStyle w:val="Heading1"/>
      </w:pPr>
      <w:r>
        <w:t>Competitor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Company</w:t>
            </w:r>
          </w:p>
        </w:tc>
        <w:tc>
          <w:tcPr>
            <w:tcW w:type="dxa" w:w="1728"/>
          </w:tcPr>
          <w:p>
            <w:r>
              <w:t>HQ</w:t>
            </w:r>
          </w:p>
        </w:tc>
        <w:tc>
          <w:tcPr>
            <w:tcW w:type="dxa" w:w="1728"/>
          </w:tcPr>
          <w:p>
            <w:r>
              <w:t>Market Share</w:t>
            </w:r>
          </w:p>
        </w:tc>
        <w:tc>
          <w:tcPr>
            <w:tcW w:type="dxa" w:w="1728"/>
          </w:tcPr>
          <w:p>
            <w:r>
              <w:t>Key Strength</w:t>
            </w:r>
          </w:p>
        </w:tc>
        <w:tc>
          <w:tcPr>
            <w:tcW w:type="dxa" w:w="1728"/>
          </w:tcPr>
          <w:p>
            <w:r>
              <w:t>Weakness</w:t>
            </w:r>
          </w:p>
        </w:tc>
      </w:tr>
      <w:tr>
        <w:tc>
          <w:tcPr>
            <w:tcW w:type="dxa" w:w="1728"/>
          </w:tcPr>
          <w:p>
            <w:r>
              <w:t>[Your Company]</w:t>
            </w:r>
          </w:p>
        </w:tc>
        <w:tc>
          <w:tcPr>
            <w:tcW w:type="dxa" w:w="1728"/>
          </w:tcPr>
          <w:p>
            <w:r>
              <w:t>Europe</w:t>
            </w:r>
          </w:p>
        </w:tc>
        <w:tc>
          <w:tcPr>
            <w:tcW w:type="dxa" w:w="1728"/>
          </w:tcPr>
          <w:p>
            <w:r>
              <w:t>18%</w:t>
            </w:r>
          </w:p>
        </w:tc>
        <w:tc>
          <w:tcPr>
            <w:tcW w:type="dxa" w:w="1728"/>
          </w:tcPr>
          <w:p>
            <w:r>
              <w:t>Vertical integration, quality</w:t>
            </w:r>
          </w:p>
        </w:tc>
        <w:tc>
          <w:tcPr>
            <w:tcW w:type="dxa" w:w="1728"/>
          </w:tcPr>
          <w:p>
            <w:r>
              <w:t>Limited Asia capacity</w:t>
            </w:r>
          </w:p>
        </w:tc>
      </w:tr>
      <w:tr>
        <w:tc>
          <w:tcPr>
            <w:tcW w:type="dxa" w:w="1728"/>
          </w:tcPr>
          <w:p>
            <w:r>
              <w:t>Competitor A</w:t>
            </w:r>
          </w:p>
        </w:tc>
        <w:tc>
          <w:tcPr>
            <w:tcW w:type="dxa" w:w="1728"/>
          </w:tcPr>
          <w:p>
            <w:r>
              <w:t>Japan</w:t>
            </w:r>
          </w:p>
        </w:tc>
        <w:tc>
          <w:tcPr>
            <w:tcW w:type="dxa" w:w="1728"/>
          </w:tcPr>
          <w:p>
            <w:r>
              <w:t>22%</w:t>
            </w:r>
          </w:p>
        </w:tc>
        <w:tc>
          <w:tcPr>
            <w:tcW w:type="dxa" w:w="1728"/>
          </w:tcPr>
          <w:p>
            <w:r>
              <w:t>Volume, cost</w:t>
            </w:r>
          </w:p>
        </w:tc>
        <w:tc>
          <w:tcPr>
            <w:tcW w:type="dxa" w:w="1728"/>
          </w:tcPr>
          <w:p>
            <w:r>
              <w:t>Slow on 800V</w:t>
            </w:r>
          </w:p>
        </w:tc>
      </w:tr>
      <w:tr>
        <w:tc>
          <w:tcPr>
            <w:tcW w:type="dxa" w:w="1728"/>
          </w:tcPr>
          <w:p>
            <w:r>
              <w:t>Competitor B</w:t>
            </w:r>
          </w:p>
        </w:tc>
        <w:tc>
          <w:tcPr>
            <w:tcW w:type="dxa" w:w="1728"/>
          </w:tcPr>
          <w:p>
            <w:r>
              <w:t>USA</w:t>
            </w:r>
          </w:p>
        </w:tc>
        <w:tc>
          <w:tcPr>
            <w:tcW w:type="dxa" w:w="1728"/>
          </w:tcPr>
          <w:p>
            <w:r>
              <w:t>16%</w:t>
            </w:r>
          </w:p>
        </w:tc>
        <w:tc>
          <w:tcPr>
            <w:tcW w:type="dxa" w:w="1728"/>
          </w:tcPr>
          <w:p>
            <w:r>
              <w:t>Tech innovation</w:t>
            </w:r>
          </w:p>
        </w:tc>
        <w:tc>
          <w:tcPr>
            <w:tcW w:type="dxa" w:w="1728"/>
          </w:tcPr>
          <w:p>
            <w:r>
              <w:t>High price point</w:t>
            </w:r>
          </w:p>
        </w:tc>
      </w:tr>
      <w:tr>
        <w:tc>
          <w:tcPr>
            <w:tcW w:type="dxa" w:w="1728"/>
          </w:tcPr>
          <w:p>
            <w:r>
              <w:t>Competitor C</w:t>
            </w:r>
          </w:p>
        </w:tc>
        <w:tc>
          <w:tcPr>
            <w:tcW w:type="dxa" w:w="1728"/>
          </w:tcPr>
          <w:p>
            <w:r>
              <w:t>Germany</w:t>
            </w:r>
          </w:p>
        </w:tc>
        <w:tc>
          <w:tcPr>
            <w:tcW w:type="dxa" w:w="1728"/>
          </w:tcPr>
          <w:p>
            <w:r>
              <w:t>7%</w:t>
            </w:r>
          </w:p>
        </w:tc>
        <w:tc>
          <w:tcPr>
            <w:tcW w:type="dxa" w:w="1728"/>
          </w:tcPr>
          <w:p>
            <w:r>
              <w:t>Niche specialist</w:t>
            </w:r>
          </w:p>
        </w:tc>
        <w:tc>
          <w:tcPr>
            <w:tcW w:type="dxa" w:w="1728"/>
          </w:tcPr>
          <w:p>
            <w:r>
              <w:t>Scale limitations</w:t>
            </w:r>
          </w:p>
        </w:tc>
      </w:tr>
      <w:tr>
        <w:tc>
          <w:tcPr>
            <w:tcW w:type="dxa" w:w="1728"/>
          </w:tcPr>
          <w:p>
            <w:r>
              <w:t>Competitor D</w:t>
            </w:r>
          </w:p>
        </w:tc>
        <w:tc>
          <w:tcPr>
            <w:tcW w:type="dxa" w:w="1728"/>
          </w:tcPr>
          <w:p>
            <w:r>
              <w:t>China</w:t>
            </w:r>
          </w:p>
        </w:tc>
        <w:tc>
          <w:tcPr>
            <w:tcW w:type="dxa" w:w="1728"/>
          </w:tcPr>
          <w:p>
            <w:r>
              <w:t>5%</w:t>
            </w:r>
          </w:p>
        </w:tc>
        <w:tc>
          <w:tcPr>
            <w:tcW w:type="dxa" w:w="1728"/>
          </w:tcPr>
          <w:p>
            <w:r>
              <w:t>Price</w:t>
            </w:r>
          </w:p>
        </w:tc>
        <w:tc>
          <w:tcPr>
            <w:tcW w:type="dxa" w:w="1728"/>
          </w:tcPr>
          <w:p>
            <w:r>
              <w:t>Quality certification gaps</w:t>
            </w:r>
          </w:p>
        </w:tc>
      </w:tr>
    </w:tbl>
    <w:p>
      <w:pPr>
        <w:pStyle w:val="Heading1"/>
      </w:pPr>
      <w:r>
        <w:t>Strategic Recommendations</w:t>
      </w:r>
    </w:p>
    <w:p>
      <w:pPr>
        <w:pStyle w:val="ListBullet"/>
      </w:pPr>
      <w:r>
        <w:t>Accelerate 800V product certification — 6 months ahead of Competitor A</w:t>
      </w:r>
    </w:p>
    <w:p>
      <w:pPr>
        <w:pStyle w:val="ListBullet"/>
      </w:pPr>
      <w:r>
        <w:t>Target Competitor C accounts in Germany — price + quality gap exploitable</w:t>
      </w:r>
    </w:p>
    <w:p>
      <w:pPr>
        <w:pStyle w:val="ListBullet"/>
      </w:pPr>
      <w:r>
        <w:t>Develop Asia capacity partnership to address volume gap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