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Brief — Platform X Module Series</w:t>
      </w:r>
    </w:p>
    <w:p>
      <w:r>
        <w:t>Version 2.1 | May 2026 | Confidential — Internal Use Only</w:t>
      </w:r>
    </w:p>
    <w:p>
      <w:pPr>
        <w:pStyle w:val="Heading1"/>
      </w:pPr>
      <w:r>
        <w:t>Executive Overview</w:t>
      </w:r>
    </w:p>
    <w:p>
      <w:r>
        <w:t>The Platform X Module Series is our next-generation product platform targeting the BEV market segment. It addresses key customer requirements: higher voltage support (800V architecture), reduced weight (-18%), and simplified installation (plug-and-play connector standardization). Target market: Tier-1 automotive OEM customers in EU and Asia Pacific.</w:t>
      </w:r>
    </w:p>
    <w:p>
      <w:pPr>
        <w:pStyle w:val="Heading1"/>
      </w:pPr>
      <w:r>
        <w:t>Market Opportunity</w:t>
      </w:r>
    </w:p>
    <w:p>
      <w:r>
        <w:t>Total addressable market: €2.8B by 2028 (28% CAGR)</w:t>
      </w:r>
    </w:p>
    <w:p>
      <w:r>
        <w:t>Primary customer segments: Battery EV platforms, Commercial vehicle electrification, Charging infrastructure</w:t>
      </w:r>
    </w:p>
    <w:p>
      <w:r>
        <w:t>3 confirmed LOIs from Tier-1 customers. Pipeline value: €47M</w:t>
      </w:r>
    </w:p>
    <w:p>
      <w:pPr>
        <w:pStyle w:val="Heading1"/>
      </w:pPr>
      <w:r>
        <w:t>Product Features</w:t>
      </w:r>
    </w:p>
    <w:p>
      <w:pPr>
        <w:pStyle w:val="ListBullet"/>
      </w:pPr>
      <w:r>
        <w:t>800V architecture support (up from 400V)</w:t>
      </w:r>
    </w:p>
    <w:p>
      <w:pPr>
        <w:pStyle w:val="ListBullet"/>
      </w:pPr>
      <w:r>
        <w:t>Operating temperature: -40°C to +125°C</w:t>
      </w:r>
    </w:p>
    <w:p>
      <w:pPr>
        <w:pStyle w:val="ListBullet"/>
      </w:pPr>
      <w:r>
        <w:t>IP69K protection rating</w:t>
      </w:r>
    </w:p>
    <w:p>
      <w:pPr>
        <w:pStyle w:val="ListBullet"/>
      </w:pPr>
      <w:r>
        <w:t>Weight reduction: 18% vs. previous generation</w:t>
      </w:r>
    </w:p>
    <w:p>
      <w:pPr>
        <w:pStyle w:val="ListBullet"/>
      </w:pPr>
      <w:r>
        <w:t>ISO 26262 ASIL-B certified</w:t>
      </w:r>
    </w:p>
    <w:p>
      <w:pPr>
        <w:pStyle w:val="ListBullet"/>
      </w:pPr>
      <w:r>
        <w:t>Plug-and-play installation — 40% faster assembly</w:t>
      </w:r>
    </w:p>
    <w:p>
      <w:pPr>
        <w:pStyle w:val="ListBullet"/>
      </w:pPr>
      <w:r>
        <w:t>Available in 3 variants: Standard, High-Current, Compact</w:t>
      </w:r>
    </w:p>
    <w:p>
      <w:pPr>
        <w:pStyle w:val="Heading1"/>
      </w:pPr>
      <w:r>
        <w:t>Competitive Position</w:t>
      </w:r>
    </w:p>
    <w:p>
      <w:r>
        <w:t>Key differentiators vs. Competitor A: 800V ready (competitor: 400V only), 3-year warranty (competitor: 2-year)</w:t>
      </w:r>
    </w:p>
    <w:p>
      <w:r>
        <w:t>Pricing: competitive within 5% of market leader, justified by quality premium and certification</w:t>
      </w:r>
    </w:p>
    <w:p>
      <w:pPr>
        <w:pStyle w:val="Heading1"/>
      </w:pPr>
      <w:r>
        <w:t>Go-to-Market Timeline</w:t>
      </w:r>
    </w:p>
    <w:p>
      <w:r>
        <w:t>Q2 2026: Customer sampling complete (Contoso Ltd., Fabrikam AG)</w:t>
      </w:r>
    </w:p>
    <w:p>
      <w:r>
        <w:t>Q3 2026: IATF certification complete</w:t>
      </w:r>
    </w:p>
    <w:p>
      <w:r>
        <w:t>Q4 2026: First production deliveries</w:t>
      </w:r>
    </w:p>
    <w:p>
      <w:r>
        <w:t>Q1 2027: Full volume ramp — Plant A + Plant B</w:t>
      </w:r>
    </w:p>
    <w:p>
      <w:r>
        <w:t>Q4 2027: SOP at all confirmed customer platforms</w:t>
      </w:r>
    </w:p>
    <w:p>
      <w:pPr>
        <w:pStyle w:val="Heading1"/>
      </w:pPr>
      <w:r>
        <w:t>Investment Required</w:t>
      </w:r>
    </w:p>
    <w:p>
      <w:r>
        <w:t>Tooling &amp; equipment: €3.2M (approved)</w:t>
      </w:r>
    </w:p>
    <w:p>
      <w:r>
        <w:t>Headcount: +12 FTE (8 engineering, 4 quality)</w:t>
      </w:r>
    </w:p>
    <w:p>
      <w:r>
        <w:t>Expected contribution margin at full volume: 34%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