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Q2 2026 Sales Pipeline Review</w:t>
      </w:r>
    </w:p>
    <w:p>
      <w:r>
        <w:t>Period: April–June 2026 | Owner: VP Sales | Updated: 2026-05-16</w:t>
      </w:r>
    </w:p>
    <w:p>
      <w:pPr>
        <w:pStyle w:val="Heading1"/>
      </w:pPr>
      <w:r>
        <w:t>Executive Summary</w:t>
      </w:r>
    </w:p>
    <w:p>
      <w:r>
        <w:t>Q2 pipeline stands at €47M in active opportunities. Strong momentum in new product categories. Two deals at risk due to pricing pressure from competitors. Forecast: €18.2M closed by EQ2.</w:t>
      </w:r>
    </w:p>
    <w:p>
      <w:pPr>
        <w:pStyle w:val="Heading1"/>
      </w:pPr>
      <w:r>
        <w:t>Pipeline by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Opportunity</w:t>
            </w:r>
          </w:p>
        </w:tc>
        <w:tc>
          <w:tcPr>
            <w:tcW w:type="dxa" w:w="1728"/>
          </w:tcPr>
          <w:p>
            <w:r>
              <w:t>Value (€M)</w:t>
            </w:r>
          </w:p>
        </w:tc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Close Date</w:t>
            </w:r>
          </w:p>
        </w:tc>
      </w:tr>
      <w:tr>
        <w:tc>
          <w:tcPr>
            <w:tcW w:type="dxa" w:w="1728"/>
          </w:tcPr>
          <w:p>
            <w:r>
              <w:t>Contoso Ltd.</w:t>
            </w:r>
          </w:p>
        </w:tc>
        <w:tc>
          <w:tcPr>
            <w:tcW w:type="dxa" w:w="1728"/>
          </w:tcPr>
          <w:p>
            <w:r>
              <w:t>EV Component Supply Agreement</w:t>
            </w:r>
          </w:p>
        </w:tc>
        <w:tc>
          <w:tcPr>
            <w:tcW w:type="dxa" w:w="1728"/>
          </w:tcPr>
          <w:p>
            <w:r>
              <w:t>12.4</w:t>
            </w:r>
          </w:p>
        </w:tc>
        <w:tc>
          <w:tcPr>
            <w:tcW w:type="dxa" w:w="1728"/>
          </w:tcPr>
          <w:p>
            <w:r>
              <w:t>Proposal Submitted</w:t>
            </w:r>
          </w:p>
        </w:tc>
        <w:tc>
          <w:tcPr>
            <w:tcW w:type="dxa" w:w="1728"/>
          </w:tcPr>
          <w:p>
            <w:r>
              <w:t>Jun 15</w:t>
            </w:r>
          </w:p>
        </w:tc>
      </w:tr>
      <w:tr>
        <w:tc>
          <w:tcPr>
            <w:tcW w:type="dxa" w:w="1728"/>
          </w:tcPr>
          <w:p>
            <w:r>
              <w:t>Fabrikam AG</w:t>
            </w:r>
          </w:p>
        </w:tc>
        <w:tc>
          <w:tcPr>
            <w:tcW w:type="dxa" w:w="1728"/>
          </w:tcPr>
          <w:p>
            <w:r>
              <w:t>Q3 Framework Contract</w:t>
            </w:r>
          </w:p>
        </w:tc>
        <w:tc>
          <w:tcPr>
            <w:tcW w:type="dxa" w:w="1728"/>
          </w:tcPr>
          <w:p>
            <w:r>
              <w:t>8.9</w:t>
            </w:r>
          </w:p>
        </w:tc>
        <w:tc>
          <w:tcPr>
            <w:tcW w:type="dxa" w:w="1728"/>
          </w:tcPr>
          <w:p>
            <w:r>
              <w:t>Negotiation</w:t>
            </w:r>
          </w:p>
        </w:tc>
        <w:tc>
          <w:tcPr>
            <w:tcW w:type="dxa" w:w="1728"/>
          </w:tcPr>
          <w:p>
            <w:r>
              <w:t>Jun 30</w:t>
            </w:r>
          </w:p>
        </w:tc>
      </w:tr>
      <w:tr>
        <w:tc>
          <w:tcPr>
            <w:tcW w:type="dxa" w:w="1728"/>
          </w:tcPr>
          <w:p>
            <w:r>
              <w:t>Northwind Corp.</w:t>
            </w:r>
          </w:p>
        </w:tc>
        <w:tc>
          <w:tcPr>
            <w:tcW w:type="dxa" w:w="1728"/>
          </w:tcPr>
          <w:p>
            <w:r>
              <w:t>Certification Services</w:t>
            </w:r>
          </w:p>
        </w:tc>
        <w:tc>
          <w:tcPr>
            <w:tcW w:type="dxa" w:w="1728"/>
          </w:tcPr>
          <w:p>
            <w:r>
              <w:t>3.7</w:t>
            </w:r>
          </w:p>
        </w:tc>
        <w:tc>
          <w:tcPr>
            <w:tcW w:type="dxa" w:w="1728"/>
          </w:tcPr>
          <w:p>
            <w:r>
              <w:t>Discovery</w:t>
            </w:r>
          </w:p>
        </w:tc>
        <w:tc>
          <w:tcPr>
            <w:tcW w:type="dxa" w:w="1728"/>
          </w:tcPr>
          <w:p>
            <w:r>
              <w:t>Jul 15</w:t>
            </w:r>
          </w:p>
        </w:tc>
      </w:tr>
      <w:tr>
        <w:tc>
          <w:tcPr>
            <w:tcW w:type="dxa" w:w="1728"/>
          </w:tcPr>
          <w:p>
            <w:r>
              <w:t>Alpine Systems</w:t>
            </w:r>
          </w:p>
        </w:tc>
        <w:tc>
          <w:tcPr>
            <w:tcW w:type="dxa" w:w="1728"/>
          </w:tcPr>
          <w:p>
            <w:r>
              <w:t>Annual MRO Supply</w:t>
            </w:r>
          </w:p>
        </w:tc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Qualified</w:t>
            </w:r>
          </w:p>
        </w:tc>
        <w:tc>
          <w:tcPr>
            <w:tcW w:type="dxa" w:w="1728"/>
          </w:tcPr>
          <w:p>
            <w:r>
              <w:t>Jul 30</w:t>
            </w:r>
          </w:p>
        </w:tc>
      </w:tr>
      <w:tr>
        <w:tc>
          <w:tcPr>
            <w:tcW w:type="dxa" w:w="1728"/>
          </w:tcPr>
          <w:p>
            <w:r>
              <w:t>Global Tech GmbH</w:t>
            </w:r>
          </w:p>
        </w:tc>
        <w:tc>
          <w:tcPr>
            <w:tcW w:type="dxa" w:w="1728"/>
          </w:tcPr>
          <w:p>
            <w:r>
              <w:t>Digital Integration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Proposal Submitted</w:t>
            </w:r>
          </w:p>
        </w:tc>
        <w:tc>
          <w:tcPr>
            <w:tcW w:type="dxa" w:w="1728"/>
          </w:tcPr>
          <w:p>
            <w:r>
              <w:t>Jun 20</w:t>
            </w:r>
          </w:p>
        </w:tc>
      </w:tr>
    </w:tbl>
    <w:p>
      <w:pPr>
        <w:pStyle w:val="Heading1"/>
      </w:pPr>
      <w:r>
        <w:t>At-Risk Deals</w:t>
      </w:r>
    </w:p>
    <w:p>
      <w:r>
        <w:t>Fabrikam AG — pricing pressure from 2 Asian competitors. Need executive alignment call by May 28.</w:t>
      </w:r>
    </w:p>
    <w:p>
      <w:r>
        <w:t>Alpine Systems — budget freeze signaled. Monitoring Q3 procurement release.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Schedule exec-to-exec call with Fabrikam AG by May 28</w:t>
      </w:r>
    </w:p>
    <w:p>
      <w:pPr>
        <w:pStyle w:val="ListBullet"/>
      </w:pPr>
      <w:r>
        <w:t>Prepare ROI model for Contoso Ltd. final proposal</w:t>
      </w:r>
    </w:p>
    <w:p>
      <w:pPr>
        <w:pStyle w:val="ListBullet"/>
      </w:pPr>
      <w:r>
        <w:t>Assign Northwind Corp. to solution engineering for technical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