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RFQ Response — Product System Supply</w:t>
      </w:r>
    </w:p>
    <w:p>
      <w:r>
        <w:t>To: Fabrikam AG, Procurement | Attention: M. Weber, Sr. Sourcing Manager</w:t>
      </w:r>
    </w:p>
    <w:p>
      <w:r>
        <w:t>From: [Your Company], Key Account Management | Date: 2026-05-19 | Valid Until: 2026-06-30</w:t>
      </w:r>
    </w:p>
    <w:p>
      <w:pPr>
        <w:pStyle w:val="Heading1"/>
      </w:pPr>
      <w:r>
        <w:t>1. Introduction</w:t>
      </w:r>
    </w:p>
    <w:p>
      <w:r>
        <w:t>We are pleased to submit this response to RFQ ref. FAB-RFQ-2026-047 for supply of the requested product system. We look forward to establishing a long-term supply partnership.</w:t>
      </w:r>
    </w:p>
    <w:p>
      <w:pPr>
        <w:pStyle w:val="Heading1"/>
      </w:pPr>
      <w:r>
        <w:t>2. Technical Proposal</w:t>
      </w:r>
    </w:p>
    <w:p>
      <w:r>
        <w:t>Product: High-performance component assembly, Platform X specification</w:t>
      </w:r>
    </w:p>
    <w:p>
      <w:r>
        <w:t>Compliance: ISO 9001:2015, IATF 16949, ISO 26262 ASIL-B</w:t>
      </w:r>
    </w:p>
    <w:p>
      <w:r>
        <w:t>Delivery lead time: 12 weeks from order confirmation</w:t>
      </w:r>
    </w:p>
    <w:p>
      <w:r>
        <w:t>SOP capability: Q4 2027 as requested</w:t>
      </w:r>
    </w:p>
    <w:p>
      <w:pPr>
        <w:pStyle w:val="Heading1"/>
      </w:pPr>
      <w:r>
        <w:t>3.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Volume/Year</w:t>
            </w:r>
          </w:p>
        </w:tc>
        <w:tc>
          <w:tcPr>
            <w:tcW w:type="dxa" w:w="2880"/>
          </w:tcPr>
          <w:p>
            <w:r>
              <w:t>Unit Price (€)</w:t>
            </w:r>
          </w:p>
        </w:tc>
        <w:tc>
          <w:tcPr>
            <w:tcW w:type="dxa" w:w="2880"/>
          </w:tcPr>
          <w:p>
            <w:r>
              <w:t>Annual Value (€)</w:t>
            </w:r>
          </w:p>
        </w:tc>
      </w:tr>
      <w:tr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185.00</w:t>
            </w:r>
          </w:p>
        </w:tc>
        <w:tc>
          <w:tcPr>
            <w:tcW w:type="dxa" w:w="2880"/>
          </w:tcPr>
          <w:p>
            <w:r>
              <w:t>925,000</w:t>
            </w:r>
          </w:p>
        </w:tc>
      </w:tr>
      <w:tr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172.00</w:t>
            </w:r>
          </w:p>
        </w:tc>
        <w:tc>
          <w:tcPr>
            <w:tcW w:type="dxa" w:w="2880"/>
          </w:tcPr>
          <w:p>
            <w:r>
              <w:t>1,720,000</w:t>
            </w:r>
          </w:p>
        </w:tc>
      </w:tr>
      <w:tr>
        <w:tc>
          <w:tcPr>
            <w:tcW w:type="dxa" w:w="2880"/>
          </w:tcPr>
          <w:p>
            <w:r>
              <w:t>20,000</w:t>
            </w:r>
          </w:p>
        </w:tc>
        <w:tc>
          <w:tcPr>
            <w:tcW w:type="dxa" w:w="2880"/>
          </w:tcPr>
          <w:p>
            <w:r>
              <w:t>158.00</w:t>
            </w:r>
          </w:p>
        </w:tc>
        <w:tc>
          <w:tcPr>
            <w:tcW w:type="dxa" w:w="2880"/>
          </w:tcPr>
          <w:p>
            <w:r>
              <w:t>3,160,000</w:t>
            </w:r>
          </w:p>
        </w:tc>
      </w:tr>
    </w:tbl>
    <w:p>
      <w:pPr>
        <w:pStyle w:val="Heading1"/>
      </w:pPr>
      <w:r>
        <w:t>4. Next Steps</w:t>
      </w:r>
    </w:p>
    <w:p>
      <w:pPr>
        <w:pStyle w:val="ListBullet"/>
      </w:pPr>
      <w:r>
        <w:t>Technical alignment call (suggest: week of June 2)</w:t>
      </w:r>
    </w:p>
    <w:p>
      <w:pPr>
        <w:pStyle w:val="ListBullet"/>
      </w:pPr>
      <w:r>
        <w:t>Sample delivery for validation: June 15</w:t>
      </w:r>
    </w:p>
    <w:p>
      <w:pPr>
        <w:pStyle w:val="ListBullet"/>
      </w:pPr>
      <w:r>
        <w:t>Contract signing: June 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