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Operations Status Report — W20/2026</w:t>
      </w:r>
    </w:p>
    <w:p>
      <w:r>
        <w:t>Week: 2026-05-11 to 2026-05-17 | Prepared by: Operations Control Center</w:t>
      </w:r>
    </w:p>
    <w:p>
      <w:pPr>
        <w:pStyle w:val="Heading1"/>
      </w:pPr>
      <w:r>
        <w:t>Production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Plant</w:t>
            </w:r>
          </w:p>
        </w:tc>
        <w:tc>
          <w:tcPr>
            <w:tcW w:type="dxa" w:w="1728"/>
          </w:tcPr>
          <w:p>
            <w:r>
              <w:t>Output (units)</w:t>
            </w:r>
          </w:p>
        </w:tc>
        <w:tc>
          <w:tcPr>
            <w:tcW w:type="dxa" w:w="1728"/>
          </w:tcPr>
          <w:p>
            <w:r>
              <w:t>vs. Plan</w:t>
            </w:r>
          </w:p>
        </w:tc>
        <w:tc>
          <w:tcPr>
            <w:tcW w:type="dxa" w:w="1728"/>
          </w:tcPr>
          <w:p>
            <w:r>
              <w:t>Defect Rate</w:t>
            </w:r>
          </w:p>
        </w:tc>
        <w:tc>
          <w:tcPr>
            <w:tcW w:type="dxa" w:w="1728"/>
          </w:tcPr>
          <w:p>
            <w:r>
              <w:t>OTD %</w:t>
            </w:r>
          </w:p>
        </w:tc>
      </w:tr>
      <w:tr>
        <w:tc>
          <w:tcPr>
            <w:tcW w:type="dxa" w:w="1728"/>
          </w:tcPr>
          <w:p>
            <w:r>
              <w:t>Plant A — Product Line 1</w:t>
            </w:r>
          </w:p>
        </w:tc>
        <w:tc>
          <w:tcPr>
            <w:tcW w:type="dxa" w:w="1728"/>
          </w:tcPr>
          <w:p>
            <w:r>
              <w:t>8,412</w:t>
            </w:r>
          </w:p>
        </w:tc>
        <w:tc>
          <w:tcPr>
            <w:tcW w:type="dxa" w:w="1728"/>
          </w:tcPr>
          <w:p>
            <w:r>
              <w:t>+2.1%</w:t>
            </w:r>
          </w:p>
        </w:tc>
        <w:tc>
          <w:tcPr>
            <w:tcW w:type="dxa" w:w="1728"/>
          </w:tcPr>
          <w:p>
            <w:r>
              <w:t>1.8% ⚠️</w:t>
            </w:r>
          </w:p>
        </w:tc>
        <w:tc>
          <w:tcPr>
            <w:tcW w:type="dxa" w:w="1728"/>
          </w:tcPr>
          <w:p>
            <w:r>
              <w:t>96.3%</w:t>
            </w:r>
          </w:p>
        </w:tc>
      </w:tr>
      <w:tr>
        <w:tc>
          <w:tcPr>
            <w:tcW w:type="dxa" w:w="1728"/>
          </w:tcPr>
          <w:p>
            <w:r>
              <w:t>Plant B — Product Line 2</w:t>
            </w:r>
          </w:p>
        </w:tc>
        <w:tc>
          <w:tcPr>
            <w:tcW w:type="dxa" w:w="1728"/>
          </w:tcPr>
          <w:p>
            <w:r>
              <w:t>14,208</w:t>
            </w:r>
          </w:p>
        </w:tc>
        <w:tc>
          <w:tcPr>
            <w:tcW w:type="dxa" w:w="1728"/>
          </w:tcPr>
          <w:p>
            <w:r>
              <w:t>-0.8%</w:t>
            </w:r>
          </w:p>
        </w:tc>
        <w:tc>
          <w:tcPr>
            <w:tcW w:type="dxa" w:w="1728"/>
          </w:tcPr>
          <w:p>
            <w:r>
              <w:t>0.4% ✅</w:t>
            </w:r>
          </w:p>
        </w:tc>
        <w:tc>
          <w:tcPr>
            <w:tcW w:type="dxa" w:w="1728"/>
          </w:tcPr>
          <w:p>
            <w:r>
              <w:t>98.1%</w:t>
            </w:r>
          </w:p>
        </w:tc>
      </w:tr>
      <w:tr>
        <w:tc>
          <w:tcPr>
            <w:tcW w:type="dxa" w:w="1728"/>
          </w:tcPr>
          <w:p>
            <w:r>
              <w:t>Plant C — Assembly</w:t>
            </w:r>
          </w:p>
        </w:tc>
        <w:tc>
          <w:tcPr>
            <w:tcW w:type="dxa" w:w="1728"/>
          </w:tcPr>
          <w:p>
            <w:r>
              <w:t>6,100</w:t>
            </w:r>
          </w:p>
        </w:tc>
        <w:tc>
          <w:tcPr>
            <w:tcW w:type="dxa" w:w="1728"/>
          </w:tcPr>
          <w:p>
            <w:r>
              <w:t>+1.2%</w:t>
            </w:r>
          </w:p>
        </w:tc>
        <w:tc>
          <w:tcPr>
            <w:tcW w:type="dxa" w:w="1728"/>
          </w:tcPr>
          <w:p>
            <w:r>
              <w:t>0.6% ✅</w:t>
            </w:r>
          </w:p>
        </w:tc>
        <w:tc>
          <w:tcPr>
            <w:tcW w:type="dxa" w:w="1728"/>
          </w:tcPr>
          <w:p>
            <w:r>
              <w:t>97.5%</w:t>
            </w:r>
          </w:p>
        </w:tc>
      </w:tr>
    </w:tbl>
    <w:p>
      <w:pPr>
        <w:pStyle w:val="Heading1"/>
      </w:pPr>
      <w:r>
        <w:t>Issues &amp; Escalations</w:t>
      </w:r>
    </w:p>
    <w:p>
      <w:r>
        <w:t>Plant A defect rate above target (1.8% vs 0.5% target). 8D open. ETA resolution: May 22.</w:t>
      </w:r>
    </w:p>
    <w:p>
      <w:r>
        <w:t>Plant B minor throughput shortfall. Scheduled maintenance May 20 will recover.</w:t>
      </w:r>
    </w:p>
    <w:p>
      <w:pPr>
        <w:pStyle w:val="Heading1"/>
      </w:pPr>
      <w:r>
        <w:t>Supply Chain</w:t>
      </w:r>
    </w:p>
    <w:p>
      <w:r>
        <w:t>2 suppliers on watch list for delivery risk. Airfreight approved for critical parts (Supplier X, Supplier Y).</w:t>
      </w:r>
    </w:p>
    <w:p>
      <w:pPr>
        <w:pStyle w:val="Heading1"/>
      </w:pPr>
      <w:r>
        <w:t>Next Week Priorities</w:t>
      </w:r>
    </w:p>
    <w:p>
      <w:pPr>
        <w:pStyle w:val="ListBullet"/>
      </w:pPr>
      <w:r>
        <w:t>Close Plant A 8D corrective action</w:t>
      </w:r>
    </w:p>
    <w:p>
      <w:pPr>
        <w:pStyle w:val="ListBullet"/>
      </w:pPr>
      <w:r>
        <w:t>Complete Plant B maintenance window</w:t>
      </w:r>
    </w:p>
    <w:p>
      <w:pPr>
        <w:pStyle w:val="ListBullet"/>
      </w:pPr>
      <w:r>
        <w:t>Customer audit preparation (Plant A, June 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