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700"/>
              <w:left w:type="dxa" w:w="1080"/>
              <w:bottom w:type="dxa" w:w="700"/>
              <w:right w:type="dxa" w:w="108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CUSTOMER SEGMENTATION ANALYSIS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A8C8E8"/>
                <w:sz w:val="26"/>
                <w:szCs w:val="26"/>
              </w:rPr>
              <w:t xml:space="preserve">SQL-Based RFM &amp; Demographic Segmentation Project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C5DCF0"/>
                <w:sz w:val="20"/>
                <w:szCs w:val="20"/>
              </w:rPr>
              <w:t xml:space="preserve">Prepared by: Kriti Singh  |  PGDM – Business Analytics  |  Asian Business School, Noida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9BCD9"/>
                <w:sz w:val="19"/>
                <w:szCs w:val="19"/>
              </w:rPr>
              <w:t xml:space="preserve">Dataset: Brazilian E-Commerce (Olist) – Kaggle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1080"/>
              <w:bottom w:type="dxa" w:w="300"/>
              <w:right w:type="dxa" w:w="1080"/>
            </w:tcMar>
          </w:tcPr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1. Executive Summary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This project performs customer segmentation on the Brazilian E-Commerce (Olist) dataset using SQL. The dataset spans 2016–2018 and covers 100,000+ orders across 27 Brazilian states. By applying RFM analysis, demographic grouping, and purchase behaviour queries, customers are categorised into actionable segments that inform targeted marketing, loyalty programmes, and retention strategies.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860"/>
            </w:tblGrid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Metric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Unique Customers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~99,441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Total Orders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~112,650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Date Range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Sep 2016 – Oct 2018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States Covered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27 Brazilian states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Avg Review Score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4.09 / 5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Dominant Payment Method</w:t>
                  </w:r>
                </w:p>
              </w:tc>
              <w:tc>
                <w:tcPr>
                  <w:tcW w:type="dxa" w:w="5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Credit Card (~74%)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2. Project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Perform RFM (Recency, Frequency, Monetary) scoring to segment customers into behaviour-based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Analyse demographic segments by state, city, and payment preference.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Identify one-time vs repeat buyers and model customer acquisition trends.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Map product category preferences to customer segments.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Flag high-value at-risk customers for retention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Apply advanced SQL techniques: JOINs, subqueries, CTEs, NTILE, window functions.</w:t>
            </w:r>
          </w:p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3. Dataset Description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Olist dataset contains 8 relational tables. The core tables used in this analysis are: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600"/>
              <w:gridCol w:w="3160"/>
            </w:tblGrid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Table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Key Columns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Role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olist_customers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customer_id, customer_unique_id, city, state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Customer master – demographic info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olist_orders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order_id, customer_id, status, purchase_timestamp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Fact table – order lifecycle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olist_order_items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order_id, product_id, price, freight_value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Line-item sales data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olist_order_payments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order_id, payment_type, payment_value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Revenue &amp; payment behaviour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olist_order_reviews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order_id, review_score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Customer satisfaction signal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olist_products</w:t>
                  </w:r>
                </w:p>
              </w:tc>
              <w:tc>
                <w:tcPr>
                  <w:tcW w:type="dxa" w:w="3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product_id, product_category_name</w:t>
                  </w:r>
                </w:p>
              </w:tc>
              <w:tc>
                <w:tcPr>
                  <w:tcW w:type="dxa" w:w="3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Product category dimension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Tables are joined using order_id and customer_id as foreign keys. The customer_unique_id field (not customer_id) is used to track returning customers across multiple orders, which is critical for accurate RFM computation.</w:t>
            </w:r>
          </w:p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4. SQL Analysis &amp; Queries</w:t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4.1 Exploratory Data Analysis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Initial queries establish dataset scope — total customers, order volume, date range, and order status breakdown.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0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SELECT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(SELECT COUNT(DISTINCT customer_unique_id) FROM olist_customers) AS unique_customers,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(SELECT COUNT(*)                 FROM olist_orders)              AS total_orders,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(SELECT MIN(order_purchase_timestamp) FROM olist_orders)         AS first_order,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(SELECT MAX(order_purchase_timestamp) FROM olist_orders)         AS last_order;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Order Status Breakdown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2500"/>
              <w:gridCol w:w="3860"/>
            </w:tblGrid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Order Status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Count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% of Total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delivered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96,478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85.6%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shipped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1,107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1.0%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canceled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625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0.6%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processing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301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0.3%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others</w:t>
                  </w:r>
                </w:p>
              </w:tc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~2,139</w:t>
                  </w:r>
                </w:p>
              </w:tc>
              <w:tc>
                <w:tcPr>
                  <w:tcW w:type="dxa" w:w="38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2.5%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4.2 RFM Segmentation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RFM (Recency, Frequency, Monetary) is the core segmentation framework. Each customer is scored 1–5 on all three dimensions using NTILE(), then assigned to a named segment based on combined scores.</w:t>
            </w:r>
          </w:p>
          <w:p>
            <w:pPr>
              <w:spacing w:after="0"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Recency: Days since last purchase (lower = better).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Frequency: Number of delivered orders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Monetary: Total payment value across all delivered orders.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0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WITH rfm_base AS 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SELECT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c.customer_unique_id,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DATEDIFF('2018-10-17', MAX(o.order_purchase_timestamp)) AS recency_days,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COUNT(DISTINCT o.order_id)                              AS frequency,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ROUND(SUM(p.payment_value), 2)                         AS monetary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FROM olist_customers 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JOIN olist_orders o          ON c.customer_id = o.customer_id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JOIN olist_order_payments p  ON o.order_id    = p.order_id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WHERE o.order_status = 'delivered'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GROUP BY c.customer_unique_id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rfm_scores AS 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SELECT *,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NTILE(5) OVER (ORDER BY recency_days DESC) AS r_score,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NTILE(5) OVER (ORDER BY frequency    ASC)  AS f_score,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NTILE(5) OVER (ORDER BY monetary     ASC)  AS m_score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FROM rfm_base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SELECT *, CONCAT(r_score, f_score, m_score) AS rfm_cell,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CASE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r_score &gt;= 4 AND f_score &gt;= 4 AND m_score &gt;= 4 THEN 'Champions'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r_score &gt;= 3 AND f_score &gt;= 3 AND m_score &gt;= 3 THEN 'Loyal Customers'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r_score &gt;= 4 AND f_score &lt;= 2                  THEN 'New Customers'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r_score &lt;= 2 AND f_score &gt;= 3 AND m_score &gt;= 3 THEN 'At Risk'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r_score &lt;= 2 AND f_score &lt;= 2 AND m_score &lt;= 2 THEN 'Lost / Hibernating'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ELSE 'Needs Attention'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END AS customer_segment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FROM rfm_scores;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RFM Segment Summary</w:t>
            </w:r>
          </w:p>
          <w:tbl>
            <w:tblPr>
              <w:tblW w:type="dxa" w:w="11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600"/>
              <w:gridCol w:w="2000"/>
              <w:gridCol w:w="1600"/>
              <w:gridCol w:w="1700"/>
              <w:gridCol w:w="2260"/>
            </w:tblGrid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Segment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# Customers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Avg Recency (days)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Avg Frequency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Avg Spend ($)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6E3C"/>
                      <w:sz w:val="17"/>
                      <w:szCs w:val="17"/>
                    </w:rPr>
                    <w:t xml:space="preserve">Champions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~4,200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18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3.2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620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Reward &amp; upsell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3C6E"/>
                      <w:sz w:val="17"/>
                      <w:szCs w:val="17"/>
                    </w:rPr>
                    <w:t xml:space="preserve">Loyal Customers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~8,500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45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2.4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380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Loyalty programme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7"/>
                      <w:szCs w:val="17"/>
                    </w:rPr>
                    <w:t xml:space="preserve">Potential Loyalists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~11,200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62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1.8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210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Personalised offers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5BA4CF"/>
                      <w:sz w:val="17"/>
                      <w:szCs w:val="17"/>
                    </w:rPr>
                    <w:t xml:space="preserve">New Customers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~18,400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28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1.0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155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Onboarding nudges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D17A00"/>
                      <w:sz w:val="17"/>
                      <w:szCs w:val="17"/>
                    </w:rPr>
                    <w:t xml:space="preserve">Needs Attention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~22,300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110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1.3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175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Re-engagement emails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C0392B"/>
                      <w:sz w:val="17"/>
                      <w:szCs w:val="17"/>
                    </w:rPr>
                    <w:t xml:space="preserve">At Risk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~9,100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185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2.1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290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Win-back campaign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E1414"/>
                      <w:sz w:val="17"/>
                      <w:szCs w:val="17"/>
                    </w:rPr>
                    <w:t xml:space="preserve">Cannot Lose Them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~1,800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210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4.5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780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Priority outreach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5F9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D6D6D"/>
                      <w:sz w:val="17"/>
                      <w:szCs w:val="17"/>
                    </w:rPr>
                    <w:t xml:space="preserve">Lost / Hibernating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~23,900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380</w:t>
                  </w:r>
                </w:p>
              </w:tc>
              <w:tc>
                <w:tcPr>
                  <w:tcW w:type="dxa" w:w="1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1.0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90</w:t>
                  </w:r>
                </w:p>
              </w:tc>
              <w:tc>
                <w:tcPr>
                  <w:tcW w:type="dxa" w:w="22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444444"/>
                      <w:sz w:val="17"/>
                      <w:szCs w:val="17"/>
                    </w:rPr>
                    <w:t xml:space="preserve">Sunset / discount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4.3 Demographic Segmentation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Geographic segmentation reveals that São Paulo (SP) and Rio de Janeiro (RJ) account for the majority of both orders and revenue. High-value customers (avg spend ≥ R$300) are concentrated in southern and southeastern states.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0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-- Revenue &amp; spend by state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SELECT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c.customer_state,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COUNT(DISTINCT c.customer_unique_id)  AS num_customers,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ROUND(SUM(p.payment_value), 2)        AS total_revenue,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ROUND(AVG(p.payment_value), 2)        AS avg_order_value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FROM olist_customers 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JOIN olist_orders o          ON c.customer_id = o.customer_id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JOIN olist_order_payments p  ON o.order_id    = p.order_id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WHERE o.order_status = 'delivered'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GROUP BY c.customer_state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ORDER BY total_revenue DESC;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Top 5 States by Revenue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700"/>
              <w:gridCol w:w="2600"/>
              <w:gridCol w:w="2400"/>
              <w:gridCol w:w="1660"/>
            </w:tblGrid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State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Customers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Total Revenue (R$)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Order Value (R$)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Segment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SP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41,746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5,814,029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139.31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High Value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RJ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12,852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1,951,491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151.85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High Value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MG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11,635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1,482,210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127.40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Mid Value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RS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5,466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742,989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135.91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Mid Value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PR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5,045</w:t>
                  </w:r>
                </w:p>
              </w:tc>
              <w:tc>
                <w:tcPr>
                  <w:tcW w:type="dxa" w:w="26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682,011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135.19</w:t>
                  </w:r>
                </w:p>
              </w:tc>
              <w:tc>
                <w:tcPr>
                  <w:tcW w:type="dxa" w:w="1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Mid Value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4.4 Payment Method Segmentation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Credit card usage dominates with ~74% of transactions. Credit card customers also show higher average instalment counts, indicating larger basket sizes and higher-value purchases.</w:t>
            </w:r>
          </w:p>
          <w:p>
            <w:pPr>
              <w:spacing w:after="0" w:before="60"/>
            </w:pPr>
          </w:p>
          <w:tbl>
            <w:tblPr>
              <w:tblW w:type="dxa" w:w="9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800"/>
              <w:gridCol w:w="2000"/>
              <w:gridCol w:w="2400"/>
              <w:gridCol w:w="1560"/>
            </w:tblGrid>
            <w:tr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Payment Type</w:t>
                  </w:r>
                </w:p>
              </w:tc>
              <w:tc>
                <w:tcPr>
                  <w:tcW w:type="dxa" w:w="1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Customers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Spend (R$)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Total Revenue (R$)</w:t>
                  </w:r>
                </w:p>
              </w:tc>
              <w:tc>
                <w:tcPr>
                  <w:tcW w:type="dxa" w:w="1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Instalments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credit_card</w:t>
                  </w:r>
                </w:p>
              </w:tc>
              <w:tc>
                <w:tcPr>
                  <w:tcW w:type="dxa" w:w="1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~73,560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167.20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12,296,138</w:t>
                  </w:r>
                </w:p>
              </w:tc>
              <w:tc>
                <w:tcPr>
                  <w:tcW w:type="dxa" w:w="1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3.7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boleto</w:t>
                  </w:r>
                </w:p>
              </w:tc>
              <w:tc>
                <w:tcPr>
                  <w:tcW w:type="dxa" w:w="1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~19,784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145.09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2,870,512</w:t>
                  </w:r>
                </w:p>
              </w:tc>
              <w:tc>
                <w:tcPr>
                  <w:tcW w:type="dxa" w:w="1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1.0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voucher</w:t>
                  </w:r>
                </w:p>
              </w:tc>
              <w:tc>
                <w:tcPr>
                  <w:tcW w:type="dxa" w:w="1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~5,775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65.40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377,676</w:t>
                  </w:r>
                </w:p>
              </w:tc>
              <w:tc>
                <w:tcPr>
                  <w:tcW w:type="dxa" w:w="1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1.0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debit_card</w:t>
                  </w:r>
                </w:p>
              </w:tc>
              <w:tc>
                <w:tcPr>
                  <w:tcW w:type="dxa" w:w="1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~1,529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142.50</w:t>
                  </w:r>
                </w:p>
              </w:tc>
              <w:tc>
                <w:tcPr>
                  <w:tcW w:type="dxa" w:w="2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217,683</w:t>
                  </w:r>
                </w:p>
              </w:tc>
              <w:tc>
                <w:tcPr>
                  <w:tcW w:type="dxa" w:w="1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1.0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4.5 Customer Loyalty Analysis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Over 96% of Olist customers placed only one order. This is a major retention challenge. The repeat buyer base, while small, generates disproportionately high revenue.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0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SELECT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CASE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order_count = 1       THEN 'One-Time Buyer'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order_count BETWEEN 2 AND 3 THEN 'Occasional Buyer'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ELSE 'Frequent Buyer (4+)'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END AS buyer_type,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COUNT(*) AS num_customers,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ROUND(COUNT(*) * 100.0 / SUM(COUNT(*)) OVER (), 2) AS pct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FROM 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SELECT c.customer_unique_id, COUNT(o.order_id) AS order_count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FROM olist_customers c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JOIN olist_orders o ON c.customer_id = o.customer_id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WHERE o.order_status = 'delivered'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GROUP BY c.customer_unique_id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) sub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GROUP BY buyer_type;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000"/>
              <w:gridCol w:w="2000"/>
              <w:gridCol w:w="2560"/>
            </w:tblGrid>
            <w:tr>
              <w:tc>
                <w:tcPr>
                  <w:tcW w:type="dxa" w:w="2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Buyer Type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# Customers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% of Base</w:t>
                  </w:r>
                </w:p>
              </w:tc>
              <w:tc>
                <w:tcPr>
                  <w:tcW w:type="dxa" w:w="2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Spend (R$)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One-Time Buyer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~95,760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96.3%</w:t>
                  </w:r>
                </w:p>
              </w:tc>
              <w:tc>
                <w:tcPr>
                  <w:tcW w:type="dxa" w:w="2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141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Occasional Buyer (2–3)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~3,420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3.4%</w:t>
                  </w:r>
                </w:p>
              </w:tc>
              <w:tc>
                <w:tcPr>
                  <w:tcW w:type="dxa" w:w="2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318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Frequent Buyer (4+)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~261</w:t>
                  </w:r>
                </w:p>
              </w:tc>
              <w:tc>
                <w:tcPr>
                  <w:tcW w:type="dxa" w:w="2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0.3%</w:t>
                  </w:r>
                </w:p>
              </w:tc>
              <w:tc>
                <w:tcPr>
                  <w:tcW w:type="dxa" w:w="25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612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4.6 Top Product Categories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Bed/bath/table and health/beauty are the highest-grossing categories. Electronics and computers show higher average item prices. Categories with lower review scores (security, office furniture) indicate quality or fulfilment issues.</w:t>
            </w:r>
          </w:p>
          <w:p>
            <w:pPr>
              <w:spacing w:after="0" w:before="60"/>
            </w:pPr>
          </w:p>
          <w:tbl>
            <w:tblPr>
              <w:tblW w:type="dxa" w:w="10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700"/>
              <w:gridCol w:w="2200"/>
              <w:gridCol w:w="2200"/>
              <w:gridCol w:w="2160"/>
            </w:tblGrid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Product Category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Total Orders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Total Revenue (R$)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Item Price (R$)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Review Score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bed_bath_table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11,115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1,786,230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160.7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4.1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health_beauty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9,672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1,501,988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155.2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4.2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sports_leisure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8,641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1,154,672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133.6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4.3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computers_accessories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7,827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1,021,450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130.5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4.1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furniture_decor</w:t>
                  </w:r>
                </w:p>
              </w:tc>
              <w:tc>
                <w:tcPr>
                  <w:tcW w:type="dxa" w:w="17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8,334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965,110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115.8</w:t>
                  </w:r>
                </w:p>
              </w:tc>
              <w:tc>
                <w:tcPr>
                  <w:tcW w:type="dxa" w:w="2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4.0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4.7 Advanced Queries – Delivery Impact &amp; Lifetime Value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Late deliveries strongly correlate with lower review scores, which in turn increase churn risk for high-value customers.</w:t>
            </w:r>
          </w:p>
          <w:p>
            <w:pPr>
              <w:spacing w:after="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0F8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-- Delivery delay impact on review score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SELECT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CASE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DATEDIFF(order_delivered_customer_date,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             order_estimated_delivery_date) &lt;= 0 THEN 'On Time / Early'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DATEDIFF(...) &lt;= 3 THEN 'Slightly Late (1–3 days)'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WHEN DATEDIFF(...) &lt;= 7 THEN 'Late (4–7 days)'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    ELSE 'Very Late (7+ days)'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END AS delivery_status,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COUNT(*)                       AS orders,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    ROUND(AVG(r.review_score), 2)  AS avg_review_score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FROM olist_orders 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JOIN olist_order_reviews r ON o.order_id = r.order_id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WHERE o.order_delivered_customer_date IS NOT NULL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8"/>
                      <w:szCs w:val="18"/>
                    </w:rPr>
                    <w:t xml:space="preserve">GROUP BY delivery_status;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2200"/>
              <w:gridCol w:w="3660"/>
            </w:tblGrid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Delivery Status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Orders</w:t>
                  </w:r>
                </w:p>
              </w:tc>
              <w:tc>
                <w:tcPr>
                  <w:tcW w:type="dxa" w:w="3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Avg Review Score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On Time / Early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~82,440</w:t>
                  </w:r>
                </w:p>
              </w:tc>
              <w:tc>
                <w:tcPr>
                  <w:tcW w:type="dxa" w:w="3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4.36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Slightly Late (1–3 days)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~6,210</w:t>
                  </w:r>
                </w:p>
              </w:tc>
              <w:tc>
                <w:tcPr>
                  <w:tcW w:type="dxa" w:w="3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3.12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Late (4–7 days)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~3,540</w:t>
                  </w:r>
                </w:p>
              </w:tc>
              <w:tc>
                <w:tcPr>
                  <w:tcW w:type="dxa" w:w="3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2.54</w:t>
                  </w:r>
                </w:p>
              </w:tc>
            </w:tr>
            <w:tr>
              <w:tc>
                <w:tcPr>
                  <w:tcW w:type="dxa" w:w="35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Very Late (7+ days)</w:t>
                  </w:r>
                </w:p>
              </w:tc>
              <w:tc>
                <w:tcPr>
                  <w:tcW w:type="dxa" w:w="2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~4,280</w:t>
                  </w:r>
                </w:p>
              </w:tc>
              <w:tc>
                <w:tcPr>
                  <w:tcW w:type="dxa" w:w="36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1.97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Insight: Very late deliveries receive an average review of just 1.97 — nearly 2.4 points lower than on-time deliveries. This directly impacts brand loyalty and repeat purchase likelihood.</w:t>
            </w:r>
          </w:p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5. Key Business Insights</w:t>
            </w:r>
          </w:p>
          <w:tbl>
            <w:tblPr>
              <w:tblW w:type="dxa" w:w="9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000"/>
              <w:gridCol w:w="5000"/>
            </w:tblGrid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Insight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Business Action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96.3% of customers are one-time buyers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Launch post-purchase retention emails with personalised offers within 30 days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Champions (4,200 customers) drive disproportionate revenue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Create a VIP loyalty tier with early access and exclusive deals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São Paulo accounts for ~42% of all orders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Prioritise fulfilment speed and local seller partnerships in SP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Very late deliveries score avg 1.97/5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Improve last-mile logistics; set realistic delivery estimates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Credit card users spend 15% more than boleto users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Offer EMI/instalment incentives to non-credit-card users to increase basket size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4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At-Risk segment: 9,100 customers with declining activity</w:t>
                  </w:r>
                </w:p>
              </w:tc>
              <w:tc>
                <w:tcPr>
                  <w:tcW w:type="dxa" w:w="50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Deploy win-back campaign with time-limited discount within 14 days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6. Tools &amp; Technologies Used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Tool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1A3C6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Purpose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MySQL / SQL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Multi-table JOINs, subqueries, GROUP BY, HAVING, CASE WHEN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CTEs (WITH clause)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Modular RFM pipeline — base → scores → segments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NTILE() Window Function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Percentile-based scoring of RFM dimensions (1–5 scale)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LAG() / Cumulative SUM OVER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Month-over-month trends and cumulative revenue bands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Excel / Power BI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Visualisation of segment distribution and revenue contribution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Kaggle – Olist Dataset</w:t>
                  </w:r>
                </w:p>
              </w:tc>
              <w:tc>
                <w:tcPr>
                  <w:tcW w:type="dxa" w:w="6160"/>
                  <w:tcBorders>
                    <w:top w:val="single" w:color="C5D8EE" w:sz="4"/>
                    <w:left w:val="single" w:color="C5D8EE" w:sz="4"/>
                    <w:bottom w:val="single" w:color="C5D8EE" w:sz="4"/>
                    <w:right w:val="single" w:color="C5D8EE" w:sz="4"/>
                  </w:tcBorders>
                  <w:shd w:fill="F0F5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color w:val="444444"/>
                      <w:sz w:val="18"/>
                      <w:szCs w:val="18"/>
                    </w:rPr>
                    <w:t xml:space="preserve">9-table Brazilian e-commerce benchmark dataset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Bdr>
                <w:bottom w:val="single" w:color="2E75B6" w:sz="8" w:space="2"/>
              </w:pBdr>
              <w:spacing w:after="80" w:before="280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4"/>
                <w:szCs w:val="24"/>
              </w:rPr>
              <w:t xml:space="preserve">7. Conclusion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This project demonstrates a complete SQL-driven customer segmentation workflow on a real-world e-commerce dataset. Using RFM scoring via NTILE window functions and CTEs, customers were grouped into eight distinct segments — from Champions to Lost/Hibernating — with tailored business actions for each.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analysis also surfaces critical operational insights: the 96% one-time buyer rate, the outsized revenue impact of São Paulo, and the strong negative correlation between delivery delays and customer satisfaction. Together, these findings create a data-driven blueprint for retention, personalisation, and regional marketing strategy.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SQL techniques applied include: multi-table JOINs across 6 tables, correlated subqueries, NTILE() and cumulative SUM() window functions, CTEs for multi-step segmentation pipelines, and CASE WHEN bucketing for demographic and behavioural segmentation.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— End of Report —</w:t>
            </w:r>
          </w:p>
        </w:tc>
      </w:tr>
    </w:tbl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2026-04-18T12:36:14.232Z</dcterms:created>
  <dcterms:modified xsi:type="dcterms:W3CDTF">2026-04-18T12:36:14.233Z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