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w:t>
        <w:br/>
      </w:r>
      <w:r>
        <w:rPr>
          <w:b/>
          <w:sz w:val="36"/>
        </w:rPr>
        <w:t>Policy Review &amp; Compliance Framework Analysis</w:t>
      </w:r>
    </w:p>
    <w:p>
      <w:pPr>
        <w:jc w:val="center"/>
      </w:pPr>
      <w:r>
        <w:rPr>
          <w:b/>
        </w:rPr>
        <w:t xml:space="preserve">Name: </w:t>
      </w:r>
      <w:r>
        <w:t>Kajal Saini</w:t>
      </w:r>
    </w:p>
    <w:p>
      <w:pPr>
        <w:jc w:val="center"/>
      </w:pPr>
      <w:r>
        <w:rPr>
          <w:b/>
        </w:rPr>
        <w:t xml:space="preserve">Organization / College: </w:t>
      </w:r>
      <w:r>
        <w:t>Maya Devi University</w:t>
      </w:r>
    </w:p>
    <w:p>
      <w:pPr>
        <w:jc w:val="center"/>
      </w:pPr>
      <w:r>
        <w:rPr>
          <w:b/>
        </w:rPr>
        <w:t xml:space="preserve">Internship Area: </w:t>
      </w:r>
      <w:r>
        <w:t>Cyber Security</w:t>
      </w:r>
    </w:p>
    <w:p>
      <w:pPr>
        <w:jc w:val="center"/>
      </w:pPr>
      <w:r>
        <w:rPr>
          <w:b/>
        </w:rPr>
        <w:t xml:space="preserve">Date: </w:t>
      </w:r>
      <w:r>
        <w:t>21 September 2026</w:t>
      </w:r>
    </w:p>
    <w:p>
      <w:r>
        <w:br w:type="page"/>
      </w:r>
    </w:p>
    <w:p>
      <w:pPr>
        <w:pStyle w:val="Heading1"/>
      </w:pPr>
      <w:r>
        <w:t>1. Executive Summary</w:t>
      </w:r>
    </w:p>
    <w:p>
      <w:pPr>
        <w:spacing w:after="120"/>
      </w:pPr>
      <w:r>
        <w:t>This report reviews cybersecurity policies, standards, and compliance considerations relevant to e-governance and digital public services. It considers publicly available guidance including NIST Cybersecurity Framework (CSF) 2.0, CERT-In cybersecurity directions and government security guidance, OWASP application/API security resources, and the ISO/IEC 27001 information security management approach. The review identifies potential policy gaps and proposes a practical compliance framework covering governance, risk management, identity and access management, data protection, secure application development, incident response, monitoring, business continuity, third-party security, workforce awareness, audit, and continuous improvement. The identified gaps are presented as potential areas for improvement in a generic e-governance environment, not as unsupported findings about a specific government organization.</w:t>
      </w:r>
    </w:p>
    <w:p>
      <w:pPr>
        <w:pStyle w:val="Heading1"/>
      </w:pPr>
      <w:r>
        <w:t>2. Introduction</w:t>
      </w:r>
    </w:p>
    <w:p>
      <w:pPr>
        <w:spacing w:after="120"/>
      </w:pPr>
      <w:r>
        <w:t>E-governance enables citizens to access public services through websites, mobile applications, online portals, APIs, databases, and authentication systems. These services can process personal, financial, administrative, and other sensitive information. Cybersecurity policies therefore need to address confidentiality, integrity, availability, privacy, accountability, and resilience. A compliance framework connects organizational controls with applicable laws, regulations, standards, and internal requirements.</w:t>
      </w:r>
    </w:p>
    <w:p>
      <w:pPr>
        <w:pStyle w:val="Heading1"/>
      </w:pPr>
      <w:r>
        <w:t>3. Objectives</w:t>
      </w:r>
    </w:p>
    <w:p>
      <w:pPr>
        <w:spacing w:after="120"/>
      </w:pPr>
      <w:r>
        <w:t>The objectives are to review publicly available cybersecurity frameworks; explain their relevance to e-governance; identify potential policy and compliance gaps; analyze their possible security impact; propose an improved compliance framework; and provide an implementation and monitoring approach.</w:t>
      </w:r>
    </w:p>
    <w:p>
      <w:pPr>
        <w:pStyle w:val="Heading1"/>
      </w:pPr>
      <w:r>
        <w:t>4. Scope and Methodology</w:t>
      </w:r>
    </w:p>
    <w:p>
      <w:pPr>
        <w:spacing w:after="120"/>
      </w:pPr>
      <w:r>
        <w:t>The scope covers governance, risk management, identity and access management, data protection, application/API security, vulnerability management, incident response, logging and monitoring, business continuity, supplier security, awareness, and audit. The methodology consists of reviewing authoritative public guidance, summarizing relevant objectives, comparing them with common e-governance security needs, identifying potential improvement areas, and designing a proposed compliance framework.</w:t>
      </w:r>
    </w:p>
    <w:p>
      <w:pPr>
        <w:pStyle w:val="Heading1"/>
      </w:pPr>
      <w:r>
        <w:t>5. Current Cybersecurity Frameworks and Guidance</w:t>
      </w:r>
    </w:p>
    <w:p>
      <w:pPr>
        <w:pStyle w:val="Heading2"/>
      </w:pPr>
      <w:r>
        <w:t>5.1 NIST Cybersecurity Framework (CSF) 2.0</w:t>
      </w:r>
    </w:p>
    <w:p>
      <w:pPr>
        <w:spacing w:after="120"/>
      </w:pPr>
      <w:r>
        <w:t>NIST CSF 2.0 helps organizations, including government agencies, manage and reduce cybersecurity risk. It provides high-level cybersecurity outcomes and a structure for governance and risk management. It can organize risk identification, protection, detection, response, recovery, and governance activities.</w:t>
      </w:r>
    </w:p>
    <w:p>
      <w:pPr>
        <w:pStyle w:val="Heading2"/>
      </w:pPr>
      <w:r>
        <w:t>5.2 CERT-In Directions and Government Guidance</w:t>
      </w:r>
    </w:p>
    <w:p>
      <w:pPr>
        <w:spacing w:after="120"/>
      </w:pPr>
      <w:r>
        <w:t>CERT-In publishes cybersecurity directions and guidance under Section 70B of the Information Technology Act, 2000. The 28 April 2022 directions address information-security practices, prevention, response, and reporting of cyber incidents. CERT-In also publishes information-security practice guidance for government entities.</w:t>
      </w:r>
    </w:p>
    <w:p>
      <w:pPr>
        <w:pStyle w:val="Heading2"/>
      </w:pPr>
      <w:r>
        <w:t>5.3 OWASP Application and API Security Guidance</w:t>
      </w:r>
    </w:p>
    <w:p>
      <w:pPr>
        <w:spacing w:after="120"/>
      </w:pPr>
      <w:r>
        <w:t>OWASP provides application-security guidance, including the OWASP Top 10 and API Security Top 10. These resources help organizations understand common web-application and API risks and improve secure development and security testing.</w:t>
      </w:r>
    </w:p>
    <w:p>
      <w:pPr>
        <w:pStyle w:val="Heading2"/>
      </w:pPr>
      <w:r>
        <w:t>5.4 ISO/IEC 27001</w:t>
      </w:r>
    </w:p>
    <w:p>
      <w:pPr>
        <w:spacing w:after="120"/>
      </w:pPr>
      <w:r>
        <w:t>ISO/IEC 27001 provides requirements for an Information Security Management System (ISMS). An ISMS approach can support governance, risk treatment, documented controls, internal review, and continual improvement.</w:t>
      </w:r>
    </w:p>
    <w:p>
      <w:pPr>
        <w:pStyle w:val="Heading1"/>
      </w:pPr>
      <w:r>
        <w:t>6. Comparative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Framework / Guidance</w:t>
            </w:r>
          </w:p>
        </w:tc>
        <w:tc>
          <w:tcPr>
            <w:tcW w:type="dxa" w:w="3312"/>
            <w:shd w:fill="D9EAF7"/>
          </w:tcPr>
          <w:p>
            <w:r>
              <w:rPr>
                <w:b/>
              </w:rPr>
              <w:t>Primary Focus</w:t>
            </w:r>
          </w:p>
        </w:tc>
        <w:tc>
          <w:tcPr>
            <w:tcW w:type="dxa" w:w="3312"/>
            <w:shd w:fill="D9EAF7"/>
          </w:tcPr>
          <w:p>
            <w:r>
              <w:rPr>
                <w:b/>
              </w:rPr>
              <w:t>E-Governance Use</w:t>
            </w:r>
          </w:p>
        </w:tc>
      </w:tr>
      <w:tr>
        <w:tc>
          <w:tcPr>
            <w:tcW w:type="dxa" w:w="3312"/>
          </w:tcPr>
          <w:p>
            <w:r>
              <w:t>NIST CSF 2.0</w:t>
            </w:r>
          </w:p>
        </w:tc>
        <w:tc>
          <w:tcPr>
            <w:tcW w:type="dxa" w:w="3312"/>
          </w:tcPr>
          <w:p>
            <w:r>
              <w:t>Cybersecurity risk management</w:t>
            </w:r>
          </w:p>
        </w:tc>
        <w:tc>
          <w:tcPr>
            <w:tcW w:type="dxa" w:w="3312"/>
          </w:tcPr>
          <w:p>
            <w:r>
              <w:t>Organize governance, risk, protection, detection, response and recovery</w:t>
            </w:r>
          </w:p>
        </w:tc>
      </w:tr>
      <w:tr>
        <w:tc>
          <w:tcPr>
            <w:tcW w:type="dxa" w:w="3312"/>
          </w:tcPr>
          <w:p>
            <w:r>
              <w:t>CERT-In</w:t>
            </w:r>
          </w:p>
        </w:tc>
        <w:tc>
          <w:tcPr>
            <w:tcW w:type="dxa" w:w="3312"/>
          </w:tcPr>
          <w:p>
            <w:r>
              <w:t>Indian cyber incident and information-security practices</w:t>
            </w:r>
          </w:p>
        </w:tc>
        <w:tc>
          <w:tcPr>
            <w:tcW w:type="dxa" w:w="3312"/>
          </w:tcPr>
          <w:p>
            <w:r>
              <w:t>Support applicable Indian incident-response and government-security requirements</w:t>
            </w:r>
          </w:p>
        </w:tc>
      </w:tr>
      <w:tr>
        <w:tc>
          <w:tcPr>
            <w:tcW w:type="dxa" w:w="3312"/>
          </w:tcPr>
          <w:p>
            <w:r>
              <w:t>OWASP Top 10 / API Security</w:t>
            </w:r>
          </w:p>
        </w:tc>
        <w:tc>
          <w:tcPr>
            <w:tcW w:type="dxa" w:w="3312"/>
          </w:tcPr>
          <w:p>
            <w:r>
              <w:t>Application and API security</w:t>
            </w:r>
          </w:p>
        </w:tc>
        <w:tc>
          <w:tcPr>
            <w:tcW w:type="dxa" w:w="3312"/>
          </w:tcPr>
          <w:p>
            <w:r>
              <w:t>Guide secure development, testing and API protection</w:t>
            </w:r>
          </w:p>
        </w:tc>
      </w:tr>
      <w:tr>
        <w:tc>
          <w:tcPr>
            <w:tcW w:type="dxa" w:w="3312"/>
          </w:tcPr>
          <w:p>
            <w:r>
              <w:t>ISO/IEC 27001</w:t>
            </w:r>
          </w:p>
        </w:tc>
        <w:tc>
          <w:tcPr>
            <w:tcW w:type="dxa" w:w="3312"/>
          </w:tcPr>
          <w:p>
            <w:r>
              <w:t>Information Security Management System</w:t>
            </w:r>
          </w:p>
        </w:tc>
        <w:tc>
          <w:tcPr>
            <w:tcW w:type="dxa" w:w="3312"/>
          </w:tcPr>
          <w:p>
            <w:r>
              <w:t>Establish governance, risk treatment, documentation and improvement</w:t>
            </w:r>
          </w:p>
        </w:tc>
      </w:tr>
    </w:tbl>
    <w:p/>
    <w:p>
      <w:pPr>
        <w:pStyle w:val="Heading1"/>
      </w:pPr>
      <w:r>
        <w:t>7. Potential Policy and Regulatory Gap Analysis</w:t>
      </w:r>
    </w:p>
    <w:p>
      <w:pPr>
        <w:spacing w:after="120"/>
      </w:pPr>
      <w:r>
        <w:t>The following are potential areas for improvement in a generic e-governance environment. They should not be treated as findings against a specific organization without supporting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Area</w:t>
            </w:r>
          </w:p>
        </w:tc>
        <w:tc>
          <w:tcPr>
            <w:tcW w:type="dxa" w:w="2484"/>
            <w:shd w:fill="D9EAF7"/>
          </w:tcPr>
          <w:p>
            <w:r>
              <w:rPr>
                <w:b/>
              </w:rPr>
              <w:t>Potential Gap</w:t>
            </w:r>
          </w:p>
        </w:tc>
        <w:tc>
          <w:tcPr>
            <w:tcW w:type="dxa" w:w="2484"/>
            <w:shd w:fill="D9EAF7"/>
          </w:tcPr>
          <w:p>
            <w:r>
              <w:rPr>
                <w:b/>
              </w:rPr>
              <w:t>Security Impact</w:t>
            </w:r>
          </w:p>
        </w:tc>
        <w:tc>
          <w:tcPr>
            <w:tcW w:type="dxa" w:w="2484"/>
            <w:shd w:fill="D9EAF7"/>
          </w:tcPr>
          <w:p>
            <w:r>
              <w:rPr>
                <w:b/>
              </w:rPr>
              <w:t>Recommended Improvement</w:t>
            </w:r>
          </w:p>
        </w:tc>
      </w:tr>
      <w:tr>
        <w:tc>
          <w:tcPr>
            <w:tcW w:type="dxa" w:w="2484"/>
          </w:tcPr>
          <w:p>
            <w:r>
              <w:t>Identity &amp; Access</w:t>
            </w:r>
          </w:p>
        </w:tc>
        <w:tc>
          <w:tcPr>
            <w:tcW w:type="dxa" w:w="2484"/>
          </w:tcPr>
          <w:p>
            <w:r>
              <w:t>MFA or strong authentication may not be consistently required</w:t>
            </w:r>
          </w:p>
        </w:tc>
        <w:tc>
          <w:tcPr>
            <w:tcW w:type="dxa" w:w="2484"/>
          </w:tcPr>
          <w:p>
            <w:r>
              <w:t>Unauthorized access risk</w:t>
            </w:r>
          </w:p>
        </w:tc>
        <w:tc>
          <w:tcPr>
            <w:tcW w:type="dxa" w:w="2484"/>
          </w:tcPr>
          <w:p>
            <w:r>
              <w:t>Risk-based MFA, RBAC, least privilege and access reviews</w:t>
            </w:r>
          </w:p>
        </w:tc>
      </w:tr>
      <w:tr>
        <w:tc>
          <w:tcPr>
            <w:tcW w:type="dxa" w:w="2484"/>
          </w:tcPr>
          <w:p>
            <w:r>
              <w:t>Data Protection</w:t>
            </w:r>
          </w:p>
        </w:tc>
        <w:tc>
          <w:tcPr>
            <w:tcW w:type="dxa" w:w="2484"/>
          </w:tcPr>
          <w:p>
            <w:r>
              <w:t>Classification, retention and encryption may not be uniformly documented</w:t>
            </w:r>
          </w:p>
        </w:tc>
        <w:tc>
          <w:tcPr>
            <w:tcW w:type="dxa" w:w="2484"/>
          </w:tcPr>
          <w:p>
            <w:r>
              <w:t>Data exposure or misuse</w:t>
            </w:r>
          </w:p>
        </w:tc>
        <w:tc>
          <w:tcPr>
            <w:tcW w:type="dxa" w:w="2484"/>
          </w:tcPr>
          <w:p>
            <w:r>
              <w:t>Classification, encryption, retention and secure disposal</w:t>
            </w:r>
          </w:p>
        </w:tc>
      </w:tr>
      <w:tr>
        <w:tc>
          <w:tcPr>
            <w:tcW w:type="dxa" w:w="2484"/>
          </w:tcPr>
          <w:p>
            <w:r>
              <w:t>Incident Response</w:t>
            </w:r>
          </w:p>
        </w:tc>
        <w:tc>
          <w:tcPr>
            <w:tcW w:type="dxa" w:w="2484"/>
          </w:tcPr>
          <w:p>
            <w:r>
              <w:t>Roles and escalation procedures may be unclear</w:t>
            </w:r>
          </w:p>
        </w:tc>
        <w:tc>
          <w:tcPr>
            <w:tcW w:type="dxa" w:w="2484"/>
          </w:tcPr>
          <w:p>
            <w:r>
              <w:t>Delayed containment</w:t>
            </w:r>
          </w:p>
        </w:tc>
        <w:tc>
          <w:tcPr>
            <w:tcW w:type="dxa" w:w="2484"/>
          </w:tcPr>
          <w:p>
            <w:r>
              <w:t>Incident response plan, exercises and evidence procedures</w:t>
            </w:r>
          </w:p>
        </w:tc>
      </w:tr>
      <w:tr>
        <w:tc>
          <w:tcPr>
            <w:tcW w:type="dxa" w:w="2484"/>
          </w:tcPr>
          <w:p>
            <w:r>
              <w:t>Application Security</w:t>
            </w:r>
          </w:p>
        </w:tc>
        <w:tc>
          <w:tcPr>
            <w:tcW w:type="dxa" w:w="2484"/>
          </w:tcPr>
          <w:p>
            <w:r>
              <w:t>Security testing may not be integrated across SDLC</w:t>
            </w:r>
          </w:p>
        </w:tc>
        <w:tc>
          <w:tcPr>
            <w:tcW w:type="dxa" w:w="2484"/>
          </w:tcPr>
          <w:p>
            <w:r>
              <w:t>Vulnerabilities reaching production</w:t>
            </w:r>
          </w:p>
        </w:tc>
        <w:tc>
          <w:tcPr>
            <w:tcW w:type="dxa" w:w="2484"/>
          </w:tcPr>
          <w:p>
            <w:r>
              <w:t>Secure SDLC, code review, dependency scanning and testing</w:t>
            </w:r>
          </w:p>
        </w:tc>
      </w:tr>
      <w:tr>
        <w:tc>
          <w:tcPr>
            <w:tcW w:type="dxa" w:w="2484"/>
          </w:tcPr>
          <w:p>
            <w:r>
              <w:t>API Security</w:t>
            </w:r>
          </w:p>
        </w:tc>
        <w:tc>
          <w:tcPr>
            <w:tcW w:type="dxa" w:w="2484"/>
          </w:tcPr>
          <w:p>
            <w:r>
              <w:t>API inventory or authorization controls may be incomplete</w:t>
            </w:r>
          </w:p>
        </w:tc>
        <w:tc>
          <w:tcPr>
            <w:tcW w:type="dxa" w:w="2484"/>
          </w:tcPr>
          <w:p>
            <w:r>
              <w:t>Unauthorized data access</w:t>
            </w:r>
          </w:p>
        </w:tc>
        <w:tc>
          <w:tcPr>
            <w:tcW w:type="dxa" w:w="2484"/>
          </w:tcPr>
          <w:p>
            <w:r>
              <w:t>API inventory, authorization, rate limits and testing</w:t>
            </w:r>
          </w:p>
        </w:tc>
      </w:tr>
      <w:tr>
        <w:tc>
          <w:tcPr>
            <w:tcW w:type="dxa" w:w="2484"/>
          </w:tcPr>
          <w:p>
            <w:r>
              <w:t>Monitoring</w:t>
            </w:r>
          </w:p>
        </w:tc>
        <w:tc>
          <w:tcPr>
            <w:tcW w:type="dxa" w:w="2484"/>
          </w:tcPr>
          <w:p>
            <w:r>
              <w:t>Logging and alerting requirements may vary</w:t>
            </w:r>
          </w:p>
        </w:tc>
        <w:tc>
          <w:tcPr>
            <w:tcW w:type="dxa" w:w="2484"/>
          </w:tcPr>
          <w:p>
            <w:r>
              <w:t>Delayed detection</w:t>
            </w:r>
          </w:p>
        </w:tc>
        <w:tc>
          <w:tcPr>
            <w:tcW w:type="dxa" w:w="2484"/>
          </w:tcPr>
          <w:p>
            <w:r>
              <w:t>Central logging, alerting and periodic review</w:t>
            </w:r>
          </w:p>
        </w:tc>
      </w:tr>
      <w:tr>
        <w:tc>
          <w:tcPr>
            <w:tcW w:type="dxa" w:w="2484"/>
          </w:tcPr>
          <w:p>
            <w:r>
              <w:t>Third Party</w:t>
            </w:r>
          </w:p>
        </w:tc>
        <w:tc>
          <w:tcPr>
            <w:tcW w:type="dxa" w:w="2484"/>
          </w:tcPr>
          <w:p>
            <w:r>
              <w:t>Vendor security requirements may vary</w:t>
            </w:r>
          </w:p>
        </w:tc>
        <w:tc>
          <w:tcPr>
            <w:tcW w:type="dxa" w:w="2484"/>
          </w:tcPr>
          <w:p>
            <w:r>
              <w:t>Supplier-related risk</w:t>
            </w:r>
          </w:p>
        </w:tc>
        <w:tc>
          <w:tcPr>
            <w:tcW w:type="dxa" w:w="2484"/>
          </w:tcPr>
          <w:p>
            <w:r>
              <w:t>Vendor assessment, security clauses and periodic review</w:t>
            </w:r>
          </w:p>
        </w:tc>
      </w:tr>
      <w:tr>
        <w:tc>
          <w:tcPr>
            <w:tcW w:type="dxa" w:w="2484"/>
          </w:tcPr>
          <w:p>
            <w:r>
              <w:t>Continuity</w:t>
            </w:r>
          </w:p>
        </w:tc>
        <w:tc>
          <w:tcPr>
            <w:tcW w:type="dxa" w:w="2484"/>
          </w:tcPr>
          <w:p>
            <w:r>
              <w:t>Recovery objectives or restoration testing may be insufficient</w:t>
            </w:r>
          </w:p>
        </w:tc>
        <w:tc>
          <w:tcPr>
            <w:tcW w:type="dxa" w:w="2484"/>
          </w:tcPr>
          <w:p>
            <w:r>
              <w:t>Long service outages</w:t>
            </w:r>
          </w:p>
        </w:tc>
        <w:tc>
          <w:tcPr>
            <w:tcW w:type="dxa" w:w="2484"/>
          </w:tcPr>
          <w:p>
            <w:r>
              <w:t>Backups, recovery objectives and restoration exercises</w:t>
            </w:r>
          </w:p>
        </w:tc>
      </w:tr>
      <w:tr>
        <w:tc>
          <w:tcPr>
            <w:tcW w:type="dxa" w:w="2484"/>
          </w:tcPr>
          <w:p>
            <w:r>
              <w:t>Awareness</w:t>
            </w:r>
          </w:p>
        </w:tc>
        <w:tc>
          <w:tcPr>
            <w:tcW w:type="dxa" w:w="2484"/>
          </w:tcPr>
          <w:p>
            <w:r>
              <w:t>Training may not be continuous</w:t>
            </w:r>
          </w:p>
        </w:tc>
        <w:tc>
          <w:tcPr>
            <w:tcW w:type="dxa" w:w="2484"/>
          </w:tcPr>
          <w:p>
            <w:r>
              <w:t>Human-error risk</w:t>
            </w:r>
          </w:p>
        </w:tc>
        <w:tc>
          <w:tcPr>
            <w:tcW w:type="dxa" w:w="2484"/>
          </w:tcPr>
          <w:p>
            <w:r>
              <w:t>Regular and role-based awareness training</w:t>
            </w:r>
          </w:p>
        </w:tc>
      </w:tr>
      <w:tr>
        <w:tc>
          <w:tcPr>
            <w:tcW w:type="dxa" w:w="2484"/>
          </w:tcPr>
          <w:p>
            <w:r>
              <w:t>Compliance Evidence</w:t>
            </w:r>
          </w:p>
        </w:tc>
        <w:tc>
          <w:tcPr>
            <w:tcW w:type="dxa" w:w="2484"/>
          </w:tcPr>
          <w:p>
            <w:r>
              <w:t>Controls may lack consistent evidence and ownership</w:t>
            </w:r>
          </w:p>
        </w:tc>
        <w:tc>
          <w:tcPr>
            <w:tcW w:type="dxa" w:w="2484"/>
          </w:tcPr>
          <w:p>
            <w:r>
              <w:t>Difficult compliance demonstration</w:t>
            </w:r>
          </w:p>
        </w:tc>
        <w:tc>
          <w:tcPr>
            <w:tcW w:type="dxa" w:w="2484"/>
          </w:tcPr>
          <w:p>
            <w:r>
              <w:t>Control owners, evidence register and audit schedule</w:t>
            </w:r>
          </w:p>
        </w:tc>
      </w:tr>
    </w:tbl>
    <w:p/>
    <w:p>
      <w:pPr>
        <w:pStyle w:val="Heading1"/>
      </w:pPr>
      <w:r>
        <w:t>8. Risk and Security Impact</w:t>
      </w:r>
    </w:p>
    <w:p>
      <w:pPr>
        <w:spacing w:after="120"/>
      </w:pPr>
      <w:r>
        <w:t>Potential policy gaps can affect confidentiality, integrity, availability, privacy, and public trust. Weak access governance can increase unauthorized-access risk; insufficient monitoring can delay detection; inadequate recovery planning can increase downtime; and weak supplier controls can introduce external dependencies.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Risk Area</w:t>
            </w:r>
          </w:p>
        </w:tc>
        <w:tc>
          <w:tcPr>
            <w:tcW w:type="dxa" w:w="1987"/>
            <w:shd w:fill="D9EAF7"/>
          </w:tcPr>
          <w:p>
            <w:r>
              <w:rPr>
                <w:b/>
              </w:rPr>
              <w:t>Likelihood</w:t>
            </w:r>
          </w:p>
        </w:tc>
        <w:tc>
          <w:tcPr>
            <w:tcW w:type="dxa" w:w="1987"/>
            <w:shd w:fill="D9EAF7"/>
          </w:tcPr>
          <w:p>
            <w:r>
              <w:rPr>
                <w:b/>
              </w:rPr>
              <w:t>Impact</w:t>
            </w:r>
          </w:p>
        </w:tc>
        <w:tc>
          <w:tcPr>
            <w:tcW w:type="dxa" w:w="1987"/>
            <w:shd w:fill="D9EAF7"/>
          </w:tcPr>
          <w:p>
            <w:r>
              <w:rPr>
                <w:b/>
              </w:rPr>
              <w:t>Priority</w:t>
            </w:r>
          </w:p>
        </w:tc>
        <w:tc>
          <w:tcPr>
            <w:tcW w:type="dxa" w:w="1987"/>
            <w:shd w:fill="D9EAF7"/>
          </w:tcPr>
          <w:p>
            <w:r>
              <w:rPr>
                <w:b/>
              </w:rPr>
              <w:t>Key Control</w:t>
            </w:r>
          </w:p>
        </w:tc>
      </w:tr>
      <w:tr>
        <w:tc>
          <w:tcPr>
            <w:tcW w:type="dxa" w:w="1987"/>
          </w:tcPr>
          <w:p>
            <w:r>
              <w:t>Unauthorized access</w:t>
            </w:r>
          </w:p>
        </w:tc>
        <w:tc>
          <w:tcPr>
            <w:tcW w:type="dxa" w:w="1987"/>
          </w:tcPr>
          <w:p>
            <w:r>
              <w:t>Medium</w:t>
            </w:r>
          </w:p>
        </w:tc>
        <w:tc>
          <w:tcPr>
            <w:tcW w:type="dxa" w:w="1987"/>
          </w:tcPr>
          <w:p>
            <w:r>
              <w:t>High</w:t>
            </w:r>
          </w:p>
        </w:tc>
        <w:tc>
          <w:tcPr>
            <w:tcW w:type="dxa" w:w="1987"/>
          </w:tcPr>
          <w:p>
            <w:r>
              <w:t>High</w:t>
            </w:r>
          </w:p>
        </w:tc>
        <w:tc>
          <w:tcPr>
            <w:tcW w:type="dxa" w:w="1987"/>
          </w:tcPr>
          <w:p>
            <w:r>
              <w:t>MFA, RBAC, least privilege</w:t>
            </w:r>
          </w:p>
        </w:tc>
      </w:tr>
      <w:tr>
        <w:tc>
          <w:tcPr>
            <w:tcW w:type="dxa" w:w="1987"/>
          </w:tcPr>
          <w:p>
            <w:r>
              <w:t>Sensitive data exposure</w:t>
            </w:r>
          </w:p>
        </w:tc>
        <w:tc>
          <w:tcPr>
            <w:tcW w:type="dxa" w:w="1987"/>
          </w:tcPr>
          <w:p>
            <w:r>
              <w:t>Medium</w:t>
            </w:r>
          </w:p>
        </w:tc>
        <w:tc>
          <w:tcPr>
            <w:tcW w:type="dxa" w:w="1987"/>
          </w:tcPr>
          <w:p>
            <w:r>
              <w:t>High</w:t>
            </w:r>
          </w:p>
        </w:tc>
        <w:tc>
          <w:tcPr>
            <w:tcW w:type="dxa" w:w="1987"/>
          </w:tcPr>
          <w:p>
            <w:r>
              <w:t>High</w:t>
            </w:r>
          </w:p>
        </w:tc>
        <w:tc>
          <w:tcPr>
            <w:tcW w:type="dxa" w:w="1987"/>
          </w:tcPr>
          <w:p>
            <w:r>
              <w:t>Encryption, classification, retention</w:t>
            </w:r>
          </w:p>
        </w:tc>
      </w:tr>
      <w:tr>
        <w:tc>
          <w:tcPr>
            <w:tcW w:type="dxa" w:w="1987"/>
          </w:tcPr>
          <w:p>
            <w:r>
              <w:t>Delayed incident response</w:t>
            </w:r>
          </w:p>
        </w:tc>
        <w:tc>
          <w:tcPr>
            <w:tcW w:type="dxa" w:w="1987"/>
          </w:tcPr>
          <w:p>
            <w:r>
              <w:t>Medium</w:t>
            </w:r>
          </w:p>
        </w:tc>
        <w:tc>
          <w:tcPr>
            <w:tcW w:type="dxa" w:w="1987"/>
          </w:tcPr>
          <w:p>
            <w:r>
              <w:t>High</w:t>
            </w:r>
          </w:p>
        </w:tc>
        <w:tc>
          <w:tcPr>
            <w:tcW w:type="dxa" w:w="1987"/>
          </w:tcPr>
          <w:p>
            <w:r>
              <w:t>High</w:t>
            </w:r>
          </w:p>
        </w:tc>
        <w:tc>
          <w:tcPr>
            <w:tcW w:type="dxa" w:w="1987"/>
          </w:tcPr>
          <w:p>
            <w:r>
              <w:t>IR plan, escalation, exercises</w:t>
            </w:r>
          </w:p>
        </w:tc>
      </w:tr>
      <w:tr>
        <w:tc>
          <w:tcPr>
            <w:tcW w:type="dxa" w:w="1987"/>
          </w:tcPr>
          <w:p>
            <w:r>
              <w:t>Application/API vulnerabilities</w:t>
            </w:r>
          </w:p>
        </w:tc>
        <w:tc>
          <w:tcPr>
            <w:tcW w:type="dxa" w:w="1987"/>
          </w:tcPr>
          <w:p>
            <w:r>
              <w:t>Medium</w:t>
            </w:r>
          </w:p>
        </w:tc>
        <w:tc>
          <w:tcPr>
            <w:tcW w:type="dxa" w:w="1987"/>
          </w:tcPr>
          <w:p>
            <w:r>
              <w:t>High</w:t>
            </w:r>
          </w:p>
        </w:tc>
        <w:tc>
          <w:tcPr>
            <w:tcW w:type="dxa" w:w="1987"/>
          </w:tcPr>
          <w:p>
            <w:r>
              <w:t>High</w:t>
            </w:r>
          </w:p>
        </w:tc>
        <w:tc>
          <w:tcPr>
            <w:tcW w:type="dxa" w:w="1987"/>
          </w:tcPr>
          <w:p>
            <w:r>
              <w:t>Secure SDLC and security testing</w:t>
            </w:r>
          </w:p>
        </w:tc>
      </w:tr>
      <w:tr>
        <w:tc>
          <w:tcPr>
            <w:tcW w:type="dxa" w:w="1987"/>
          </w:tcPr>
          <w:p>
            <w:r>
              <w:t>Service disruption</w:t>
            </w:r>
          </w:p>
        </w:tc>
        <w:tc>
          <w:tcPr>
            <w:tcW w:type="dxa" w:w="1987"/>
          </w:tcPr>
          <w:p>
            <w:r>
              <w:t>Medium</w:t>
            </w:r>
          </w:p>
        </w:tc>
        <w:tc>
          <w:tcPr>
            <w:tcW w:type="dxa" w:w="1987"/>
          </w:tcPr>
          <w:p>
            <w:r>
              <w:t>High</w:t>
            </w:r>
          </w:p>
        </w:tc>
        <w:tc>
          <w:tcPr>
            <w:tcW w:type="dxa" w:w="1987"/>
          </w:tcPr>
          <w:p>
            <w:r>
              <w:t>High</w:t>
            </w:r>
          </w:p>
        </w:tc>
        <w:tc>
          <w:tcPr>
            <w:tcW w:type="dxa" w:w="1987"/>
          </w:tcPr>
          <w:p>
            <w:r>
              <w:t>Backups and recovery testing</w:t>
            </w:r>
          </w:p>
        </w:tc>
      </w:tr>
      <w:tr>
        <w:tc>
          <w:tcPr>
            <w:tcW w:type="dxa" w:w="1987"/>
          </w:tcPr>
          <w:p>
            <w:r>
              <w:t>Third-party weakness</w:t>
            </w:r>
          </w:p>
        </w:tc>
        <w:tc>
          <w:tcPr>
            <w:tcW w:type="dxa" w:w="1987"/>
          </w:tcPr>
          <w:p>
            <w:r>
              <w:t>Medium</w:t>
            </w:r>
          </w:p>
        </w:tc>
        <w:tc>
          <w:tcPr>
            <w:tcW w:type="dxa" w:w="1987"/>
          </w:tcPr>
          <w:p>
            <w:r>
              <w:t>Medium</w:t>
            </w:r>
          </w:p>
        </w:tc>
        <w:tc>
          <w:tcPr>
            <w:tcW w:type="dxa" w:w="1987"/>
          </w:tcPr>
          <w:p>
            <w:r>
              <w:t>Medium</w:t>
            </w:r>
          </w:p>
        </w:tc>
        <w:tc>
          <w:tcPr>
            <w:tcW w:type="dxa" w:w="1987"/>
          </w:tcPr>
          <w:p>
            <w:r>
              <w:t>Vendor risk assessment</w:t>
            </w:r>
          </w:p>
        </w:tc>
      </w:tr>
      <w:tr>
        <w:tc>
          <w:tcPr>
            <w:tcW w:type="dxa" w:w="1987"/>
          </w:tcPr>
          <w:p>
            <w:r>
              <w:t>Insufficient monitoring</w:t>
            </w:r>
          </w:p>
        </w:tc>
        <w:tc>
          <w:tcPr>
            <w:tcW w:type="dxa" w:w="1987"/>
          </w:tcPr>
          <w:p>
            <w:r>
              <w:t>Medium</w:t>
            </w:r>
          </w:p>
        </w:tc>
        <w:tc>
          <w:tcPr>
            <w:tcW w:type="dxa" w:w="1987"/>
          </w:tcPr>
          <w:p>
            <w:r>
              <w:t>Medium</w:t>
            </w:r>
          </w:p>
        </w:tc>
        <w:tc>
          <w:tcPr>
            <w:tcW w:type="dxa" w:w="1987"/>
          </w:tcPr>
          <w:p>
            <w:r>
              <w:t>Medium</w:t>
            </w:r>
          </w:p>
        </w:tc>
        <w:tc>
          <w:tcPr>
            <w:tcW w:type="dxa" w:w="1987"/>
          </w:tcPr>
          <w:p>
            <w:r>
              <w:t>Central logging and alerting</w:t>
            </w:r>
          </w:p>
        </w:tc>
      </w:tr>
    </w:tbl>
    <w:p/>
    <w:p>
      <w:pPr>
        <w:pStyle w:val="Heading1"/>
      </w:pPr>
      <w:r>
        <w:t>9. Proposed E-Governance Compliance Framework</w:t>
      </w:r>
    </w:p>
    <w:p>
      <w:pPr>
        <w:pStyle w:val="Heading2"/>
      </w:pPr>
      <w:r>
        <w:t>9.1 Governance and Accountability</w:t>
      </w:r>
    </w:p>
    <w:p>
      <w:pPr>
        <w:spacing w:after="120"/>
      </w:pPr>
      <w:r>
        <w:t>Establish a cybersecurity policy, define accountable owners, maintain a governance mechanism, and review policy at defined intervals.</w:t>
      </w:r>
    </w:p>
    <w:p>
      <w:pPr>
        <w:pStyle w:val="Heading2"/>
      </w:pPr>
      <w:r>
        <w:t>9.2 Asset and Risk Management</w:t>
      </w:r>
    </w:p>
    <w:p>
      <w:pPr>
        <w:spacing w:after="120"/>
      </w:pPr>
      <w:r>
        <w:t>Maintain inventories of applications, APIs, databases, infrastructure and data. Conduct periodic risk assessments and prioritize treatment based on impact.</w:t>
      </w:r>
    </w:p>
    <w:p>
      <w:pPr>
        <w:pStyle w:val="Heading2"/>
      </w:pPr>
      <w:r>
        <w:t>9.3 Identity and Access Management</w:t>
      </w:r>
    </w:p>
    <w:p>
      <w:pPr>
        <w:spacing w:after="120"/>
      </w:pPr>
      <w:r>
        <w:t>Apply least privilege, role-based access, appropriate MFA, joiner-mover-leaver processes, privileged-account controls and periodic access reviews.</w:t>
      </w:r>
    </w:p>
    <w:p>
      <w:pPr>
        <w:pStyle w:val="Heading2"/>
      </w:pPr>
      <w:r>
        <w:t>9.4 Data Protection and Privacy</w:t>
      </w:r>
    </w:p>
    <w:p>
      <w:pPr>
        <w:spacing w:after="120"/>
      </w:pPr>
      <w:r>
        <w:t>Classify information, apply appropriate encryption and access controls, define retention and secure disposal, and document responsibilities for personal and sensitive data.</w:t>
      </w:r>
    </w:p>
    <w:p>
      <w:pPr>
        <w:pStyle w:val="Heading2"/>
      </w:pPr>
      <w:r>
        <w:t>9.5 Secure Application and API Development</w:t>
      </w:r>
    </w:p>
    <w:p>
      <w:pPr>
        <w:spacing w:after="120"/>
      </w:pPr>
      <w:r>
        <w:t>Use secure SDLC practices, threat modeling, code review, dependency management, vulnerability testing, API inventory and authorization testing.</w:t>
      </w:r>
    </w:p>
    <w:p>
      <w:pPr>
        <w:pStyle w:val="Heading2"/>
      </w:pPr>
      <w:r>
        <w:t>9.6 Vulnerability and Patch Management</w:t>
      </w:r>
    </w:p>
    <w:p>
      <w:pPr>
        <w:spacing w:after="120"/>
      </w:pPr>
      <w:r>
        <w:t>Maintain vulnerability inventories, prioritize remediation by risk, track exceptions, and verify timely security updates for critical systems.</w:t>
      </w:r>
    </w:p>
    <w:p>
      <w:pPr>
        <w:pStyle w:val="Heading2"/>
      </w:pPr>
      <w:r>
        <w:t>9.7 Incident Response</w:t>
      </w:r>
    </w:p>
    <w:p>
      <w:pPr>
        <w:spacing w:after="120"/>
      </w:pPr>
      <w:r>
        <w:t>Maintain incident categories, escalation contacts, response procedures, evidence-handling practices, communication plans and periodic exercises.</w:t>
      </w:r>
    </w:p>
    <w:p>
      <w:pPr>
        <w:pStyle w:val="Heading2"/>
      </w:pPr>
      <w:r>
        <w:t>9.8 Business Continuity and Recovery</w:t>
      </w:r>
    </w:p>
    <w:p>
      <w:pPr>
        <w:spacing w:after="120"/>
      </w:pPr>
      <w:r>
        <w:t>Define recovery objectives, maintain tested backups, document restoration procedures and conduct recovery exercises for critical services.</w:t>
      </w:r>
    </w:p>
    <w:p>
      <w:pPr>
        <w:pStyle w:val="Heading2"/>
      </w:pPr>
      <w:r>
        <w:t>9.9 Logging, Monitoring and Audit</w:t>
      </w:r>
    </w:p>
    <w:p>
      <w:pPr>
        <w:spacing w:after="120"/>
      </w:pPr>
      <w:r>
        <w:t>Define required logs, protect logs from unauthorized modification, establish alerting, review events, and maintain audit evidence.</w:t>
      </w:r>
    </w:p>
    <w:p>
      <w:pPr>
        <w:pStyle w:val="Heading2"/>
      </w:pPr>
      <w:r>
        <w:t>9.10 Third-Party and Supply-Chain Security</w:t>
      </w:r>
    </w:p>
    <w:p>
      <w:pPr>
        <w:spacing w:after="120"/>
      </w:pPr>
      <w:r>
        <w:t>Assess suppliers based on risk, include security and incident-notification clauses, review critical vendors periodically and manage dependencies.</w:t>
      </w:r>
    </w:p>
    <w:p>
      <w:pPr>
        <w:pStyle w:val="Heading2"/>
      </w:pPr>
      <w:r>
        <w:t>9.11 Workforce Awareness</w:t>
      </w:r>
    </w:p>
    <w:p>
      <w:pPr>
        <w:spacing w:after="120"/>
      </w:pPr>
      <w:r>
        <w:t>Provide induction and periodic security awareness training, with role-based training for administrators, developers and responders.</w:t>
      </w:r>
    </w:p>
    <w:p>
      <w:pPr>
        <w:pStyle w:val="Heading2"/>
      </w:pPr>
      <w:r>
        <w:t>9.12 Continuous Improvement</w:t>
      </w:r>
    </w:p>
    <w:p>
      <w:pPr>
        <w:spacing w:after="120"/>
      </w:pPr>
      <w:r>
        <w:t>Track security metrics, audit findings and incidents; assign corrective actions; review effectiveness; and update policies as risks change.</w:t>
      </w:r>
    </w:p>
    <w:p>
      <w:pPr>
        <w:pStyle w:val="Heading1"/>
      </w:pPr>
      <w:r>
        <w:t>10. Compliance Control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Control Domain</w:t>
            </w:r>
          </w:p>
        </w:tc>
        <w:tc>
          <w:tcPr>
            <w:tcW w:type="dxa" w:w="2484"/>
            <w:shd w:fill="D9EAF7"/>
          </w:tcPr>
          <w:p>
            <w:r>
              <w:rPr>
                <w:b/>
              </w:rPr>
              <w:t>Minimum Control</w:t>
            </w:r>
          </w:p>
        </w:tc>
        <w:tc>
          <w:tcPr>
            <w:tcW w:type="dxa" w:w="2484"/>
            <w:shd w:fill="D9EAF7"/>
          </w:tcPr>
          <w:p>
            <w:r>
              <w:rPr>
                <w:b/>
              </w:rPr>
              <w:t>Evidence</w:t>
            </w:r>
          </w:p>
        </w:tc>
        <w:tc>
          <w:tcPr>
            <w:tcW w:type="dxa" w:w="2484"/>
            <w:shd w:fill="D9EAF7"/>
          </w:tcPr>
          <w:p>
            <w:r>
              <w:rPr>
                <w:b/>
              </w:rPr>
              <w:t>Review</w:t>
            </w:r>
          </w:p>
        </w:tc>
      </w:tr>
      <w:tr>
        <w:tc>
          <w:tcPr>
            <w:tcW w:type="dxa" w:w="2484"/>
          </w:tcPr>
          <w:p>
            <w:r>
              <w:t>Governance</w:t>
            </w:r>
          </w:p>
        </w:tc>
        <w:tc>
          <w:tcPr>
            <w:tcW w:type="dxa" w:w="2484"/>
          </w:tcPr>
          <w:p>
            <w:r>
              <w:t>Approved policy and assigned owners</w:t>
            </w:r>
          </w:p>
        </w:tc>
        <w:tc>
          <w:tcPr>
            <w:tcW w:type="dxa" w:w="2484"/>
          </w:tcPr>
          <w:p>
            <w:r>
              <w:t>Policy approval, owner register</w:t>
            </w:r>
          </w:p>
        </w:tc>
        <w:tc>
          <w:tcPr>
            <w:tcW w:type="dxa" w:w="2484"/>
          </w:tcPr>
          <w:p>
            <w:r>
              <w:t>Annual / major change</w:t>
            </w:r>
          </w:p>
        </w:tc>
      </w:tr>
      <w:tr>
        <w:tc>
          <w:tcPr>
            <w:tcW w:type="dxa" w:w="2484"/>
          </w:tcPr>
          <w:p>
            <w:r>
              <w:t>Access</w:t>
            </w:r>
          </w:p>
        </w:tc>
        <w:tc>
          <w:tcPr>
            <w:tcW w:type="dxa" w:w="2484"/>
          </w:tcPr>
          <w:p>
            <w:r>
              <w:t>MFA/RBAC/least privilege where appropriate</w:t>
            </w:r>
          </w:p>
        </w:tc>
        <w:tc>
          <w:tcPr>
            <w:tcW w:type="dxa" w:w="2484"/>
          </w:tcPr>
          <w:p>
            <w:r>
              <w:t>Access reviews</w:t>
            </w:r>
          </w:p>
        </w:tc>
        <w:tc>
          <w:tcPr>
            <w:tcW w:type="dxa" w:w="2484"/>
          </w:tcPr>
          <w:p>
            <w:r>
              <w:t>Quarterly / risk-based</w:t>
            </w:r>
          </w:p>
        </w:tc>
      </w:tr>
      <w:tr>
        <w:tc>
          <w:tcPr>
            <w:tcW w:type="dxa" w:w="2484"/>
          </w:tcPr>
          <w:p>
            <w:r>
              <w:t>Data</w:t>
            </w:r>
          </w:p>
        </w:tc>
        <w:tc>
          <w:tcPr>
            <w:tcW w:type="dxa" w:w="2484"/>
          </w:tcPr>
          <w:p>
            <w:r>
              <w:t>Classification, encryption, retention</w:t>
            </w:r>
          </w:p>
        </w:tc>
        <w:tc>
          <w:tcPr>
            <w:tcW w:type="dxa" w:w="2484"/>
          </w:tcPr>
          <w:p>
            <w:r>
              <w:t>Data inventory and records</w:t>
            </w:r>
          </w:p>
        </w:tc>
        <w:tc>
          <w:tcPr>
            <w:tcW w:type="dxa" w:w="2484"/>
          </w:tcPr>
          <w:p>
            <w:r>
              <w:t>Periodic</w:t>
            </w:r>
          </w:p>
        </w:tc>
      </w:tr>
      <w:tr>
        <w:tc>
          <w:tcPr>
            <w:tcW w:type="dxa" w:w="2484"/>
          </w:tcPr>
          <w:p>
            <w:r>
              <w:t>Application</w:t>
            </w:r>
          </w:p>
        </w:tc>
        <w:tc>
          <w:tcPr>
            <w:tcW w:type="dxa" w:w="2484"/>
          </w:tcPr>
          <w:p>
            <w:r>
              <w:t>Secure SDLC and security testing</w:t>
            </w:r>
          </w:p>
        </w:tc>
        <w:tc>
          <w:tcPr>
            <w:tcW w:type="dxa" w:w="2484"/>
          </w:tcPr>
          <w:p>
            <w:r>
              <w:t>Test reports and tickets</w:t>
            </w:r>
          </w:p>
        </w:tc>
        <w:tc>
          <w:tcPr>
            <w:tcW w:type="dxa" w:w="2484"/>
          </w:tcPr>
          <w:p>
            <w:r>
              <w:t>Each release</w:t>
            </w:r>
          </w:p>
        </w:tc>
      </w:tr>
      <w:tr>
        <w:tc>
          <w:tcPr>
            <w:tcW w:type="dxa" w:w="2484"/>
          </w:tcPr>
          <w:p>
            <w:r>
              <w:t>Incident Response</w:t>
            </w:r>
          </w:p>
        </w:tc>
        <w:tc>
          <w:tcPr>
            <w:tcW w:type="dxa" w:w="2484"/>
          </w:tcPr>
          <w:p>
            <w:r>
              <w:t>Plan and exercises</w:t>
            </w:r>
          </w:p>
        </w:tc>
        <w:tc>
          <w:tcPr>
            <w:tcW w:type="dxa" w:w="2484"/>
          </w:tcPr>
          <w:p>
            <w:r>
              <w:t>IR plan and exercise reports</w:t>
            </w:r>
          </w:p>
        </w:tc>
        <w:tc>
          <w:tcPr>
            <w:tcW w:type="dxa" w:w="2484"/>
          </w:tcPr>
          <w:p>
            <w:r>
              <w:t>Annual / after major incident</w:t>
            </w:r>
          </w:p>
        </w:tc>
      </w:tr>
      <w:tr>
        <w:tc>
          <w:tcPr>
            <w:tcW w:type="dxa" w:w="2484"/>
          </w:tcPr>
          <w:p>
            <w:r>
              <w:t>Backup</w:t>
            </w:r>
          </w:p>
        </w:tc>
        <w:tc>
          <w:tcPr>
            <w:tcW w:type="dxa" w:w="2484"/>
          </w:tcPr>
          <w:p>
            <w:r>
              <w:t>Protected backups and restore tests</w:t>
            </w:r>
          </w:p>
        </w:tc>
        <w:tc>
          <w:tcPr>
            <w:tcW w:type="dxa" w:w="2484"/>
          </w:tcPr>
          <w:p>
            <w:r>
              <w:t>Backup/restore records</w:t>
            </w:r>
          </w:p>
        </w:tc>
        <w:tc>
          <w:tcPr>
            <w:tcW w:type="dxa" w:w="2484"/>
          </w:tcPr>
          <w:p>
            <w:r>
              <w:t>Regularly</w:t>
            </w:r>
          </w:p>
        </w:tc>
      </w:tr>
      <w:tr>
        <w:tc>
          <w:tcPr>
            <w:tcW w:type="dxa" w:w="2484"/>
          </w:tcPr>
          <w:p>
            <w:r>
              <w:t>Monitoring</w:t>
            </w:r>
          </w:p>
        </w:tc>
        <w:tc>
          <w:tcPr>
            <w:tcW w:type="dxa" w:w="2484"/>
          </w:tcPr>
          <w:p>
            <w:r>
              <w:t>Logging and alerting</w:t>
            </w:r>
          </w:p>
        </w:tc>
        <w:tc>
          <w:tcPr>
            <w:tcW w:type="dxa" w:w="2484"/>
          </w:tcPr>
          <w:p>
            <w:r>
              <w:t>Monitoring evidence</w:t>
            </w:r>
          </w:p>
        </w:tc>
        <w:tc>
          <w:tcPr>
            <w:tcW w:type="dxa" w:w="2484"/>
          </w:tcPr>
          <w:p>
            <w:r>
              <w:t>Continuous / periodic review</w:t>
            </w:r>
          </w:p>
        </w:tc>
      </w:tr>
      <w:tr>
        <w:tc>
          <w:tcPr>
            <w:tcW w:type="dxa" w:w="2484"/>
          </w:tcPr>
          <w:p>
            <w:r>
              <w:t>Third Party</w:t>
            </w:r>
          </w:p>
        </w:tc>
        <w:tc>
          <w:tcPr>
            <w:tcW w:type="dxa" w:w="2484"/>
          </w:tcPr>
          <w:p>
            <w:r>
              <w:t>Vendor assessment</w:t>
            </w:r>
          </w:p>
        </w:tc>
        <w:tc>
          <w:tcPr>
            <w:tcW w:type="dxa" w:w="2484"/>
          </w:tcPr>
          <w:p>
            <w:r>
              <w:t>Assessment and contract evidence</w:t>
            </w:r>
          </w:p>
        </w:tc>
        <w:tc>
          <w:tcPr>
            <w:tcW w:type="dxa" w:w="2484"/>
          </w:tcPr>
          <w:p>
            <w:r>
              <w:t>Onboarding / periodic</w:t>
            </w:r>
          </w:p>
        </w:tc>
      </w:tr>
      <w:tr>
        <w:tc>
          <w:tcPr>
            <w:tcW w:type="dxa" w:w="2484"/>
          </w:tcPr>
          <w:p>
            <w:r>
              <w:t>Training</w:t>
            </w:r>
          </w:p>
        </w:tc>
        <w:tc>
          <w:tcPr>
            <w:tcW w:type="dxa" w:w="2484"/>
          </w:tcPr>
          <w:p>
            <w:r>
              <w:t>Security awareness</w:t>
            </w:r>
          </w:p>
        </w:tc>
        <w:tc>
          <w:tcPr>
            <w:tcW w:type="dxa" w:w="2484"/>
          </w:tcPr>
          <w:p>
            <w:r>
              <w:t>Training records</w:t>
            </w:r>
          </w:p>
        </w:tc>
        <w:tc>
          <w:tcPr>
            <w:tcW w:type="dxa" w:w="2484"/>
          </w:tcPr>
          <w:p>
            <w:r>
              <w:t>Annual / role-based</w:t>
            </w:r>
          </w:p>
        </w:tc>
      </w:tr>
      <w:tr>
        <w:tc>
          <w:tcPr>
            <w:tcW w:type="dxa" w:w="2484"/>
          </w:tcPr>
          <w:p>
            <w:r>
              <w:t>Audit</w:t>
            </w:r>
          </w:p>
        </w:tc>
        <w:tc>
          <w:tcPr>
            <w:tcW w:type="dxa" w:w="2484"/>
          </w:tcPr>
          <w:p>
            <w:r>
              <w:t>Compliance review and corrective actions</w:t>
            </w:r>
          </w:p>
        </w:tc>
        <w:tc>
          <w:tcPr>
            <w:tcW w:type="dxa" w:w="2484"/>
          </w:tcPr>
          <w:p>
            <w:r>
              <w:t>Audit report/action tracker</w:t>
            </w:r>
          </w:p>
        </w:tc>
        <w:tc>
          <w:tcPr>
            <w:tcW w:type="dxa" w:w="2484"/>
          </w:tcPr>
          <w:p>
            <w:r>
              <w:t>Annual / risk-based</w:t>
            </w:r>
          </w:p>
        </w:tc>
      </w:tr>
    </w:tbl>
    <w:p/>
    <w:p>
      <w:pPr>
        <w:pStyle w:val="Heading1"/>
      </w:pPr>
      <w:r>
        <w:t>11.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Phase</w:t>
            </w:r>
          </w:p>
        </w:tc>
        <w:tc>
          <w:tcPr>
            <w:tcW w:type="dxa" w:w="3312"/>
            <w:shd w:fill="D9EAF7"/>
          </w:tcPr>
          <w:p>
            <w:r>
              <w:rPr>
                <w:b/>
              </w:rPr>
              <w:t>Activities</w:t>
            </w:r>
          </w:p>
        </w:tc>
        <w:tc>
          <w:tcPr>
            <w:tcW w:type="dxa" w:w="3312"/>
            <w:shd w:fill="D9EAF7"/>
          </w:tcPr>
          <w:p>
            <w:r>
              <w:rPr>
                <w:b/>
              </w:rPr>
              <w:t>Expected Output</w:t>
            </w:r>
          </w:p>
        </w:tc>
      </w:tr>
      <w:tr>
        <w:tc>
          <w:tcPr>
            <w:tcW w:type="dxa" w:w="3312"/>
          </w:tcPr>
          <w:p>
            <w:r>
              <w:t>0–30 days</w:t>
            </w:r>
          </w:p>
        </w:tc>
        <w:tc>
          <w:tcPr>
            <w:tcW w:type="dxa" w:w="3312"/>
          </w:tcPr>
          <w:p>
            <w:r>
              <w:t>Governance, asset inventory, policy baseline and risk assessment</w:t>
            </w:r>
          </w:p>
        </w:tc>
        <w:tc>
          <w:tcPr>
            <w:tcW w:type="dxa" w:w="3312"/>
          </w:tcPr>
          <w:p>
            <w:r>
              <w:t>Scope, asset register and initial risk register</w:t>
            </w:r>
          </w:p>
        </w:tc>
      </w:tr>
      <w:tr>
        <w:tc>
          <w:tcPr>
            <w:tcW w:type="dxa" w:w="3312"/>
          </w:tcPr>
          <w:p>
            <w:r>
              <w:t>31–60 days</w:t>
            </w:r>
          </w:p>
        </w:tc>
        <w:tc>
          <w:tcPr>
            <w:tcW w:type="dxa" w:w="3312"/>
          </w:tcPr>
          <w:p>
            <w:r>
              <w:t>Access review, data classification, incident planning and vendor review</w:t>
            </w:r>
          </w:p>
        </w:tc>
        <w:tc>
          <w:tcPr>
            <w:tcW w:type="dxa" w:w="3312"/>
          </w:tcPr>
          <w:p>
            <w:r>
              <w:t>Control baseline and remediation plan</w:t>
            </w:r>
          </w:p>
        </w:tc>
      </w:tr>
      <w:tr>
        <w:tc>
          <w:tcPr>
            <w:tcW w:type="dxa" w:w="3312"/>
          </w:tcPr>
          <w:p>
            <w:r>
              <w:t>61–90 days</w:t>
            </w:r>
          </w:p>
        </w:tc>
        <w:tc>
          <w:tcPr>
            <w:tcW w:type="dxa" w:w="3312"/>
          </w:tcPr>
          <w:p>
            <w:r>
              <w:t>Application/API security, monitoring, backup testing and training</w:t>
            </w:r>
          </w:p>
        </w:tc>
        <w:tc>
          <w:tcPr>
            <w:tcW w:type="dxa" w:w="3312"/>
          </w:tcPr>
          <w:p>
            <w:r>
              <w:t>Priority controls and evidence</w:t>
            </w:r>
          </w:p>
        </w:tc>
      </w:tr>
      <w:tr>
        <w:tc>
          <w:tcPr>
            <w:tcW w:type="dxa" w:w="3312"/>
          </w:tcPr>
          <w:p>
            <w:r>
              <w:t>Ongoing</w:t>
            </w:r>
          </w:p>
        </w:tc>
        <w:tc>
          <w:tcPr>
            <w:tcW w:type="dxa" w:w="3312"/>
          </w:tcPr>
          <w:p>
            <w:r>
              <w:t>Audit, metrics, exercises, policy updates and improvement</w:t>
            </w:r>
          </w:p>
        </w:tc>
        <w:tc>
          <w:tcPr>
            <w:tcW w:type="dxa" w:w="3312"/>
          </w:tcPr>
          <w:p>
            <w:r>
              <w:t>Recurring compliance cycle</w:t>
            </w:r>
          </w:p>
        </w:tc>
      </w:tr>
    </w:tbl>
    <w:p/>
    <w:p>
      <w:pPr>
        <w:pStyle w:val="Heading1"/>
      </w:pPr>
      <w:r>
        <w:t>12. Key Recommendations</w:t>
      </w:r>
    </w:p>
    <w:p>
      <w:pPr>
        <w:pStyle w:val="ListBullet"/>
      </w:pPr>
      <w:r>
        <w:t>Adopt risk-based cybersecurity governance with clear ownership.</w:t>
      </w:r>
    </w:p>
    <w:p>
      <w:pPr>
        <w:pStyle w:val="ListBullet"/>
      </w:pPr>
      <w:r>
        <w:t>Use MFA and least-privilege access for appropriate sensitive systems.</w:t>
      </w:r>
    </w:p>
    <w:p>
      <w:pPr>
        <w:pStyle w:val="ListBullet"/>
      </w:pPr>
      <w:r>
        <w:t>Maintain inventories of assets, applications, APIs, data and suppliers.</w:t>
      </w:r>
    </w:p>
    <w:p>
      <w:pPr>
        <w:pStyle w:val="ListBullet"/>
      </w:pPr>
      <w:r>
        <w:t>Integrate secure development and application/API testing into the software lifecycle.</w:t>
      </w:r>
    </w:p>
    <w:p>
      <w:pPr>
        <w:pStyle w:val="ListBullet"/>
      </w:pPr>
      <w:r>
        <w:t>Maintain an incident-response process and conduct periodic exercises.</w:t>
      </w:r>
    </w:p>
    <w:p>
      <w:pPr>
        <w:pStyle w:val="ListBullet"/>
      </w:pPr>
      <w:r>
        <w:t>Protect critical data through classification, encryption, access controls, retention and secure disposal.</w:t>
      </w:r>
    </w:p>
    <w:p>
      <w:pPr>
        <w:pStyle w:val="ListBullet"/>
      </w:pPr>
      <w:r>
        <w:t>Centralize important security logs and establish monitoring appropriate to risk.</w:t>
      </w:r>
    </w:p>
    <w:p>
      <w:pPr>
        <w:pStyle w:val="ListBullet"/>
      </w:pPr>
      <w:r>
        <w:t>Test backups and recovery procedures for critical citizen-facing services.</w:t>
      </w:r>
    </w:p>
    <w:p>
      <w:pPr>
        <w:pStyle w:val="ListBullet"/>
      </w:pPr>
      <w:r>
        <w:t>Include cybersecurity requirements in third-party contracts and vendor assessments.</w:t>
      </w:r>
    </w:p>
    <w:p>
      <w:pPr>
        <w:pStyle w:val="ListBullet"/>
      </w:pPr>
      <w:r>
        <w:t>Maintain audit evidence, track corrective actions and review the framework periodically.</w:t>
      </w:r>
    </w:p>
    <w:p>
      <w:pPr>
        <w:pStyle w:val="Heading1"/>
      </w:pPr>
      <w:r>
        <w:t>13. Conclusion</w:t>
      </w:r>
    </w:p>
    <w:p>
      <w:pPr>
        <w:spacing w:after="120"/>
      </w:pPr>
      <w:r>
        <w:t>Cybersecurity in e-governance requires governance, risk management, secure technology, trained personnel, incident readiness, supplier oversight, compliance evidence, and continuous improvement. NIST CSF 2.0 supports cybersecurity risk management; CERT-In provides India-specific directions and government guidance; OWASP supports application and API security; and ISO/IEC 27001 provides an ISMS-oriented management approach. Combining these perspectives with applicable legal and organizational requirements can provide a structured basis for improving the confidentiality, integrity, availability, reliability, and resilience of digital public services.</w:t>
      </w:r>
    </w:p>
    <w:p>
      <w:pPr>
        <w:pStyle w:val="Heading1"/>
      </w:pPr>
      <w:r>
        <w:t>14. References</w:t>
      </w:r>
    </w:p>
    <w:p>
      <w:pPr>
        <w:pStyle w:val="ListNumber"/>
      </w:pPr>
      <w:r>
        <w:t>NIST. (2024). The NIST Cybersecurity Framework (CSF) 2.0. National Institute of Standards and Technology.</w:t>
      </w:r>
    </w:p>
    <w:p>
      <w:pPr>
        <w:pStyle w:val="ListNumber"/>
      </w:pPr>
      <w:r>
        <w:t>CERT-In. Directions under Section 70B of the Information Technology Act, 2000, including Cyber Security Directions dated 28 April 2022.</w:t>
      </w:r>
    </w:p>
    <w:p>
      <w:pPr>
        <w:pStyle w:val="ListNumber"/>
      </w:pPr>
      <w:r>
        <w:t>CERT-In. Guidelines on Information Security Practices for Government Entities.</w:t>
      </w:r>
    </w:p>
    <w:p>
      <w:pPr>
        <w:pStyle w:val="ListNumber"/>
      </w:pPr>
      <w:r>
        <w:t>OWASP. OWASP Top 10:2025 — Web Application Security Risks.</w:t>
      </w:r>
    </w:p>
    <w:p>
      <w:pPr>
        <w:pStyle w:val="ListNumber"/>
      </w:pPr>
      <w:r>
        <w:t>OWASP. OWASP API Security Top 10 — API security risks and best practices.</w:t>
      </w:r>
    </w:p>
    <w:p>
      <w:pPr>
        <w:pStyle w:val="ListNumber"/>
      </w:pPr>
      <w:r>
        <w:t>ISO/IEC 27001. Information security management systems — Requirements.</w:t>
      </w:r>
    </w:p>
    <w:p>
      <w:pPr>
        <w:pStyle w:val="Heading1"/>
      </w:pPr>
      <w:r>
        <w:t>15. Submission Description (200+ Words)</w:t>
      </w:r>
    </w:p>
    <w:p>
      <w:pPr>
        <w:spacing w:after="120"/>
      </w:pPr>
      <w:r>
        <w:t>This report presents a policy review and compliance framework analysis for cybersecurity in e-governance and digital public services. It examines publicly available cybersecurity frameworks and guidance, including NIST Cybersecurity Framework 2.0, CERT-In directions and government security guidance, OWASP application and API security resources, and the ISO/IEC 27001 information security management approach. The report explains how these sources can support governance, risk management, identity and access management, data protection, secure application development, incident response, monitoring, business continuity, supplier security, awareness, and auditing. It identifies potential policy and compliance gaps that may arise in a generic digital public-service environment, while avoiding unsupported claims about any particular government organization. The report then proposes a structured compliance framework with governance responsibilities, risk assessment, access controls, data protection measures, secure software development, vulnerability management, incident response, backup and recovery, logging and monitoring, third-party risk management, employee awareness, and continuous improvement. A control matrix and phased implementation roadmap are included to make the proposed framework practical and measurable. The recommendations are designed to improve the confidentiality, integrity, availability, reliability, and resilience of citizen-facing digital services. The analysis emphasizes that cybersecurity compliance should be treated as an ongoing process involving policy, people, technology, evidence, audit, and periodic improvement rather than as a one-time activity.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 2 – Policy Review &amp; Compliance Framework Analysis | Kajal Saini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